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50CBA" w14:textId="0A204F0A" w:rsidR="00947FBA" w:rsidRPr="008D1E00" w:rsidRDefault="0017612B" w:rsidP="00CB4EF4">
      <w:pPr>
        <w:spacing w:line="360" w:lineRule="auto"/>
        <w:jc w:val="center"/>
        <w:rPr>
          <w:rFonts w:cstheme="minorHAnsi"/>
          <w:b/>
        </w:rPr>
      </w:pPr>
      <w:r w:rsidRPr="008D1E00">
        <w:rPr>
          <w:rFonts w:cstheme="minorHAnsi"/>
          <w:b/>
        </w:rPr>
        <w:t xml:space="preserve">Beyond </w:t>
      </w:r>
      <w:r w:rsidR="000220E8" w:rsidRPr="008D1E00">
        <w:rPr>
          <w:rFonts w:cstheme="minorHAnsi"/>
          <w:b/>
        </w:rPr>
        <w:t xml:space="preserve">Exposure </w:t>
      </w:r>
      <w:r w:rsidRPr="008D1E00">
        <w:rPr>
          <w:rFonts w:cstheme="minorHAnsi"/>
          <w:b/>
        </w:rPr>
        <w:t xml:space="preserve">Therapy: Formulation Based Therapy Treating a Fear </w:t>
      </w:r>
      <w:r w:rsidR="00947FBA" w:rsidRPr="008D1E00">
        <w:rPr>
          <w:rFonts w:cstheme="minorHAnsi"/>
          <w:b/>
        </w:rPr>
        <w:t>of</w:t>
      </w:r>
      <w:r w:rsidRPr="008D1E00">
        <w:rPr>
          <w:rFonts w:cstheme="minorHAnsi"/>
          <w:b/>
        </w:rPr>
        <w:t xml:space="preserve"> </w:t>
      </w:r>
    </w:p>
    <w:p w14:paraId="55E55A1C" w14:textId="29E763B2" w:rsidR="004405D8" w:rsidRPr="008D1E00" w:rsidRDefault="00947FBA" w:rsidP="00CB4EF4">
      <w:pPr>
        <w:spacing w:line="360" w:lineRule="auto"/>
        <w:jc w:val="center"/>
        <w:rPr>
          <w:rFonts w:cstheme="minorHAnsi"/>
          <w:b/>
        </w:rPr>
      </w:pPr>
      <w:r w:rsidRPr="008D1E00">
        <w:rPr>
          <w:rFonts w:cstheme="minorHAnsi"/>
          <w:b/>
        </w:rPr>
        <w:t xml:space="preserve">Urinary </w:t>
      </w:r>
      <w:r w:rsidR="0017612B" w:rsidRPr="008D1E00">
        <w:rPr>
          <w:rFonts w:cstheme="minorHAnsi"/>
          <w:b/>
        </w:rPr>
        <w:t>Incontinence – A Case Study</w:t>
      </w:r>
    </w:p>
    <w:p w14:paraId="5ABEBF6F" w14:textId="77777777" w:rsidR="0017612B" w:rsidRPr="008D1E00" w:rsidRDefault="0017612B" w:rsidP="00CB4EF4">
      <w:pPr>
        <w:spacing w:line="360" w:lineRule="auto"/>
        <w:jc w:val="center"/>
        <w:rPr>
          <w:rFonts w:cstheme="minorHAnsi"/>
          <w:b/>
        </w:rPr>
      </w:pPr>
    </w:p>
    <w:p w14:paraId="6A56D026" w14:textId="763C33BF" w:rsidR="0017612B" w:rsidRPr="008D1E00" w:rsidRDefault="0017612B" w:rsidP="00392740">
      <w:pPr>
        <w:spacing w:line="360" w:lineRule="auto"/>
        <w:jc w:val="center"/>
        <w:rPr>
          <w:rFonts w:cstheme="minorHAnsi"/>
        </w:rPr>
      </w:pPr>
      <w:r w:rsidRPr="008D1E00">
        <w:rPr>
          <w:rFonts w:cstheme="minorHAnsi"/>
        </w:rPr>
        <w:t>Torstein Stapley</w:t>
      </w:r>
    </w:p>
    <w:p w14:paraId="1F7C3D83" w14:textId="77777777" w:rsidR="0017612B" w:rsidRPr="008D1E00" w:rsidRDefault="0017612B" w:rsidP="00CB4EF4">
      <w:pPr>
        <w:spacing w:line="360" w:lineRule="auto"/>
        <w:jc w:val="center"/>
        <w:rPr>
          <w:rFonts w:cstheme="minorHAnsi"/>
        </w:rPr>
      </w:pPr>
      <w:r w:rsidRPr="008D1E00">
        <w:rPr>
          <w:rFonts w:cstheme="minorHAnsi"/>
        </w:rPr>
        <w:t>Centre for Anxiety Disorders and Trauma, South London and Maudsley NHS Foundation Trust, UK</w:t>
      </w:r>
    </w:p>
    <w:p w14:paraId="7C50A028" w14:textId="77777777" w:rsidR="0017612B" w:rsidRPr="008D1E00" w:rsidRDefault="0017612B" w:rsidP="00CB4EF4">
      <w:pPr>
        <w:spacing w:line="360" w:lineRule="auto"/>
        <w:jc w:val="center"/>
        <w:rPr>
          <w:rFonts w:cstheme="minorHAnsi"/>
        </w:rPr>
      </w:pPr>
    </w:p>
    <w:p w14:paraId="3C1D0901" w14:textId="77777777" w:rsidR="0017612B" w:rsidRPr="008D1E00" w:rsidRDefault="0017612B" w:rsidP="00CB4EF4">
      <w:pPr>
        <w:spacing w:line="360" w:lineRule="auto"/>
        <w:jc w:val="center"/>
        <w:rPr>
          <w:rFonts w:cstheme="minorHAnsi"/>
        </w:rPr>
      </w:pPr>
    </w:p>
    <w:p w14:paraId="36E56610" w14:textId="6BFE946D" w:rsidR="0017612B" w:rsidRPr="008D1E00" w:rsidRDefault="0017612B" w:rsidP="00392740">
      <w:pPr>
        <w:spacing w:line="360" w:lineRule="auto"/>
        <w:jc w:val="center"/>
        <w:rPr>
          <w:rFonts w:cstheme="minorHAnsi"/>
        </w:rPr>
      </w:pPr>
      <w:r w:rsidRPr="008D1E00">
        <w:rPr>
          <w:rFonts w:cstheme="minorHAnsi"/>
        </w:rPr>
        <w:t>Tracey Taylor and Victoria Bream</w:t>
      </w:r>
    </w:p>
    <w:p w14:paraId="1989445D" w14:textId="77777777" w:rsidR="0017612B" w:rsidRPr="008D1E00" w:rsidRDefault="0017612B" w:rsidP="00CB4EF4">
      <w:pPr>
        <w:spacing w:line="360" w:lineRule="auto"/>
        <w:jc w:val="center"/>
        <w:rPr>
          <w:rFonts w:cstheme="minorHAnsi"/>
        </w:rPr>
      </w:pPr>
      <w:r w:rsidRPr="008D1E00">
        <w:rPr>
          <w:rFonts w:cstheme="minorHAnsi"/>
        </w:rPr>
        <w:t>Centre for Anxiety Disorders and Trauma, South London and Maudsley NHS Foundation Trust, UK</w:t>
      </w:r>
    </w:p>
    <w:p w14:paraId="42106160" w14:textId="77777777" w:rsidR="0017612B" w:rsidRPr="008D1E00" w:rsidRDefault="0017612B" w:rsidP="00CB4EF4">
      <w:pPr>
        <w:spacing w:line="360" w:lineRule="auto"/>
        <w:rPr>
          <w:rFonts w:cstheme="minorHAnsi"/>
        </w:rPr>
      </w:pPr>
    </w:p>
    <w:p w14:paraId="0974858E" w14:textId="77777777" w:rsidR="0017612B" w:rsidRPr="008D1E00" w:rsidRDefault="0017612B" w:rsidP="00CB4EF4">
      <w:pPr>
        <w:spacing w:line="360" w:lineRule="auto"/>
        <w:rPr>
          <w:rFonts w:cstheme="minorHAnsi"/>
        </w:rPr>
      </w:pPr>
    </w:p>
    <w:p w14:paraId="56345EB8" w14:textId="7906702D" w:rsidR="0017612B" w:rsidRPr="008D1E00" w:rsidRDefault="0017612B" w:rsidP="00CB4EF4">
      <w:pPr>
        <w:spacing w:line="360" w:lineRule="auto"/>
        <w:rPr>
          <w:rFonts w:cstheme="minorHAnsi"/>
        </w:rPr>
      </w:pPr>
      <w:r w:rsidRPr="008D1E00">
        <w:rPr>
          <w:rFonts w:cstheme="minorHAnsi"/>
          <w:b/>
        </w:rPr>
        <w:t>Background:</w:t>
      </w:r>
      <w:r w:rsidRPr="008D1E00">
        <w:rPr>
          <w:rFonts w:cstheme="minorHAnsi"/>
        </w:rPr>
        <w:t xml:space="preserve"> </w:t>
      </w:r>
      <w:r w:rsidR="005E1A7D" w:rsidRPr="008D1E00">
        <w:rPr>
          <w:rFonts w:cstheme="minorHAnsi"/>
        </w:rPr>
        <w:t xml:space="preserve">The current literature on the specific phobia of urinary incontinence is </w:t>
      </w:r>
      <w:r w:rsidR="006A3311" w:rsidRPr="008D1E00">
        <w:rPr>
          <w:rFonts w:cstheme="minorHAnsi"/>
        </w:rPr>
        <w:t>limited</w:t>
      </w:r>
      <w:r w:rsidR="005E1A7D" w:rsidRPr="008D1E00">
        <w:rPr>
          <w:rFonts w:cstheme="minorHAnsi"/>
        </w:rPr>
        <w:t xml:space="preserve">, </w:t>
      </w:r>
      <w:r w:rsidR="00133CBD" w:rsidRPr="008D1E00">
        <w:rPr>
          <w:rFonts w:cstheme="minorHAnsi"/>
        </w:rPr>
        <w:t>with</w:t>
      </w:r>
      <w:r w:rsidR="005E1A7D" w:rsidRPr="008D1E00">
        <w:rPr>
          <w:rFonts w:cstheme="minorHAnsi"/>
        </w:rPr>
        <w:t xml:space="preserve"> no </w:t>
      </w:r>
      <w:r w:rsidR="00133CBD" w:rsidRPr="008D1E00">
        <w:rPr>
          <w:rFonts w:cstheme="minorHAnsi"/>
        </w:rPr>
        <w:t xml:space="preserve">specific </w:t>
      </w:r>
      <w:r w:rsidR="005E1A7D" w:rsidRPr="008D1E00">
        <w:rPr>
          <w:rFonts w:cstheme="minorHAnsi"/>
        </w:rPr>
        <w:t xml:space="preserve">empirically established model or treatment protocol. </w:t>
      </w:r>
      <w:r w:rsidRPr="008D1E00">
        <w:rPr>
          <w:rFonts w:cstheme="minorHAnsi"/>
          <w:b/>
        </w:rPr>
        <w:t>Aim</w:t>
      </w:r>
      <w:r w:rsidR="000B4045" w:rsidRPr="008D1E00">
        <w:rPr>
          <w:rFonts w:cstheme="minorHAnsi"/>
          <w:b/>
        </w:rPr>
        <w:t>s</w:t>
      </w:r>
      <w:r w:rsidRPr="008D1E00">
        <w:rPr>
          <w:rFonts w:cstheme="minorHAnsi"/>
          <w:b/>
        </w:rPr>
        <w:t xml:space="preserve">: </w:t>
      </w:r>
      <w:r w:rsidR="005E1A7D" w:rsidRPr="008D1E00">
        <w:rPr>
          <w:rFonts w:cstheme="minorHAnsi"/>
        </w:rPr>
        <w:t xml:space="preserve">This article consists of a case study </w:t>
      </w:r>
      <w:r w:rsidR="00A15E6F" w:rsidRPr="008D1E00">
        <w:rPr>
          <w:rFonts w:cstheme="minorHAnsi"/>
        </w:rPr>
        <w:t xml:space="preserve">of </w:t>
      </w:r>
      <w:r w:rsidR="009B42E7" w:rsidRPr="008D1E00">
        <w:rPr>
          <w:rFonts w:cstheme="minorHAnsi"/>
        </w:rPr>
        <w:t>formulation driven C</w:t>
      </w:r>
      <w:r w:rsidR="000220E8" w:rsidRPr="008D1E00">
        <w:rPr>
          <w:rFonts w:cstheme="minorHAnsi"/>
        </w:rPr>
        <w:t xml:space="preserve">ognitive </w:t>
      </w:r>
      <w:r w:rsidR="009B42E7" w:rsidRPr="008D1E00">
        <w:rPr>
          <w:rFonts w:cstheme="minorHAnsi"/>
        </w:rPr>
        <w:t>B</w:t>
      </w:r>
      <w:r w:rsidR="000220E8" w:rsidRPr="008D1E00">
        <w:rPr>
          <w:rFonts w:cstheme="minorHAnsi"/>
        </w:rPr>
        <w:t xml:space="preserve">ehaviour </w:t>
      </w:r>
      <w:r w:rsidR="009B42E7" w:rsidRPr="008D1E00">
        <w:rPr>
          <w:rFonts w:cstheme="minorHAnsi"/>
        </w:rPr>
        <w:t>T</w:t>
      </w:r>
      <w:r w:rsidR="000220E8" w:rsidRPr="008D1E00">
        <w:rPr>
          <w:rFonts w:cstheme="minorHAnsi"/>
        </w:rPr>
        <w:t>herapy (CBT)</w:t>
      </w:r>
      <w:r w:rsidR="009B42E7" w:rsidRPr="008D1E00">
        <w:rPr>
          <w:rFonts w:cstheme="minorHAnsi"/>
        </w:rPr>
        <w:t xml:space="preserve"> </w:t>
      </w:r>
      <w:r w:rsidR="00A15E6F" w:rsidRPr="008D1E00">
        <w:rPr>
          <w:rFonts w:cstheme="minorHAnsi"/>
        </w:rPr>
        <w:t>for</w:t>
      </w:r>
      <w:r w:rsidR="000220E8" w:rsidRPr="008D1E00">
        <w:rPr>
          <w:rFonts w:cstheme="minorHAnsi"/>
        </w:rPr>
        <w:t xml:space="preserve"> phobia of urinary incontinence. </w:t>
      </w:r>
      <w:r w:rsidRPr="008D1E00">
        <w:rPr>
          <w:rFonts w:cstheme="minorHAnsi"/>
          <w:b/>
        </w:rPr>
        <w:t xml:space="preserve">Method: </w:t>
      </w:r>
      <w:r w:rsidR="009B42E7" w:rsidRPr="008D1E00">
        <w:rPr>
          <w:rFonts w:cstheme="minorHAnsi"/>
        </w:rPr>
        <w:t xml:space="preserve">Martin attended a total of 12 treatment sessions. The treatment included the development of an idiosyncratic </w:t>
      </w:r>
      <w:r w:rsidR="007F5EB8" w:rsidRPr="008D1E00">
        <w:rPr>
          <w:rFonts w:cstheme="minorHAnsi"/>
        </w:rPr>
        <w:t>formulation</w:t>
      </w:r>
      <w:r w:rsidR="009B42E7" w:rsidRPr="008D1E00">
        <w:rPr>
          <w:rFonts w:cstheme="minorHAnsi"/>
        </w:rPr>
        <w:t xml:space="preserve">, and the use of </w:t>
      </w:r>
      <w:r w:rsidR="00A15E6F" w:rsidRPr="008D1E00">
        <w:rPr>
          <w:rFonts w:cstheme="minorHAnsi"/>
        </w:rPr>
        <w:t>well</w:t>
      </w:r>
      <w:r w:rsidR="00133CBD" w:rsidRPr="008D1E00">
        <w:rPr>
          <w:rFonts w:cstheme="minorHAnsi"/>
        </w:rPr>
        <w:t>-</w:t>
      </w:r>
      <w:r w:rsidR="009B42E7" w:rsidRPr="008D1E00">
        <w:rPr>
          <w:rFonts w:cstheme="minorHAnsi"/>
        </w:rPr>
        <w:t xml:space="preserve">established cognitive and behavioural treatment strategies </w:t>
      </w:r>
      <w:r w:rsidR="000824B3" w:rsidRPr="008D1E00">
        <w:rPr>
          <w:rFonts w:cstheme="minorHAnsi"/>
        </w:rPr>
        <w:t>f</w:t>
      </w:r>
      <w:r w:rsidR="00133CBD" w:rsidRPr="008D1E00">
        <w:rPr>
          <w:rFonts w:cstheme="minorHAnsi"/>
        </w:rPr>
        <w:t xml:space="preserve">rom </w:t>
      </w:r>
      <w:r w:rsidR="000824B3" w:rsidRPr="008D1E00">
        <w:rPr>
          <w:rFonts w:cstheme="minorHAnsi"/>
        </w:rPr>
        <w:t>other anxiety disorders</w:t>
      </w:r>
      <w:r w:rsidR="009B42E7" w:rsidRPr="008D1E00">
        <w:rPr>
          <w:rFonts w:cstheme="minorHAnsi"/>
        </w:rPr>
        <w:t xml:space="preserve">. </w:t>
      </w:r>
      <w:r w:rsidRPr="008D1E00">
        <w:rPr>
          <w:rFonts w:cstheme="minorHAnsi"/>
          <w:b/>
        </w:rPr>
        <w:t xml:space="preserve">Results: </w:t>
      </w:r>
      <w:r w:rsidR="009F50C9" w:rsidRPr="008D1E00">
        <w:rPr>
          <w:rFonts w:cstheme="minorHAnsi"/>
        </w:rPr>
        <w:t xml:space="preserve">Both outcome measures and Martin’s subjective report indicate that the treatment was effective. </w:t>
      </w:r>
      <w:r w:rsidRPr="008D1E00">
        <w:rPr>
          <w:rFonts w:cstheme="minorHAnsi"/>
          <w:b/>
        </w:rPr>
        <w:t>Conclusion:</w:t>
      </w:r>
      <w:r w:rsidR="009F50C9" w:rsidRPr="008D1E00">
        <w:rPr>
          <w:rFonts w:cstheme="minorHAnsi"/>
          <w:b/>
        </w:rPr>
        <w:t xml:space="preserve"> </w:t>
      </w:r>
      <w:r w:rsidR="009F50C9" w:rsidRPr="008D1E00">
        <w:rPr>
          <w:rFonts w:cstheme="minorHAnsi"/>
        </w:rPr>
        <w:t>This case stud</w:t>
      </w:r>
      <w:r w:rsidR="006A3311" w:rsidRPr="008D1E00">
        <w:rPr>
          <w:rFonts w:cstheme="minorHAnsi"/>
        </w:rPr>
        <w:t>y</w:t>
      </w:r>
      <w:r w:rsidR="009F50C9" w:rsidRPr="008D1E00">
        <w:rPr>
          <w:rFonts w:cstheme="minorHAnsi"/>
        </w:rPr>
        <w:t xml:space="preserve"> contributes to the current limited literature on this phobia, and emphasises the importance of formulation driven CBT </w:t>
      </w:r>
      <w:r w:rsidR="00A15E6F" w:rsidRPr="008D1E00">
        <w:rPr>
          <w:rFonts w:cstheme="minorHAnsi"/>
        </w:rPr>
        <w:t xml:space="preserve">to map </w:t>
      </w:r>
      <w:r w:rsidR="009F50C9" w:rsidRPr="008D1E00">
        <w:rPr>
          <w:rFonts w:cstheme="minorHAnsi"/>
        </w:rPr>
        <w:t>for idi</w:t>
      </w:r>
      <w:r w:rsidR="00A15E6F" w:rsidRPr="008D1E00">
        <w:rPr>
          <w:rFonts w:cstheme="minorHAnsi"/>
        </w:rPr>
        <w:t xml:space="preserve">osyncratic features and target </w:t>
      </w:r>
      <w:r w:rsidR="009F50C9" w:rsidRPr="008D1E00">
        <w:rPr>
          <w:rFonts w:cstheme="minorHAnsi"/>
        </w:rPr>
        <w:t xml:space="preserve">cognitive and behavioural factors.  </w:t>
      </w:r>
    </w:p>
    <w:p w14:paraId="5184611C" w14:textId="06464BF8" w:rsidR="00CB4EF4" w:rsidRPr="008D1E00" w:rsidRDefault="00CB4EF4" w:rsidP="00392740">
      <w:pPr>
        <w:spacing w:line="360" w:lineRule="auto"/>
        <w:rPr>
          <w:rFonts w:cstheme="minorHAnsi"/>
          <w:b/>
        </w:rPr>
      </w:pPr>
    </w:p>
    <w:p w14:paraId="29F16679" w14:textId="084B9DF4" w:rsidR="000B4045" w:rsidRPr="008D1E00" w:rsidRDefault="000B4045" w:rsidP="000B4045">
      <w:pPr>
        <w:spacing w:line="360" w:lineRule="auto"/>
        <w:rPr>
          <w:rFonts w:cstheme="minorHAnsi"/>
        </w:rPr>
      </w:pPr>
      <w:r w:rsidRPr="008D1E00">
        <w:rPr>
          <w:rFonts w:cstheme="minorHAnsi"/>
          <w:b/>
          <w:bCs/>
        </w:rPr>
        <w:t>Keywords:</w:t>
      </w:r>
      <w:r w:rsidRPr="008D1E00">
        <w:rPr>
          <w:rFonts w:cstheme="minorHAnsi"/>
        </w:rPr>
        <w:t xml:space="preserve"> urinary incontinence, CBT, behavioural experiments, empirically grounded interventions </w:t>
      </w:r>
    </w:p>
    <w:p w14:paraId="57F74DCA" w14:textId="45702868" w:rsidR="000B4045" w:rsidRPr="008D1E00" w:rsidRDefault="000B4045" w:rsidP="000B4045">
      <w:pPr>
        <w:spacing w:line="360" w:lineRule="auto"/>
        <w:rPr>
          <w:rFonts w:cstheme="minorHAnsi"/>
        </w:rPr>
      </w:pPr>
    </w:p>
    <w:p w14:paraId="7ACAF871" w14:textId="72F09BA4" w:rsidR="000B4045" w:rsidRPr="008D1E00" w:rsidRDefault="000B4045" w:rsidP="000B4045">
      <w:pPr>
        <w:spacing w:line="360" w:lineRule="auto"/>
        <w:rPr>
          <w:rFonts w:cstheme="minorHAnsi"/>
        </w:rPr>
      </w:pPr>
      <w:r w:rsidRPr="008D1E00">
        <w:rPr>
          <w:rFonts w:cstheme="minorHAnsi"/>
          <w:b/>
          <w:bCs/>
        </w:rPr>
        <w:t>Ethical Statement:</w:t>
      </w:r>
      <w:r w:rsidRPr="008D1E00">
        <w:rPr>
          <w:rFonts w:cstheme="minorHAnsi"/>
        </w:rPr>
        <w:t xml:space="preserve"> The authors have abided by the Ethical Principles of Psychologists and Code of Conduct as set out by the BABCP and BPS. </w:t>
      </w:r>
    </w:p>
    <w:p w14:paraId="69E4E5C0" w14:textId="77777777" w:rsidR="000B4045" w:rsidRPr="008D1E00" w:rsidRDefault="000B4045" w:rsidP="000B4045">
      <w:pPr>
        <w:spacing w:line="360" w:lineRule="auto"/>
        <w:rPr>
          <w:shd w:val="clear" w:color="auto" w:fill="FFFFFF"/>
        </w:rPr>
      </w:pPr>
      <w:r w:rsidRPr="008D1E00">
        <w:rPr>
          <w:shd w:val="clear" w:color="auto" w:fill="FFFFFF"/>
        </w:rPr>
        <w:t>This research received no specific grant from any funding agency, commercial or not-for-profit sectors.</w:t>
      </w:r>
    </w:p>
    <w:p w14:paraId="0D4EF1C9" w14:textId="77777777" w:rsidR="000B4045" w:rsidRPr="008D1E00" w:rsidRDefault="000B4045" w:rsidP="000B4045">
      <w:pPr>
        <w:spacing w:line="360" w:lineRule="auto"/>
        <w:rPr>
          <w:shd w:val="clear" w:color="auto" w:fill="FFFFFF"/>
        </w:rPr>
      </w:pPr>
      <w:r w:rsidRPr="008D1E00">
        <w:rPr>
          <w:b/>
          <w:bCs/>
          <w:shd w:val="clear" w:color="auto" w:fill="FFFFFF"/>
        </w:rPr>
        <w:t>Conflicts of Interest:</w:t>
      </w:r>
      <w:r w:rsidRPr="008D1E00">
        <w:rPr>
          <w:shd w:val="clear" w:color="auto" w:fill="FFFFFF"/>
        </w:rPr>
        <w:t xml:space="preserve"> None</w:t>
      </w:r>
    </w:p>
    <w:p w14:paraId="289E693D" w14:textId="0E418F58" w:rsidR="000B4045" w:rsidRPr="008D1E00" w:rsidRDefault="000B4045" w:rsidP="000B4045">
      <w:pPr>
        <w:spacing w:line="360" w:lineRule="auto"/>
        <w:rPr>
          <w:bdr w:val="none" w:sz="0" w:space="0" w:color="auto" w:frame="1"/>
          <w:shd w:val="clear" w:color="auto" w:fill="FFFFFF"/>
        </w:rPr>
      </w:pPr>
      <w:r w:rsidRPr="008D1E00">
        <w:rPr>
          <w:rStyle w:val="Emphasis"/>
          <w:b/>
          <w:bCs/>
          <w:i w:val="0"/>
          <w:iCs w:val="0"/>
          <w:bdr w:val="none" w:sz="0" w:space="0" w:color="auto" w:frame="1"/>
          <w:shd w:val="clear" w:color="auto" w:fill="FFFFFF"/>
        </w:rPr>
        <w:lastRenderedPageBreak/>
        <w:t>Acknowledgements</w:t>
      </w:r>
      <w:r w:rsidRPr="008D1E00">
        <w:rPr>
          <w:rStyle w:val="Emphasis"/>
          <w:i w:val="0"/>
          <w:iCs w:val="0"/>
          <w:bdr w:val="none" w:sz="0" w:space="0" w:color="auto" w:frame="1"/>
          <w:shd w:val="clear" w:color="auto" w:fill="FFFFFF"/>
        </w:rPr>
        <w:t>: to “Martin” f</w:t>
      </w:r>
      <w:r w:rsidRPr="008D1E00">
        <w:rPr>
          <w:bCs/>
        </w:rPr>
        <w:t>or his</w:t>
      </w:r>
      <w:r w:rsidRPr="008D1E00">
        <w:t xml:space="preserve"> courage and determination to overcome his difficulties and to our colleagues at the Centre for Anxiety Disorders and Trauma and the PG Diploma in Cognitive Therapy at IOPPN, King’s College London.</w:t>
      </w:r>
    </w:p>
    <w:p w14:paraId="51DD1813" w14:textId="77777777" w:rsidR="000B4045" w:rsidRPr="008D1E00" w:rsidRDefault="000B4045" w:rsidP="00392740">
      <w:pPr>
        <w:spacing w:line="360" w:lineRule="auto"/>
        <w:rPr>
          <w:rFonts w:cstheme="minorHAnsi"/>
          <w:b/>
        </w:rPr>
      </w:pPr>
    </w:p>
    <w:p w14:paraId="07093A68" w14:textId="4511A8C5" w:rsidR="0017612B" w:rsidRPr="008D1E00" w:rsidRDefault="0017612B" w:rsidP="00CB4EF4">
      <w:pPr>
        <w:spacing w:line="360" w:lineRule="auto"/>
        <w:jc w:val="center"/>
        <w:rPr>
          <w:rFonts w:cstheme="minorHAnsi"/>
          <w:b/>
        </w:rPr>
      </w:pPr>
      <w:r w:rsidRPr="008D1E00">
        <w:rPr>
          <w:rFonts w:cstheme="minorHAnsi"/>
          <w:b/>
        </w:rPr>
        <w:t>Introduction</w:t>
      </w:r>
    </w:p>
    <w:p w14:paraId="198038D6" w14:textId="77777777" w:rsidR="007166E8" w:rsidRPr="008D1E00" w:rsidRDefault="007166E8" w:rsidP="00CB4EF4">
      <w:pPr>
        <w:spacing w:line="360" w:lineRule="auto"/>
        <w:jc w:val="center"/>
        <w:rPr>
          <w:rFonts w:cstheme="minorHAnsi"/>
          <w:b/>
        </w:rPr>
      </w:pPr>
    </w:p>
    <w:p w14:paraId="67112D7A" w14:textId="41832C20" w:rsidR="007166E8" w:rsidRPr="008D1E00" w:rsidRDefault="00644C67" w:rsidP="00CB4EF4">
      <w:pPr>
        <w:spacing w:line="360" w:lineRule="auto"/>
        <w:rPr>
          <w:rFonts w:cstheme="minorHAnsi"/>
          <w:color w:val="000000"/>
        </w:rPr>
      </w:pPr>
      <w:r w:rsidRPr="008D1E00">
        <w:rPr>
          <w:rFonts w:cstheme="minorHAnsi"/>
          <w:color w:val="000000"/>
        </w:rPr>
        <w:t xml:space="preserve">A specific </w:t>
      </w:r>
      <w:r w:rsidR="000220E8" w:rsidRPr="008D1E00">
        <w:rPr>
          <w:rFonts w:cstheme="minorHAnsi"/>
          <w:color w:val="000000"/>
        </w:rPr>
        <w:t xml:space="preserve">phobia of urinary incontinence </w:t>
      </w:r>
      <w:r w:rsidRPr="008D1E00">
        <w:rPr>
          <w:rFonts w:cstheme="minorHAnsi"/>
          <w:color w:val="000000"/>
        </w:rPr>
        <w:t xml:space="preserve">refers </w:t>
      </w:r>
      <w:r w:rsidR="000D76C4" w:rsidRPr="008D1E00">
        <w:rPr>
          <w:rFonts w:cstheme="minorHAnsi"/>
          <w:color w:val="000000"/>
        </w:rPr>
        <w:t>to a marked fear and anxiety of urinary incontinence in public settings that is out of proportion</w:t>
      </w:r>
      <w:r w:rsidR="000B4045" w:rsidRPr="008D1E00">
        <w:rPr>
          <w:rFonts w:cstheme="minorHAnsi"/>
          <w:color w:val="000000"/>
        </w:rPr>
        <w:t xml:space="preserve"> to the actual likelihood of its occurrence</w:t>
      </w:r>
      <w:r w:rsidR="00B1215B" w:rsidRPr="008D1E00">
        <w:rPr>
          <w:rFonts w:cstheme="minorHAnsi"/>
          <w:color w:val="000000"/>
        </w:rPr>
        <w:t>, and</w:t>
      </w:r>
      <w:r w:rsidR="000D76C4" w:rsidRPr="008D1E00">
        <w:rPr>
          <w:rFonts w:cstheme="minorHAnsi"/>
          <w:color w:val="000000"/>
        </w:rPr>
        <w:t xml:space="preserve"> results in significant distress and impairment</w:t>
      </w:r>
      <w:r w:rsidR="00133CBD" w:rsidRPr="008D1E00">
        <w:rPr>
          <w:rFonts w:cstheme="minorHAnsi"/>
          <w:color w:val="000000"/>
        </w:rPr>
        <w:t xml:space="preserve">, </w:t>
      </w:r>
      <w:r w:rsidR="000D76C4" w:rsidRPr="008D1E00">
        <w:rPr>
          <w:rFonts w:cstheme="minorHAnsi"/>
          <w:color w:val="000000"/>
        </w:rPr>
        <w:t xml:space="preserve">usually </w:t>
      </w:r>
      <w:r w:rsidR="0070754A" w:rsidRPr="008D1E00">
        <w:rPr>
          <w:rFonts w:cstheme="minorHAnsi"/>
          <w:color w:val="000000"/>
        </w:rPr>
        <w:t>lead</w:t>
      </w:r>
      <w:r w:rsidR="00133CBD" w:rsidRPr="008D1E00">
        <w:rPr>
          <w:rFonts w:cstheme="minorHAnsi"/>
          <w:color w:val="000000"/>
        </w:rPr>
        <w:t>ing</w:t>
      </w:r>
      <w:r w:rsidR="0070754A" w:rsidRPr="008D1E00">
        <w:rPr>
          <w:rFonts w:cstheme="minorHAnsi"/>
          <w:color w:val="000000"/>
        </w:rPr>
        <w:t xml:space="preserve"> to </w:t>
      </w:r>
      <w:r w:rsidR="000D76C4" w:rsidRPr="008D1E00">
        <w:rPr>
          <w:rFonts w:cstheme="minorHAnsi"/>
          <w:color w:val="000000"/>
        </w:rPr>
        <w:t>avoidance or the use of safety seeking</w:t>
      </w:r>
      <w:r w:rsidR="000B4045" w:rsidRPr="008D1E00">
        <w:rPr>
          <w:rFonts w:cstheme="minorHAnsi"/>
          <w:color w:val="000000"/>
        </w:rPr>
        <w:t>-</w:t>
      </w:r>
      <w:r w:rsidR="000D76C4" w:rsidRPr="008D1E00">
        <w:rPr>
          <w:rFonts w:cstheme="minorHAnsi"/>
          <w:color w:val="000000"/>
        </w:rPr>
        <w:t>behaviours</w:t>
      </w:r>
      <w:r w:rsidR="00B1215B" w:rsidRPr="008D1E00">
        <w:rPr>
          <w:rFonts w:cstheme="minorHAnsi"/>
          <w:color w:val="000000"/>
        </w:rPr>
        <w:t xml:space="preserve">. </w:t>
      </w:r>
      <w:r w:rsidR="00133CBD" w:rsidRPr="008D1E00">
        <w:rPr>
          <w:rFonts w:cstheme="minorHAnsi"/>
          <w:color w:val="000000"/>
        </w:rPr>
        <w:t>Earlier published cases have described</w:t>
      </w:r>
      <w:r w:rsidR="000B4045" w:rsidRPr="008D1E00">
        <w:rPr>
          <w:rFonts w:cstheme="minorHAnsi"/>
          <w:color w:val="000000"/>
        </w:rPr>
        <w:t xml:space="preserve"> fear of urinary incontinence as</w:t>
      </w:r>
      <w:r w:rsidR="00133CBD" w:rsidRPr="008D1E00">
        <w:rPr>
          <w:rFonts w:cstheme="minorHAnsi"/>
          <w:color w:val="000000"/>
        </w:rPr>
        <w:t xml:space="preserve"> variants of agoraphobia, panic disorder, OCD or specific phobia, resulting in variety of suggested treatment approaches including bladder training, relaxation, exposure and response prevention</w:t>
      </w:r>
      <w:r w:rsidR="000B4045" w:rsidRPr="008D1E00">
        <w:rPr>
          <w:rFonts w:cstheme="minorHAnsi"/>
          <w:color w:val="000000"/>
        </w:rPr>
        <w:t xml:space="preserve"> (Kamboj et al., 2015; Pajak &amp; Kamboj, 2014; Tan &amp; Lim, 2015)</w:t>
      </w:r>
      <w:r w:rsidR="00133CBD" w:rsidRPr="008D1E00">
        <w:rPr>
          <w:rFonts w:cstheme="minorHAnsi"/>
          <w:color w:val="000000"/>
        </w:rPr>
        <w:t xml:space="preserve">. </w:t>
      </w:r>
      <w:r w:rsidR="00EE1786" w:rsidRPr="008D1E00">
        <w:rPr>
          <w:rFonts w:cstheme="minorHAnsi"/>
          <w:color w:val="0D0D0D" w:themeColor="text1" w:themeTint="F2"/>
        </w:rPr>
        <w:t>Kamboj et al. (2015)</w:t>
      </w:r>
      <w:r w:rsidR="00133CBD" w:rsidRPr="008D1E00">
        <w:rPr>
          <w:rFonts w:cstheme="minorHAnsi"/>
          <w:color w:val="0D0D0D" w:themeColor="text1" w:themeTint="F2"/>
        </w:rPr>
        <w:t>, in a survey of non-treatment seekers</w:t>
      </w:r>
      <w:r w:rsidR="00EE1786" w:rsidRPr="008D1E00">
        <w:rPr>
          <w:rFonts w:cstheme="minorHAnsi"/>
          <w:color w:val="FF0000"/>
        </w:rPr>
        <w:t xml:space="preserve"> </w:t>
      </w:r>
      <w:r w:rsidR="008A3CB7" w:rsidRPr="008D1E00">
        <w:rPr>
          <w:rFonts w:cstheme="minorHAnsi"/>
          <w:color w:val="000000"/>
        </w:rPr>
        <w:t>have explored t</w:t>
      </w:r>
      <w:r w:rsidR="00401015" w:rsidRPr="008D1E00">
        <w:rPr>
          <w:rFonts w:cstheme="minorHAnsi"/>
          <w:color w:val="000000"/>
        </w:rPr>
        <w:t>he</w:t>
      </w:r>
      <w:r w:rsidR="008A3CB7" w:rsidRPr="008D1E00">
        <w:rPr>
          <w:rFonts w:cstheme="minorHAnsi"/>
          <w:color w:val="000000"/>
        </w:rPr>
        <w:t xml:space="preserve"> symptomatology and cognitive phenomenology of this disorder, </w:t>
      </w:r>
      <w:r w:rsidR="00133CBD" w:rsidRPr="008D1E00">
        <w:rPr>
          <w:rFonts w:cstheme="minorHAnsi"/>
          <w:color w:val="000000"/>
        </w:rPr>
        <w:t xml:space="preserve">identifying the role of mental imagery. </w:t>
      </w:r>
      <w:r w:rsidR="00187CFB" w:rsidRPr="008D1E00">
        <w:rPr>
          <w:rFonts w:cstheme="minorHAnsi"/>
          <w:color w:val="0D0D0D" w:themeColor="text1" w:themeTint="F2"/>
        </w:rPr>
        <w:t xml:space="preserve">Pajak &amp; Kamboj (2014) </w:t>
      </w:r>
      <w:r w:rsidR="00187CFB" w:rsidRPr="008D1E00">
        <w:rPr>
          <w:rFonts w:cstheme="minorHAnsi"/>
          <w:color w:val="000000"/>
        </w:rPr>
        <w:t xml:space="preserve">have </w:t>
      </w:r>
      <w:r w:rsidR="00770480" w:rsidRPr="008D1E00">
        <w:rPr>
          <w:rFonts w:cstheme="minorHAnsi"/>
          <w:color w:val="000000"/>
        </w:rPr>
        <w:t>a</w:t>
      </w:r>
      <w:r w:rsidR="00133CBD" w:rsidRPr="008D1E00">
        <w:rPr>
          <w:rFonts w:cstheme="minorHAnsi"/>
          <w:color w:val="000000"/>
        </w:rPr>
        <w:t>sserted</w:t>
      </w:r>
      <w:r w:rsidR="00187CFB" w:rsidRPr="008D1E00">
        <w:rPr>
          <w:rFonts w:cstheme="minorHAnsi"/>
          <w:color w:val="000000"/>
        </w:rPr>
        <w:t xml:space="preserve"> that rescripting </w:t>
      </w:r>
      <w:r w:rsidR="00770480" w:rsidRPr="008D1E00">
        <w:rPr>
          <w:rFonts w:cstheme="minorHAnsi"/>
          <w:color w:val="000000"/>
        </w:rPr>
        <w:t>intrusive</w:t>
      </w:r>
      <w:r w:rsidR="00187CFB" w:rsidRPr="008D1E00">
        <w:rPr>
          <w:rFonts w:cstheme="minorHAnsi"/>
          <w:color w:val="000000"/>
        </w:rPr>
        <w:t xml:space="preserve"> images can result in a reduction of fear associated with bladder sensations. Tan &amp; Lim (2015) have </w:t>
      </w:r>
      <w:r w:rsidR="008805F8" w:rsidRPr="008D1E00">
        <w:rPr>
          <w:rFonts w:cstheme="minorHAnsi"/>
          <w:color w:val="000000"/>
        </w:rPr>
        <w:t>suggest</w:t>
      </w:r>
      <w:r w:rsidR="00187CFB" w:rsidRPr="008D1E00">
        <w:rPr>
          <w:rFonts w:cstheme="minorHAnsi"/>
          <w:color w:val="000000"/>
        </w:rPr>
        <w:t>ed</w:t>
      </w:r>
      <w:r w:rsidR="00D75334" w:rsidRPr="008D1E00">
        <w:rPr>
          <w:rFonts w:cstheme="minorHAnsi"/>
          <w:color w:val="000000"/>
        </w:rPr>
        <w:t xml:space="preserve"> that C</w:t>
      </w:r>
      <w:r w:rsidR="000220E8" w:rsidRPr="008D1E00">
        <w:rPr>
          <w:rFonts w:cstheme="minorHAnsi"/>
          <w:color w:val="000000"/>
        </w:rPr>
        <w:t xml:space="preserve">BT </w:t>
      </w:r>
      <w:r w:rsidR="001E57FA" w:rsidRPr="008D1E00">
        <w:rPr>
          <w:rFonts w:cstheme="minorHAnsi"/>
          <w:color w:val="000000"/>
        </w:rPr>
        <w:t xml:space="preserve">grounded in exposure work </w:t>
      </w:r>
      <w:r w:rsidR="00D75334" w:rsidRPr="008D1E00">
        <w:rPr>
          <w:rFonts w:cstheme="minorHAnsi"/>
          <w:color w:val="000000"/>
        </w:rPr>
        <w:t xml:space="preserve">may offer an effective treatment </w:t>
      </w:r>
      <w:r w:rsidR="008805F8" w:rsidRPr="008D1E00">
        <w:rPr>
          <w:rFonts w:cstheme="minorHAnsi"/>
          <w:color w:val="000000"/>
        </w:rPr>
        <w:t>approach</w:t>
      </w:r>
      <w:r w:rsidR="00D75334" w:rsidRPr="008D1E00">
        <w:rPr>
          <w:rFonts w:cstheme="minorHAnsi"/>
          <w:color w:val="000000"/>
        </w:rPr>
        <w:t>.</w:t>
      </w:r>
      <w:r w:rsidR="00E55667" w:rsidRPr="008D1E00">
        <w:rPr>
          <w:rFonts w:cstheme="minorHAnsi"/>
          <w:color w:val="000000"/>
        </w:rPr>
        <w:t xml:space="preserve"> </w:t>
      </w:r>
      <w:r w:rsidR="008805F8" w:rsidRPr="008D1E00">
        <w:rPr>
          <w:rFonts w:cstheme="minorHAnsi"/>
        </w:rPr>
        <w:t>Whilst</w:t>
      </w:r>
      <w:r w:rsidR="00140687" w:rsidRPr="008D1E00">
        <w:rPr>
          <w:rFonts w:cstheme="minorHAnsi"/>
          <w:color w:val="000000"/>
        </w:rPr>
        <w:t xml:space="preserve"> it has been identified that </w:t>
      </w:r>
      <w:r w:rsidR="00C07AC2" w:rsidRPr="008D1E00">
        <w:rPr>
          <w:rFonts w:cstheme="minorHAnsi"/>
          <w:color w:val="000000"/>
        </w:rPr>
        <w:t xml:space="preserve">both cognitive and behavioural </w:t>
      </w:r>
      <w:r w:rsidR="00B5624F" w:rsidRPr="008D1E00">
        <w:rPr>
          <w:rFonts w:cstheme="minorHAnsi"/>
          <w:color w:val="000000"/>
        </w:rPr>
        <w:t xml:space="preserve">factors </w:t>
      </w:r>
      <w:r w:rsidR="00C07AC2" w:rsidRPr="008D1E00">
        <w:rPr>
          <w:rFonts w:cstheme="minorHAnsi"/>
          <w:color w:val="000000"/>
        </w:rPr>
        <w:t>may play a role when treating this phobia</w:t>
      </w:r>
      <w:r w:rsidR="00140687" w:rsidRPr="008D1E00">
        <w:rPr>
          <w:rFonts w:cstheme="minorHAnsi"/>
          <w:color w:val="000000"/>
        </w:rPr>
        <w:t xml:space="preserve">, there is no established </w:t>
      </w:r>
      <w:r w:rsidR="00C07AC2" w:rsidRPr="008D1E00">
        <w:rPr>
          <w:rFonts w:cstheme="minorHAnsi"/>
          <w:color w:val="000000"/>
        </w:rPr>
        <w:t>treatment model</w:t>
      </w:r>
      <w:r w:rsidR="00B5624F" w:rsidRPr="008D1E00">
        <w:rPr>
          <w:rFonts w:cstheme="minorHAnsi"/>
          <w:color w:val="000000"/>
        </w:rPr>
        <w:t xml:space="preserve">. </w:t>
      </w:r>
      <w:r w:rsidR="007166E8" w:rsidRPr="008D1E00">
        <w:rPr>
          <w:rFonts w:cstheme="minorHAnsi"/>
          <w:color w:val="000000"/>
        </w:rPr>
        <w:t xml:space="preserve">Salkovskis (2002) argues that </w:t>
      </w:r>
      <w:r w:rsidR="00F326C7" w:rsidRPr="008D1E00">
        <w:rPr>
          <w:rFonts w:cstheme="minorHAnsi"/>
          <w:color w:val="000000"/>
        </w:rPr>
        <w:t>CBT</w:t>
      </w:r>
      <w:r w:rsidR="007166E8" w:rsidRPr="008D1E00">
        <w:rPr>
          <w:rFonts w:cstheme="minorHAnsi"/>
          <w:color w:val="000000"/>
        </w:rPr>
        <w:t xml:space="preserve"> progresses through a multi-dimensional approach, where empirically grounded clinical interventions from other disorders may be used in the absence of adequate data for a new presentation.</w:t>
      </w:r>
      <w:r w:rsidR="00B5624F" w:rsidRPr="008D1E00">
        <w:rPr>
          <w:rFonts w:cstheme="minorHAnsi"/>
          <w:color w:val="000000"/>
        </w:rPr>
        <w:t xml:space="preserve"> </w:t>
      </w:r>
      <w:r w:rsidR="00F326C7" w:rsidRPr="008D1E00">
        <w:rPr>
          <w:rFonts w:cstheme="minorHAnsi"/>
          <w:color w:val="000000"/>
        </w:rPr>
        <w:t xml:space="preserve">The case study </w:t>
      </w:r>
      <w:r w:rsidR="00140687" w:rsidRPr="008D1E00">
        <w:rPr>
          <w:rFonts w:cstheme="minorHAnsi"/>
          <w:color w:val="000000"/>
        </w:rPr>
        <w:t xml:space="preserve">aims to demonstrate the utility of this approach in treating this debilitating phobia, and to </w:t>
      </w:r>
      <w:r w:rsidR="005E1A7D" w:rsidRPr="008D1E00">
        <w:rPr>
          <w:rFonts w:cstheme="minorHAnsi"/>
          <w:color w:val="000000"/>
        </w:rPr>
        <w:t xml:space="preserve">add to the current </w:t>
      </w:r>
      <w:r w:rsidR="00012ECC" w:rsidRPr="008D1E00">
        <w:rPr>
          <w:rFonts w:cstheme="minorHAnsi"/>
          <w:color w:val="000000"/>
        </w:rPr>
        <w:t xml:space="preserve">limited </w:t>
      </w:r>
      <w:r w:rsidR="005E1A7D" w:rsidRPr="008D1E00">
        <w:rPr>
          <w:rFonts w:cstheme="minorHAnsi"/>
          <w:color w:val="000000"/>
        </w:rPr>
        <w:t xml:space="preserve">literature on this specific phobia. </w:t>
      </w:r>
    </w:p>
    <w:p w14:paraId="081252B8" w14:textId="77777777" w:rsidR="0017612B" w:rsidRPr="008D1E00" w:rsidRDefault="0017612B" w:rsidP="00CB4EF4">
      <w:pPr>
        <w:spacing w:line="360" w:lineRule="auto"/>
        <w:jc w:val="center"/>
        <w:rPr>
          <w:rFonts w:cstheme="minorHAnsi"/>
          <w:b/>
        </w:rPr>
      </w:pPr>
    </w:p>
    <w:p w14:paraId="41FC1364" w14:textId="77777777" w:rsidR="0017612B" w:rsidRPr="008D1E00" w:rsidRDefault="0017612B" w:rsidP="00CB4EF4">
      <w:pPr>
        <w:spacing w:line="360" w:lineRule="auto"/>
        <w:jc w:val="center"/>
        <w:rPr>
          <w:rFonts w:cstheme="minorHAnsi"/>
          <w:b/>
        </w:rPr>
      </w:pPr>
      <w:r w:rsidRPr="008D1E00">
        <w:rPr>
          <w:rFonts w:cstheme="minorHAnsi"/>
          <w:b/>
        </w:rPr>
        <w:t>Method</w:t>
      </w:r>
    </w:p>
    <w:p w14:paraId="7E80C628" w14:textId="77777777" w:rsidR="0017612B" w:rsidRPr="008D1E00" w:rsidRDefault="0017612B" w:rsidP="00CB4EF4">
      <w:pPr>
        <w:spacing w:line="360" w:lineRule="auto"/>
        <w:jc w:val="center"/>
        <w:rPr>
          <w:rFonts w:cstheme="minorHAnsi"/>
          <w:b/>
        </w:rPr>
      </w:pPr>
    </w:p>
    <w:p w14:paraId="5AE20471" w14:textId="232DCF37" w:rsidR="00140687" w:rsidRPr="008D1E00" w:rsidRDefault="007B20BE" w:rsidP="00CB4EF4">
      <w:pPr>
        <w:spacing w:line="360" w:lineRule="auto"/>
        <w:rPr>
          <w:rFonts w:cstheme="minorHAnsi"/>
        </w:rPr>
      </w:pPr>
      <w:r w:rsidRPr="008D1E00">
        <w:rPr>
          <w:rFonts w:cstheme="minorHAnsi"/>
        </w:rPr>
        <w:t>“Martin”</w:t>
      </w:r>
      <w:r w:rsidR="00012ECC" w:rsidRPr="008D1E00">
        <w:rPr>
          <w:rFonts w:cstheme="minorHAnsi"/>
        </w:rPr>
        <w:t xml:space="preserve">, </w:t>
      </w:r>
      <w:r w:rsidR="006F3A13" w:rsidRPr="008D1E00">
        <w:rPr>
          <w:rFonts w:cstheme="minorHAnsi"/>
        </w:rPr>
        <w:t xml:space="preserve">(a pseudonym) </w:t>
      </w:r>
      <w:r w:rsidR="00661B72" w:rsidRPr="008D1E00">
        <w:rPr>
          <w:rFonts w:cstheme="minorHAnsi"/>
        </w:rPr>
        <w:t>presented with a phobia of urinary incontinence</w:t>
      </w:r>
      <w:r w:rsidR="006869E3" w:rsidRPr="008D1E00">
        <w:rPr>
          <w:rFonts w:cstheme="minorHAnsi"/>
        </w:rPr>
        <w:t xml:space="preserve">. </w:t>
      </w:r>
      <w:r w:rsidR="002E0B83" w:rsidRPr="008D1E00">
        <w:rPr>
          <w:rFonts w:cstheme="minorHAnsi"/>
        </w:rPr>
        <w:t xml:space="preserve">Cognitive, physical, emotional and behavioural factors that </w:t>
      </w:r>
      <w:r w:rsidR="00783E3B" w:rsidRPr="008D1E00">
        <w:rPr>
          <w:rFonts w:cstheme="minorHAnsi"/>
        </w:rPr>
        <w:t>played a part in the development and maintenance of the phobia were identified</w:t>
      </w:r>
      <w:r w:rsidR="000B4045" w:rsidRPr="008D1E00">
        <w:rPr>
          <w:rFonts w:cstheme="minorHAnsi"/>
        </w:rPr>
        <w:t xml:space="preserve">. Martin described a clear catastrophic misinterpretation of physical sensations, thus when collaboratively developing an </w:t>
      </w:r>
      <w:r w:rsidR="00B0271F" w:rsidRPr="008D1E00">
        <w:rPr>
          <w:rFonts w:cstheme="minorHAnsi"/>
        </w:rPr>
        <w:t>idiosyncratic formulation</w:t>
      </w:r>
      <w:r w:rsidR="000B4045" w:rsidRPr="008D1E00">
        <w:rPr>
          <w:rFonts w:cstheme="minorHAnsi"/>
        </w:rPr>
        <w:t>,</w:t>
      </w:r>
      <w:r w:rsidR="00012ECC" w:rsidRPr="008D1E00">
        <w:rPr>
          <w:rFonts w:cstheme="minorHAnsi"/>
        </w:rPr>
        <w:t xml:space="preserve"> </w:t>
      </w:r>
      <w:r w:rsidR="000B4045" w:rsidRPr="008D1E00">
        <w:rPr>
          <w:rFonts w:cstheme="minorHAnsi"/>
        </w:rPr>
        <w:t xml:space="preserve"> it was informed by </w:t>
      </w:r>
      <w:r w:rsidR="00783E3B" w:rsidRPr="008D1E00">
        <w:rPr>
          <w:rFonts w:cstheme="minorHAnsi"/>
        </w:rPr>
        <w:t xml:space="preserve">Clark’s </w:t>
      </w:r>
      <w:r w:rsidR="00891C10" w:rsidRPr="008D1E00">
        <w:rPr>
          <w:rFonts w:cstheme="minorHAnsi"/>
        </w:rPr>
        <w:t>(1986</w:t>
      </w:r>
      <w:r w:rsidR="00783E3B" w:rsidRPr="008D1E00">
        <w:rPr>
          <w:rFonts w:cstheme="minorHAnsi"/>
        </w:rPr>
        <w:t xml:space="preserve">) established cognitive behavioural model </w:t>
      </w:r>
      <w:r w:rsidR="00012ECC" w:rsidRPr="008D1E00">
        <w:rPr>
          <w:rFonts w:cstheme="minorHAnsi"/>
        </w:rPr>
        <w:t>of Panic Disorder</w:t>
      </w:r>
      <w:r w:rsidR="000B4045" w:rsidRPr="008D1E00">
        <w:rPr>
          <w:rFonts w:cstheme="minorHAnsi"/>
        </w:rPr>
        <w:t>, in the absence of an existing model of phobia of urinary incontinence</w:t>
      </w:r>
      <w:r w:rsidR="00783E3B" w:rsidRPr="008D1E00">
        <w:rPr>
          <w:rFonts w:cstheme="minorHAnsi"/>
        </w:rPr>
        <w:t>.</w:t>
      </w:r>
      <w:r w:rsidR="000B4045" w:rsidRPr="008D1E00">
        <w:rPr>
          <w:rFonts w:cstheme="minorHAnsi"/>
        </w:rPr>
        <w:t xml:space="preserve"> Clark (1986) established that </w:t>
      </w:r>
      <w:r w:rsidR="00140687" w:rsidRPr="008D1E00">
        <w:rPr>
          <w:rFonts w:cstheme="minorHAnsi"/>
        </w:rPr>
        <w:t xml:space="preserve">the catastrophic misinterpretation of </w:t>
      </w:r>
      <w:r w:rsidR="00891C10" w:rsidRPr="008D1E00">
        <w:rPr>
          <w:rFonts w:cstheme="minorHAnsi"/>
        </w:rPr>
        <w:lastRenderedPageBreak/>
        <w:t xml:space="preserve">physical sensations can result in </w:t>
      </w:r>
      <w:r w:rsidR="00012ECC" w:rsidRPr="008D1E00">
        <w:rPr>
          <w:rFonts w:cstheme="minorHAnsi"/>
        </w:rPr>
        <w:t>the experience of</w:t>
      </w:r>
      <w:r w:rsidR="00891C10" w:rsidRPr="008D1E00">
        <w:rPr>
          <w:rFonts w:cstheme="minorHAnsi"/>
        </w:rPr>
        <w:t xml:space="preserve"> severe anxiety</w:t>
      </w:r>
      <w:r w:rsidR="00140687" w:rsidRPr="008D1E00">
        <w:rPr>
          <w:rFonts w:cstheme="minorHAnsi"/>
        </w:rPr>
        <w:t xml:space="preserve">, </w:t>
      </w:r>
      <w:r w:rsidR="00891C10" w:rsidRPr="008D1E00">
        <w:rPr>
          <w:rFonts w:cstheme="minorHAnsi"/>
        </w:rPr>
        <w:t>further causing the individual to change their behaviour to reduce or avoid the anxiety</w:t>
      </w:r>
      <w:r w:rsidR="00B0271F" w:rsidRPr="008D1E00">
        <w:rPr>
          <w:rFonts w:cstheme="minorHAnsi"/>
        </w:rPr>
        <w:t>, reinforcing the catastrophic interpretation</w:t>
      </w:r>
      <w:r w:rsidR="00140687" w:rsidRPr="008D1E00">
        <w:rPr>
          <w:rFonts w:cstheme="minorHAnsi"/>
        </w:rPr>
        <w:t>. Therapeutic interventions were driven by the collaborative formulation.</w:t>
      </w:r>
    </w:p>
    <w:p w14:paraId="5FA875AA" w14:textId="6D8CF5F8" w:rsidR="00D569C2" w:rsidRPr="008D1E00" w:rsidRDefault="00891C10" w:rsidP="00CB4EF4">
      <w:pPr>
        <w:spacing w:line="360" w:lineRule="auto"/>
        <w:rPr>
          <w:rFonts w:cstheme="minorHAnsi"/>
        </w:rPr>
      </w:pPr>
      <w:r w:rsidRPr="008D1E00">
        <w:rPr>
          <w:rFonts w:cstheme="minorHAnsi"/>
        </w:rPr>
        <w:t xml:space="preserve"> </w:t>
      </w:r>
    </w:p>
    <w:p w14:paraId="3BA4ED0A" w14:textId="77777777" w:rsidR="00392740" w:rsidRPr="008D1E00" w:rsidRDefault="00392740" w:rsidP="00CB4EF4">
      <w:pPr>
        <w:spacing w:line="360" w:lineRule="auto"/>
        <w:rPr>
          <w:rFonts w:cstheme="minorHAnsi"/>
        </w:rPr>
      </w:pPr>
    </w:p>
    <w:p w14:paraId="6E5CD3DD" w14:textId="208D1020" w:rsidR="00D569C2" w:rsidRPr="008D1E00" w:rsidRDefault="00D569C2" w:rsidP="00CB4EF4">
      <w:pPr>
        <w:spacing w:line="360" w:lineRule="auto"/>
        <w:rPr>
          <w:rFonts w:cstheme="minorHAnsi"/>
          <w:i/>
        </w:rPr>
      </w:pPr>
      <w:r w:rsidRPr="008D1E00">
        <w:rPr>
          <w:rFonts w:cstheme="minorHAnsi"/>
          <w:i/>
        </w:rPr>
        <w:t xml:space="preserve">Measures </w:t>
      </w:r>
    </w:p>
    <w:p w14:paraId="2C148750" w14:textId="21425F29" w:rsidR="00CE0CB7" w:rsidRPr="008D1E00" w:rsidRDefault="00D569C2" w:rsidP="00CB4EF4">
      <w:pPr>
        <w:widowControl w:val="0"/>
        <w:autoSpaceDE w:val="0"/>
        <w:autoSpaceDN w:val="0"/>
        <w:adjustRightInd w:val="0"/>
        <w:spacing w:after="240" w:line="360" w:lineRule="auto"/>
        <w:rPr>
          <w:rFonts w:cstheme="minorHAnsi"/>
          <w:color w:val="000000"/>
        </w:rPr>
      </w:pPr>
      <w:r w:rsidRPr="008D1E00">
        <w:rPr>
          <w:rFonts w:cstheme="minorHAnsi"/>
        </w:rPr>
        <w:t>Martin completed validated self-report o</w:t>
      </w:r>
      <w:r w:rsidR="001D0E44" w:rsidRPr="008D1E00">
        <w:rPr>
          <w:rFonts w:cstheme="minorHAnsi"/>
        </w:rPr>
        <w:t xml:space="preserve">utcome measures on </w:t>
      </w:r>
      <w:r w:rsidR="003202BB" w:rsidRPr="008D1E00">
        <w:rPr>
          <w:rFonts w:cstheme="minorHAnsi"/>
        </w:rPr>
        <w:t xml:space="preserve">a </w:t>
      </w:r>
      <w:r w:rsidR="001D0E44" w:rsidRPr="008D1E00">
        <w:rPr>
          <w:rFonts w:cstheme="minorHAnsi"/>
        </w:rPr>
        <w:t>weekly basis</w:t>
      </w:r>
      <w:r w:rsidR="00EC1F54" w:rsidRPr="008D1E00">
        <w:rPr>
          <w:rFonts w:cstheme="minorHAnsi"/>
        </w:rPr>
        <w:t xml:space="preserve"> </w:t>
      </w:r>
      <w:r w:rsidR="00133CBD" w:rsidRPr="008D1E00">
        <w:rPr>
          <w:rFonts w:cstheme="minorHAnsi"/>
        </w:rPr>
        <w:t xml:space="preserve">including </w:t>
      </w:r>
      <w:r w:rsidR="00AB7E8C" w:rsidRPr="008D1E00">
        <w:rPr>
          <w:rFonts w:cstheme="minorHAnsi"/>
          <w:color w:val="000000"/>
        </w:rPr>
        <w:t xml:space="preserve">functional impairment </w:t>
      </w:r>
      <w:r w:rsidR="00EC1F54" w:rsidRPr="008D1E00">
        <w:rPr>
          <w:rFonts w:cstheme="minorHAnsi"/>
          <w:color w:val="000000"/>
        </w:rPr>
        <w:t>(</w:t>
      </w:r>
      <w:r w:rsidR="00AB7E8C" w:rsidRPr="008D1E00">
        <w:rPr>
          <w:rFonts w:cstheme="minorHAnsi"/>
          <w:color w:val="000000"/>
        </w:rPr>
        <w:t xml:space="preserve">WSAS; Mundt, Marks, Shear, &amp; Griest, </w:t>
      </w:r>
      <w:r w:rsidR="00012ECC" w:rsidRPr="008D1E00">
        <w:rPr>
          <w:rFonts w:cstheme="minorHAnsi"/>
          <w:color w:val="000000"/>
        </w:rPr>
        <w:t>2002)</w:t>
      </w:r>
      <w:r w:rsidR="00133CBD" w:rsidRPr="008D1E00">
        <w:rPr>
          <w:rFonts w:cstheme="minorHAnsi"/>
          <w:color w:val="000000"/>
        </w:rPr>
        <w:t xml:space="preserve">, </w:t>
      </w:r>
      <w:r w:rsidR="00AB7E8C" w:rsidRPr="008D1E00">
        <w:rPr>
          <w:rFonts w:cstheme="minorHAnsi"/>
          <w:color w:val="000000"/>
        </w:rPr>
        <w:t>spe</w:t>
      </w:r>
      <w:r w:rsidR="00012ECC" w:rsidRPr="008D1E00">
        <w:rPr>
          <w:rFonts w:cstheme="minorHAnsi"/>
          <w:color w:val="000000"/>
        </w:rPr>
        <w:t xml:space="preserve">cific anxiety based cognitions </w:t>
      </w:r>
      <w:r w:rsidR="00CE0CB7" w:rsidRPr="008D1E00">
        <w:rPr>
          <w:rFonts w:cstheme="minorHAnsi"/>
          <w:color w:val="000000"/>
        </w:rPr>
        <w:t>(Fear Questionnaire; Marks &amp; Mathews, 1979</w:t>
      </w:r>
      <w:r w:rsidR="00133CBD" w:rsidRPr="008D1E00">
        <w:rPr>
          <w:rFonts w:cstheme="minorHAnsi"/>
          <w:color w:val="000000"/>
        </w:rPr>
        <w:t>)</w:t>
      </w:r>
      <w:r w:rsidR="00CE0CB7" w:rsidRPr="008D1E00">
        <w:rPr>
          <w:rFonts w:cstheme="minorHAnsi"/>
          <w:color w:val="000000"/>
        </w:rPr>
        <w:t xml:space="preserve"> </w:t>
      </w:r>
      <w:r w:rsidR="00AB7E8C" w:rsidRPr="008D1E00">
        <w:rPr>
          <w:rFonts w:cstheme="minorHAnsi"/>
          <w:color w:val="000000"/>
        </w:rPr>
        <w:t>and Agoraphobic</w:t>
      </w:r>
      <w:r w:rsidR="00CE0CB7" w:rsidRPr="008D1E00">
        <w:rPr>
          <w:rFonts w:cstheme="minorHAnsi"/>
          <w:color w:val="000000"/>
        </w:rPr>
        <w:t xml:space="preserve"> Cognitions Questionnaire; </w:t>
      </w:r>
      <w:r w:rsidR="00AB7E8C" w:rsidRPr="008D1E00">
        <w:rPr>
          <w:rFonts w:cstheme="minorHAnsi"/>
          <w:color w:val="000000"/>
        </w:rPr>
        <w:t>C</w:t>
      </w:r>
      <w:r w:rsidR="00952C0C" w:rsidRPr="008D1E00">
        <w:rPr>
          <w:rFonts w:cstheme="minorHAnsi"/>
          <w:color w:val="000000"/>
        </w:rPr>
        <w:t>h</w:t>
      </w:r>
      <w:r w:rsidR="00AB7E8C" w:rsidRPr="008D1E00">
        <w:rPr>
          <w:rFonts w:cstheme="minorHAnsi"/>
          <w:color w:val="000000"/>
        </w:rPr>
        <w:t>ambless et al., 1984)</w:t>
      </w:r>
      <w:r w:rsidR="00196D4C" w:rsidRPr="008D1E00">
        <w:rPr>
          <w:rFonts w:cstheme="minorHAnsi"/>
          <w:color w:val="000000"/>
        </w:rPr>
        <w:t xml:space="preserve">. At his first appointment </w:t>
      </w:r>
      <w:r w:rsidR="00214D04" w:rsidRPr="008D1E00">
        <w:rPr>
          <w:rFonts w:cstheme="minorHAnsi"/>
          <w:color w:val="000000"/>
        </w:rPr>
        <w:t xml:space="preserve">Martin </w:t>
      </w:r>
      <w:r w:rsidR="00196D4C" w:rsidRPr="008D1E00">
        <w:rPr>
          <w:rFonts w:cstheme="minorHAnsi"/>
          <w:color w:val="000000"/>
        </w:rPr>
        <w:t>indicated substantial Specific Phobia symptomatology on the Fear Questionnaire</w:t>
      </w:r>
      <w:r w:rsidR="00E41C3B" w:rsidRPr="008D1E00">
        <w:rPr>
          <w:rFonts w:cstheme="minorHAnsi"/>
          <w:color w:val="000000"/>
        </w:rPr>
        <w:t xml:space="preserve"> (FQ)</w:t>
      </w:r>
      <w:r w:rsidR="00196D4C" w:rsidRPr="008D1E00">
        <w:rPr>
          <w:rFonts w:cstheme="minorHAnsi"/>
          <w:color w:val="000000"/>
        </w:rPr>
        <w:t>.</w:t>
      </w:r>
    </w:p>
    <w:p w14:paraId="4353A71A" w14:textId="6981AA66" w:rsidR="000E30F2" w:rsidRPr="008D1E00" w:rsidRDefault="00DD1AE3" w:rsidP="00CB4EF4">
      <w:pPr>
        <w:widowControl w:val="0"/>
        <w:autoSpaceDE w:val="0"/>
        <w:autoSpaceDN w:val="0"/>
        <w:adjustRightInd w:val="0"/>
        <w:spacing w:after="240" w:line="360" w:lineRule="auto"/>
        <w:rPr>
          <w:rFonts w:cstheme="minorHAnsi"/>
          <w:color w:val="000000"/>
        </w:rPr>
      </w:pPr>
      <w:r w:rsidRPr="008D1E00">
        <w:rPr>
          <w:rFonts w:cstheme="minorHAnsi"/>
          <w:i/>
        </w:rPr>
        <w:t xml:space="preserve">Patient profile </w:t>
      </w:r>
      <w:r w:rsidR="00B81633" w:rsidRPr="008D1E00">
        <w:rPr>
          <w:rFonts w:cstheme="minorHAnsi"/>
          <w:i/>
        </w:rPr>
        <w:br/>
      </w:r>
      <w:r w:rsidR="00F26DFA" w:rsidRPr="008D1E00">
        <w:rPr>
          <w:rFonts w:cstheme="minorHAnsi"/>
        </w:rPr>
        <w:t>Martin was a man in his early 30’s who self-referred for treatment to his local I</w:t>
      </w:r>
      <w:r w:rsidR="001E57FA" w:rsidRPr="008D1E00">
        <w:rPr>
          <w:rFonts w:cstheme="minorHAnsi"/>
        </w:rPr>
        <w:t xml:space="preserve">mproving Access to Psychological Therapies </w:t>
      </w:r>
      <w:r w:rsidR="00140687" w:rsidRPr="008D1E00">
        <w:rPr>
          <w:rFonts w:cstheme="minorHAnsi"/>
        </w:rPr>
        <w:t xml:space="preserve">(IAPT) </w:t>
      </w:r>
      <w:r w:rsidR="001E57FA" w:rsidRPr="008D1E00">
        <w:rPr>
          <w:rFonts w:cstheme="minorHAnsi"/>
        </w:rPr>
        <w:t>Service</w:t>
      </w:r>
      <w:r w:rsidR="00F26DFA" w:rsidRPr="008D1E00">
        <w:rPr>
          <w:rFonts w:cstheme="minorHAnsi"/>
        </w:rPr>
        <w:t xml:space="preserve">. </w:t>
      </w:r>
      <w:r w:rsidR="00B1215B" w:rsidRPr="008D1E00">
        <w:rPr>
          <w:rFonts w:cstheme="minorHAnsi"/>
        </w:rPr>
        <w:t>A</w:t>
      </w:r>
      <w:r w:rsidR="00F26DFA" w:rsidRPr="008D1E00">
        <w:rPr>
          <w:rFonts w:cstheme="minorHAnsi"/>
          <w:color w:val="000000"/>
        </w:rPr>
        <w:t>ssessment indicated that Martin met the DSM-</w:t>
      </w:r>
      <w:r w:rsidR="000B4045" w:rsidRPr="008D1E00">
        <w:rPr>
          <w:rFonts w:cstheme="minorHAnsi"/>
          <w:color w:val="000000"/>
        </w:rPr>
        <w:t>5</w:t>
      </w:r>
      <w:r w:rsidR="00F26DFA" w:rsidRPr="008D1E00">
        <w:rPr>
          <w:rFonts w:cstheme="minorHAnsi"/>
          <w:color w:val="000000"/>
        </w:rPr>
        <w:t xml:space="preserve"> (A</w:t>
      </w:r>
      <w:r w:rsidR="00343FD8" w:rsidRPr="008D1E00">
        <w:rPr>
          <w:rFonts w:cstheme="minorHAnsi"/>
          <w:color w:val="000000"/>
        </w:rPr>
        <w:t xml:space="preserve">merican </w:t>
      </w:r>
      <w:r w:rsidR="00F26DFA" w:rsidRPr="008D1E00">
        <w:rPr>
          <w:rFonts w:cstheme="minorHAnsi"/>
          <w:color w:val="000000"/>
        </w:rPr>
        <w:t>P</w:t>
      </w:r>
      <w:r w:rsidR="00343FD8" w:rsidRPr="008D1E00">
        <w:rPr>
          <w:rFonts w:cstheme="minorHAnsi"/>
          <w:color w:val="000000"/>
        </w:rPr>
        <w:t xml:space="preserve">sychiatric </w:t>
      </w:r>
      <w:r w:rsidR="00F26DFA" w:rsidRPr="008D1E00">
        <w:rPr>
          <w:rFonts w:cstheme="minorHAnsi"/>
          <w:color w:val="000000"/>
        </w:rPr>
        <w:t>A</w:t>
      </w:r>
      <w:r w:rsidR="00343FD8" w:rsidRPr="008D1E00">
        <w:rPr>
          <w:rFonts w:cstheme="minorHAnsi"/>
          <w:color w:val="000000"/>
        </w:rPr>
        <w:t>ssociation</w:t>
      </w:r>
      <w:r w:rsidR="00F26DFA" w:rsidRPr="008D1E00">
        <w:rPr>
          <w:rFonts w:cstheme="minorHAnsi"/>
          <w:color w:val="000000"/>
        </w:rPr>
        <w:t>, 2013) diagnostic criteria for Specific Phobia.</w:t>
      </w:r>
      <w:r w:rsidR="00ED1349" w:rsidRPr="008D1E00">
        <w:rPr>
          <w:rFonts w:cstheme="minorHAnsi"/>
          <w:color w:val="000000"/>
        </w:rPr>
        <w:t xml:space="preserve"> </w:t>
      </w:r>
      <w:r w:rsidR="00CE0CB7" w:rsidRPr="008D1E00">
        <w:rPr>
          <w:rFonts w:cstheme="minorHAnsi"/>
          <w:color w:val="000000"/>
        </w:rPr>
        <w:t>His</w:t>
      </w:r>
      <w:r w:rsidR="00F26DFA" w:rsidRPr="008D1E00">
        <w:rPr>
          <w:rFonts w:cstheme="minorHAnsi"/>
          <w:color w:val="000000"/>
        </w:rPr>
        <w:t xml:space="preserve"> fear of urinary incontinence beg</w:t>
      </w:r>
      <w:r w:rsidR="001A4DC1" w:rsidRPr="008D1E00">
        <w:rPr>
          <w:rFonts w:cstheme="minorHAnsi"/>
          <w:color w:val="000000"/>
        </w:rPr>
        <w:t>an</w:t>
      </w:r>
      <w:r w:rsidR="00F26DFA" w:rsidRPr="008D1E00">
        <w:rPr>
          <w:rFonts w:cstheme="minorHAnsi"/>
          <w:color w:val="000000"/>
        </w:rPr>
        <w:t xml:space="preserve"> 9 months </w:t>
      </w:r>
      <w:r w:rsidR="00CE0CB7" w:rsidRPr="008D1E00">
        <w:rPr>
          <w:rFonts w:cstheme="minorHAnsi"/>
          <w:color w:val="000000"/>
        </w:rPr>
        <w:t>previous</w:t>
      </w:r>
      <w:r w:rsidR="00F26DFA" w:rsidRPr="008D1E00">
        <w:rPr>
          <w:rFonts w:cstheme="minorHAnsi"/>
          <w:color w:val="000000"/>
        </w:rPr>
        <w:t>, after he suddenly experienced a burning sensation in his urethra whilst travel</w:t>
      </w:r>
      <w:r w:rsidR="00D6183F" w:rsidRPr="008D1E00">
        <w:rPr>
          <w:rFonts w:cstheme="minorHAnsi"/>
          <w:color w:val="000000"/>
        </w:rPr>
        <w:t>l</w:t>
      </w:r>
      <w:r w:rsidR="00F26DFA" w:rsidRPr="008D1E00">
        <w:rPr>
          <w:rFonts w:cstheme="minorHAnsi"/>
          <w:color w:val="000000"/>
        </w:rPr>
        <w:t xml:space="preserve">ing on public transport. The fear of public incontinence </w:t>
      </w:r>
      <w:r w:rsidR="000B4045" w:rsidRPr="008D1E00">
        <w:rPr>
          <w:rFonts w:cstheme="minorHAnsi"/>
          <w:color w:val="000000"/>
        </w:rPr>
        <w:t xml:space="preserve">provoked </w:t>
      </w:r>
      <w:r w:rsidR="00F26DFA" w:rsidRPr="008D1E00">
        <w:rPr>
          <w:rFonts w:cstheme="minorHAnsi"/>
          <w:color w:val="000000"/>
        </w:rPr>
        <w:t>severe anxiety, and he exited the public transport to use a nearby bathroom</w:t>
      </w:r>
      <w:r w:rsidR="000B4045" w:rsidRPr="008D1E00">
        <w:rPr>
          <w:rFonts w:cstheme="minorHAnsi"/>
          <w:color w:val="000000"/>
        </w:rPr>
        <w:t>. H</w:t>
      </w:r>
      <w:r w:rsidR="00F26DFA" w:rsidRPr="008D1E00">
        <w:rPr>
          <w:rFonts w:cstheme="minorHAnsi"/>
          <w:color w:val="000000"/>
        </w:rPr>
        <w:t>owever the sensation persisted a</w:t>
      </w:r>
      <w:r w:rsidR="003F0C3F" w:rsidRPr="008D1E00">
        <w:rPr>
          <w:rFonts w:cstheme="minorHAnsi"/>
          <w:color w:val="000000"/>
        </w:rPr>
        <w:t>nd he stopped to use bathrooms four more times over the next fifteen</w:t>
      </w:r>
      <w:r w:rsidR="00F26DFA" w:rsidRPr="008D1E00">
        <w:rPr>
          <w:rFonts w:cstheme="minorHAnsi"/>
          <w:color w:val="000000"/>
        </w:rPr>
        <w:t xml:space="preserve"> minutes. Following this event Martin </w:t>
      </w:r>
      <w:r w:rsidR="00111A13" w:rsidRPr="008D1E00">
        <w:rPr>
          <w:rFonts w:cstheme="minorHAnsi"/>
          <w:color w:val="000000"/>
        </w:rPr>
        <w:t>experienc</w:t>
      </w:r>
      <w:r w:rsidR="001A4DC1" w:rsidRPr="008D1E00">
        <w:rPr>
          <w:rFonts w:cstheme="minorHAnsi"/>
          <w:color w:val="000000"/>
        </w:rPr>
        <w:t>ed</w:t>
      </w:r>
      <w:r w:rsidR="00111A13" w:rsidRPr="008D1E00">
        <w:rPr>
          <w:rFonts w:cstheme="minorHAnsi"/>
          <w:color w:val="000000"/>
        </w:rPr>
        <w:t xml:space="preserve"> </w:t>
      </w:r>
      <w:r w:rsidR="003202BB" w:rsidRPr="008D1E00">
        <w:rPr>
          <w:rFonts w:cstheme="minorHAnsi"/>
          <w:color w:val="000000"/>
        </w:rPr>
        <w:t xml:space="preserve">a </w:t>
      </w:r>
      <w:r w:rsidR="00111A13" w:rsidRPr="008D1E00">
        <w:rPr>
          <w:rFonts w:cstheme="minorHAnsi"/>
          <w:color w:val="000000"/>
        </w:rPr>
        <w:t xml:space="preserve">marked </w:t>
      </w:r>
      <w:r w:rsidR="003202BB" w:rsidRPr="008D1E00">
        <w:rPr>
          <w:rFonts w:cstheme="minorHAnsi"/>
          <w:color w:val="000000"/>
        </w:rPr>
        <w:t xml:space="preserve">perceived risk </w:t>
      </w:r>
      <w:r w:rsidR="00111A13" w:rsidRPr="008D1E00">
        <w:rPr>
          <w:rFonts w:cstheme="minorHAnsi"/>
          <w:color w:val="000000"/>
        </w:rPr>
        <w:t>of urinary incontinence in pub</w:t>
      </w:r>
      <w:r w:rsidR="003202BB" w:rsidRPr="008D1E00">
        <w:rPr>
          <w:rFonts w:cstheme="minorHAnsi"/>
          <w:color w:val="000000"/>
        </w:rPr>
        <w:t xml:space="preserve">lic </w:t>
      </w:r>
      <w:r w:rsidR="00CE0CB7" w:rsidRPr="008D1E00">
        <w:rPr>
          <w:rFonts w:cstheme="minorHAnsi"/>
          <w:color w:val="000000"/>
        </w:rPr>
        <w:t>that resulted in severe anxiety w</w:t>
      </w:r>
      <w:r w:rsidR="000E30F2" w:rsidRPr="008D1E00">
        <w:rPr>
          <w:rFonts w:cstheme="minorHAnsi"/>
          <w:color w:val="000000"/>
        </w:rPr>
        <w:t>hen he</w:t>
      </w:r>
      <w:r w:rsidR="00CE0CB7" w:rsidRPr="008D1E00">
        <w:rPr>
          <w:rFonts w:cstheme="minorHAnsi"/>
          <w:color w:val="000000"/>
        </w:rPr>
        <w:t xml:space="preserve"> believed he</w:t>
      </w:r>
      <w:r w:rsidR="000E30F2" w:rsidRPr="008D1E00">
        <w:rPr>
          <w:rFonts w:cstheme="minorHAnsi"/>
          <w:color w:val="000000"/>
        </w:rPr>
        <w:t xml:space="preserve"> did not have immediate and easy access to a toilet. His fear and level of avoidance was persistent and had lasted more than 6 months. </w:t>
      </w:r>
      <w:r w:rsidR="006F3A13" w:rsidRPr="008D1E00">
        <w:rPr>
          <w:rFonts w:cstheme="minorHAnsi"/>
          <w:color w:val="000000"/>
        </w:rPr>
        <w:t>His anxiety</w:t>
      </w:r>
      <w:r w:rsidR="000E30F2" w:rsidRPr="008D1E00">
        <w:rPr>
          <w:rFonts w:cstheme="minorHAnsi"/>
          <w:color w:val="000000"/>
        </w:rPr>
        <w:t xml:space="preserve"> caused significant distress and impairment</w:t>
      </w:r>
      <w:r w:rsidR="001A4DC1" w:rsidRPr="008D1E00">
        <w:rPr>
          <w:rFonts w:cstheme="minorHAnsi"/>
          <w:color w:val="000000"/>
        </w:rPr>
        <w:t xml:space="preserve">, </w:t>
      </w:r>
      <w:r w:rsidR="000E30F2" w:rsidRPr="008D1E00">
        <w:rPr>
          <w:rFonts w:cstheme="minorHAnsi"/>
          <w:color w:val="000000"/>
        </w:rPr>
        <w:t>reduced his quality of life, and made it hard for him to focus on work related tasks</w:t>
      </w:r>
      <w:r w:rsidR="000B4045" w:rsidRPr="008D1E00">
        <w:rPr>
          <w:rFonts w:cstheme="minorHAnsi"/>
          <w:color w:val="000000"/>
        </w:rPr>
        <w:t>,</w:t>
      </w:r>
      <w:r w:rsidR="000E30F2" w:rsidRPr="008D1E00">
        <w:rPr>
          <w:rFonts w:cstheme="minorHAnsi"/>
          <w:color w:val="000000"/>
        </w:rPr>
        <w:t xml:space="preserve"> or engage in his relationship. He did not meet criteria for any other disorder. </w:t>
      </w:r>
    </w:p>
    <w:p w14:paraId="0DC6D6ED" w14:textId="207E94BA" w:rsidR="00111A13" w:rsidRPr="008D1E00" w:rsidRDefault="00CD1BBE" w:rsidP="00CB4EF4">
      <w:pPr>
        <w:widowControl w:val="0"/>
        <w:autoSpaceDE w:val="0"/>
        <w:autoSpaceDN w:val="0"/>
        <w:adjustRightInd w:val="0"/>
        <w:spacing w:after="240" w:line="360" w:lineRule="auto"/>
        <w:rPr>
          <w:rFonts w:cstheme="minorHAnsi"/>
          <w:color w:val="000000"/>
        </w:rPr>
      </w:pPr>
      <w:r w:rsidRPr="008D1E00">
        <w:rPr>
          <w:rFonts w:cstheme="minorHAnsi"/>
          <w:color w:val="000000"/>
        </w:rPr>
        <w:t xml:space="preserve">We formulated a specific event when Martin attended a meeting at work and noticed that his bladder felt full. </w:t>
      </w:r>
      <w:r w:rsidR="00D6183F" w:rsidRPr="008D1E00">
        <w:rPr>
          <w:rFonts w:cstheme="minorHAnsi"/>
          <w:color w:val="000000"/>
        </w:rPr>
        <w:t>His interpretation of this physical sensation was</w:t>
      </w:r>
      <w:r w:rsidRPr="008D1E00">
        <w:rPr>
          <w:rFonts w:cstheme="minorHAnsi"/>
          <w:color w:val="000000"/>
        </w:rPr>
        <w:t xml:space="preserve"> ‘I’m going to wet myself’, which triggered anxiety. Martin’s increased anxiety caused him to notice</w:t>
      </w:r>
      <w:r w:rsidR="00D6183F" w:rsidRPr="008D1E00">
        <w:rPr>
          <w:rFonts w:cstheme="minorHAnsi"/>
          <w:color w:val="000000"/>
        </w:rPr>
        <w:t xml:space="preserve"> physical sensations, including</w:t>
      </w:r>
      <w:r w:rsidRPr="008D1E00">
        <w:rPr>
          <w:rFonts w:cstheme="minorHAnsi"/>
          <w:color w:val="000000"/>
        </w:rPr>
        <w:t xml:space="preserve"> pressure on his bladder, tense muscles, increased heart rate, agitation, and a sense that his trousers felt tighter. These physical sensations activated </w:t>
      </w:r>
      <w:r w:rsidR="00D6183F" w:rsidRPr="008D1E00">
        <w:rPr>
          <w:rFonts w:cstheme="minorHAnsi"/>
          <w:color w:val="000000"/>
        </w:rPr>
        <w:t xml:space="preserve">further </w:t>
      </w:r>
      <w:r w:rsidRPr="008D1E00">
        <w:rPr>
          <w:rFonts w:cstheme="minorHAnsi"/>
          <w:color w:val="000000"/>
        </w:rPr>
        <w:t xml:space="preserve">catastrophic </w:t>
      </w:r>
      <w:r w:rsidR="00D6183F" w:rsidRPr="008D1E00">
        <w:rPr>
          <w:rFonts w:cstheme="minorHAnsi"/>
          <w:color w:val="000000"/>
        </w:rPr>
        <w:t>misinterpretations:</w:t>
      </w:r>
      <w:r w:rsidR="003F0C3F" w:rsidRPr="008D1E00">
        <w:rPr>
          <w:rFonts w:cstheme="minorHAnsi"/>
          <w:color w:val="000000"/>
        </w:rPr>
        <w:t xml:space="preserve"> ‘I will lose control </w:t>
      </w:r>
      <w:r w:rsidR="00D6183F" w:rsidRPr="008D1E00">
        <w:rPr>
          <w:rFonts w:cstheme="minorHAnsi"/>
          <w:color w:val="000000"/>
        </w:rPr>
        <w:t xml:space="preserve">of my bladder </w:t>
      </w:r>
      <w:r w:rsidR="003F0C3F" w:rsidRPr="008D1E00">
        <w:rPr>
          <w:rFonts w:cstheme="minorHAnsi"/>
          <w:color w:val="000000"/>
        </w:rPr>
        <w:t>and wet myself’,</w:t>
      </w:r>
      <w:r w:rsidR="004014D0" w:rsidRPr="008D1E00">
        <w:rPr>
          <w:rFonts w:cstheme="minorHAnsi"/>
          <w:color w:val="000000"/>
        </w:rPr>
        <w:t xml:space="preserve"> ‘It will be everywhere </w:t>
      </w:r>
      <w:r w:rsidR="004014D0" w:rsidRPr="008D1E00">
        <w:rPr>
          <w:rFonts w:cstheme="minorHAnsi"/>
          <w:color w:val="000000"/>
        </w:rPr>
        <w:lastRenderedPageBreak/>
        <w:t xml:space="preserve">and form a big puddle’; ‘It will be </w:t>
      </w:r>
      <w:r w:rsidR="006F3A13" w:rsidRPr="008D1E00">
        <w:rPr>
          <w:rFonts w:cstheme="minorHAnsi"/>
          <w:color w:val="000000"/>
        </w:rPr>
        <w:t>everywhere,</w:t>
      </w:r>
      <w:r w:rsidR="004014D0" w:rsidRPr="008D1E00">
        <w:rPr>
          <w:rFonts w:cstheme="minorHAnsi"/>
          <w:color w:val="000000"/>
        </w:rPr>
        <w:t xml:space="preserve"> and everyone will notice’ and ‘It will stink, and others will be angry, disgusted and offended by me’. </w:t>
      </w:r>
      <w:r w:rsidR="0001229D" w:rsidRPr="008D1E00">
        <w:rPr>
          <w:rFonts w:cstheme="minorHAnsi"/>
          <w:color w:val="000000"/>
        </w:rPr>
        <w:t>In an effort to prevent this</w:t>
      </w:r>
      <w:r w:rsidR="003F0C3F" w:rsidRPr="008D1E00">
        <w:rPr>
          <w:rFonts w:cstheme="minorHAnsi"/>
          <w:color w:val="000000"/>
        </w:rPr>
        <w:t xml:space="preserve"> happening, Martin would engage in thought suppression, distraction</w:t>
      </w:r>
      <w:r w:rsidR="000B4045" w:rsidRPr="008D1E00">
        <w:rPr>
          <w:rFonts w:cstheme="minorHAnsi"/>
          <w:color w:val="000000"/>
        </w:rPr>
        <w:t xml:space="preserve"> and </w:t>
      </w:r>
      <w:r w:rsidR="003F0C3F" w:rsidRPr="008D1E00">
        <w:rPr>
          <w:rFonts w:cstheme="minorHAnsi"/>
          <w:color w:val="000000"/>
        </w:rPr>
        <w:t xml:space="preserve">reassurance seeking, and pre-plan excuses and exit routes. </w:t>
      </w:r>
      <w:r w:rsidR="00111A13" w:rsidRPr="008D1E00">
        <w:rPr>
          <w:rFonts w:cstheme="minorHAnsi"/>
          <w:color w:val="000000"/>
        </w:rPr>
        <w:t>He would a</w:t>
      </w:r>
      <w:r w:rsidR="009B3A1B" w:rsidRPr="008D1E00">
        <w:rPr>
          <w:rFonts w:cstheme="minorHAnsi"/>
          <w:color w:val="000000"/>
        </w:rPr>
        <w:t>c</w:t>
      </w:r>
      <w:r w:rsidR="00FD7A00" w:rsidRPr="008D1E00">
        <w:rPr>
          <w:rFonts w:cstheme="minorHAnsi"/>
          <w:color w:val="000000"/>
        </w:rPr>
        <w:t xml:space="preserve">tively avoid social situations, </w:t>
      </w:r>
      <w:r w:rsidR="009B3A1B" w:rsidRPr="008D1E00">
        <w:rPr>
          <w:rFonts w:cstheme="minorHAnsi"/>
          <w:color w:val="000000"/>
        </w:rPr>
        <w:t>travel on publ</w:t>
      </w:r>
      <w:r w:rsidR="00FD7A00" w:rsidRPr="008D1E00">
        <w:rPr>
          <w:rFonts w:cstheme="minorHAnsi"/>
          <w:color w:val="000000"/>
        </w:rPr>
        <w:t>ic transport,</w:t>
      </w:r>
      <w:r w:rsidR="00111A13" w:rsidRPr="008D1E00">
        <w:rPr>
          <w:rFonts w:cstheme="minorHAnsi"/>
          <w:color w:val="000000"/>
        </w:rPr>
        <w:t xml:space="preserve"> or any other situations where he might not be able to take himself away from others and have immediate access to a bathroom. </w:t>
      </w:r>
      <w:r w:rsidR="00FD7A00" w:rsidRPr="008D1E00">
        <w:rPr>
          <w:rFonts w:cstheme="minorHAnsi"/>
          <w:color w:val="000000"/>
        </w:rPr>
        <w:t>When leaving his home, he would meticulously plan his journey, bring changes of clothes</w:t>
      </w:r>
      <w:r w:rsidR="00A62540" w:rsidRPr="008D1E00">
        <w:rPr>
          <w:rFonts w:cstheme="minorHAnsi"/>
          <w:color w:val="000000"/>
        </w:rPr>
        <w:t>, wear dark clothing,</w:t>
      </w:r>
      <w:r w:rsidR="00FD7A00" w:rsidRPr="008D1E00">
        <w:rPr>
          <w:rFonts w:cstheme="minorHAnsi"/>
          <w:color w:val="000000"/>
        </w:rPr>
        <w:t xml:space="preserve"> and use male sanitary pads. </w:t>
      </w:r>
    </w:p>
    <w:p w14:paraId="10F1425D" w14:textId="0310105B" w:rsidR="00CE0CB7" w:rsidRPr="008D1E00" w:rsidRDefault="00CE0CB7" w:rsidP="00392740">
      <w:pPr>
        <w:widowControl w:val="0"/>
        <w:autoSpaceDE w:val="0"/>
        <w:autoSpaceDN w:val="0"/>
        <w:adjustRightInd w:val="0"/>
        <w:spacing w:line="360" w:lineRule="auto"/>
        <w:rPr>
          <w:rFonts w:cstheme="minorHAnsi"/>
          <w:i/>
        </w:rPr>
      </w:pPr>
    </w:p>
    <w:p w14:paraId="524BCDA8" w14:textId="267C7DC2" w:rsidR="00392740" w:rsidRPr="008D1E00" w:rsidRDefault="003D3DBE" w:rsidP="00392740">
      <w:pPr>
        <w:widowControl w:val="0"/>
        <w:autoSpaceDE w:val="0"/>
        <w:autoSpaceDN w:val="0"/>
        <w:adjustRightInd w:val="0"/>
        <w:spacing w:line="360" w:lineRule="auto"/>
        <w:rPr>
          <w:rFonts w:cstheme="minorHAnsi"/>
          <w:i/>
        </w:rPr>
      </w:pPr>
      <w:r w:rsidRPr="008D1E00">
        <w:rPr>
          <w:rFonts w:cstheme="minorHAnsi"/>
          <w:i/>
        </w:rPr>
        <w:t>Procedures and intervention</w:t>
      </w:r>
    </w:p>
    <w:p w14:paraId="72DE2F5C" w14:textId="2F814ED8" w:rsidR="007A5053" w:rsidRPr="008D1E00" w:rsidRDefault="00AA7FC7" w:rsidP="00CB4EF4">
      <w:pPr>
        <w:widowControl w:val="0"/>
        <w:autoSpaceDE w:val="0"/>
        <w:autoSpaceDN w:val="0"/>
        <w:adjustRightInd w:val="0"/>
        <w:spacing w:after="240" w:line="360" w:lineRule="auto"/>
        <w:rPr>
          <w:rFonts w:cstheme="minorHAnsi"/>
        </w:rPr>
      </w:pPr>
      <w:r w:rsidRPr="008D1E00">
        <w:rPr>
          <w:rFonts w:cstheme="minorHAnsi"/>
        </w:rPr>
        <w:t>Martin</w:t>
      </w:r>
      <w:r w:rsidR="0088563C" w:rsidRPr="008D1E00">
        <w:rPr>
          <w:rFonts w:cstheme="minorHAnsi"/>
        </w:rPr>
        <w:t xml:space="preserve"> attended an initial </w:t>
      </w:r>
      <w:r w:rsidR="006F3A13" w:rsidRPr="008D1E00">
        <w:rPr>
          <w:rFonts w:cstheme="minorHAnsi"/>
        </w:rPr>
        <w:t>two-hour</w:t>
      </w:r>
      <w:r w:rsidR="002D778D" w:rsidRPr="008D1E00">
        <w:rPr>
          <w:rFonts w:cstheme="minorHAnsi"/>
        </w:rPr>
        <w:t xml:space="preserve"> </w:t>
      </w:r>
      <w:r w:rsidR="0088563C" w:rsidRPr="008D1E00">
        <w:rPr>
          <w:rFonts w:cstheme="minorHAnsi"/>
        </w:rPr>
        <w:t xml:space="preserve">assessment and a </w:t>
      </w:r>
      <w:r w:rsidR="00B73D67" w:rsidRPr="008D1E00">
        <w:rPr>
          <w:rFonts w:cstheme="minorHAnsi"/>
        </w:rPr>
        <w:t>tota</w:t>
      </w:r>
      <w:r w:rsidR="002D778D" w:rsidRPr="008D1E00">
        <w:rPr>
          <w:rFonts w:cstheme="minorHAnsi"/>
        </w:rPr>
        <w:t xml:space="preserve">l of twelve </w:t>
      </w:r>
      <w:r w:rsidR="006F3A13" w:rsidRPr="008D1E00">
        <w:rPr>
          <w:rFonts w:cstheme="minorHAnsi"/>
        </w:rPr>
        <w:t>one-hour</w:t>
      </w:r>
      <w:r w:rsidR="002D778D" w:rsidRPr="008D1E00">
        <w:rPr>
          <w:rFonts w:cstheme="minorHAnsi"/>
        </w:rPr>
        <w:t xml:space="preserve"> sessions of CBT</w:t>
      </w:r>
      <w:r w:rsidR="0088563C" w:rsidRPr="008D1E00">
        <w:rPr>
          <w:rFonts w:cstheme="minorHAnsi"/>
        </w:rPr>
        <w:t xml:space="preserve">. </w:t>
      </w:r>
      <w:r w:rsidR="0088563C" w:rsidRPr="008D1E00">
        <w:rPr>
          <w:rFonts w:cstheme="minorHAnsi"/>
          <w:color w:val="000000"/>
        </w:rPr>
        <w:t xml:space="preserve">In between </w:t>
      </w:r>
      <w:r w:rsidR="000B4045" w:rsidRPr="008D1E00">
        <w:rPr>
          <w:rFonts w:cstheme="minorHAnsi"/>
          <w:color w:val="000000"/>
        </w:rPr>
        <w:t xml:space="preserve">each </w:t>
      </w:r>
      <w:r w:rsidR="0088563C" w:rsidRPr="008D1E00">
        <w:rPr>
          <w:rFonts w:cstheme="minorHAnsi"/>
          <w:color w:val="000000"/>
        </w:rPr>
        <w:t>session, Martin would complete the homework tasks, listen to his record</w:t>
      </w:r>
      <w:r w:rsidR="009B7498" w:rsidRPr="008D1E00">
        <w:rPr>
          <w:rFonts w:cstheme="minorHAnsi"/>
          <w:color w:val="000000"/>
        </w:rPr>
        <w:t>ing of the</w:t>
      </w:r>
      <w:r w:rsidR="000B4045" w:rsidRPr="008D1E00">
        <w:rPr>
          <w:rFonts w:cstheme="minorHAnsi"/>
          <w:color w:val="000000"/>
        </w:rPr>
        <w:t xml:space="preserve"> previous</w:t>
      </w:r>
      <w:r w:rsidR="009B7498" w:rsidRPr="008D1E00">
        <w:rPr>
          <w:rFonts w:cstheme="minorHAnsi"/>
          <w:color w:val="000000"/>
        </w:rPr>
        <w:t xml:space="preserve"> session and create </w:t>
      </w:r>
      <w:r w:rsidR="0088563C" w:rsidRPr="008D1E00">
        <w:rPr>
          <w:rFonts w:cstheme="minorHAnsi"/>
          <w:color w:val="000000"/>
        </w:rPr>
        <w:t>a brief summary of key points from the session.</w:t>
      </w:r>
      <w:r w:rsidR="009B7498" w:rsidRPr="008D1E00">
        <w:rPr>
          <w:rFonts w:cstheme="minorHAnsi"/>
          <w:color w:val="000000"/>
        </w:rPr>
        <w:t xml:space="preserve"> The first </w:t>
      </w:r>
      <w:r w:rsidR="002D778D" w:rsidRPr="008D1E00">
        <w:rPr>
          <w:rFonts w:cstheme="minorHAnsi"/>
          <w:color w:val="000000"/>
        </w:rPr>
        <w:t>two</w:t>
      </w:r>
      <w:r w:rsidR="009B7498" w:rsidRPr="008D1E00">
        <w:rPr>
          <w:rFonts w:cstheme="minorHAnsi"/>
          <w:color w:val="000000"/>
        </w:rPr>
        <w:t xml:space="preserve"> sessions focused on collaboratively developing a shared maintenance </w:t>
      </w:r>
      <w:r w:rsidR="002D778D" w:rsidRPr="008D1E00">
        <w:rPr>
          <w:rFonts w:cstheme="minorHAnsi"/>
          <w:color w:val="000000"/>
        </w:rPr>
        <w:t>formulation</w:t>
      </w:r>
      <w:r w:rsidR="009B7498" w:rsidRPr="008D1E00">
        <w:rPr>
          <w:rFonts w:cstheme="minorHAnsi"/>
          <w:color w:val="000000"/>
        </w:rPr>
        <w:t xml:space="preserve"> and identifying treatment goals. </w:t>
      </w:r>
      <w:r w:rsidR="00A65B9B" w:rsidRPr="008D1E00">
        <w:rPr>
          <w:rFonts w:cstheme="minorHAnsi"/>
        </w:rPr>
        <w:t xml:space="preserve">Session three offered </w:t>
      </w:r>
      <w:r w:rsidR="00EA6EEA" w:rsidRPr="008D1E00">
        <w:rPr>
          <w:rFonts w:cstheme="minorHAnsi"/>
        </w:rPr>
        <w:t>psychoeducation</w:t>
      </w:r>
      <w:r w:rsidR="00B50382" w:rsidRPr="008D1E00">
        <w:rPr>
          <w:rFonts w:cstheme="minorHAnsi"/>
        </w:rPr>
        <w:t xml:space="preserve"> on the role of attention </w:t>
      </w:r>
      <w:r w:rsidR="00A65B9B" w:rsidRPr="008D1E00">
        <w:rPr>
          <w:rFonts w:cstheme="minorHAnsi"/>
        </w:rPr>
        <w:t xml:space="preserve">and bladder capacity and average urine output per hour. Subsequent sessions </w:t>
      </w:r>
      <w:r w:rsidR="00CE0CB7" w:rsidRPr="008D1E00">
        <w:rPr>
          <w:rFonts w:cstheme="minorHAnsi"/>
        </w:rPr>
        <w:t xml:space="preserve">focused on </w:t>
      </w:r>
      <w:r w:rsidR="00EA6EEA" w:rsidRPr="008D1E00">
        <w:rPr>
          <w:rFonts w:cstheme="minorHAnsi"/>
        </w:rPr>
        <w:t>behavioural experiments testing the impact of avoidance and the use of safety seeking behaviours</w:t>
      </w:r>
      <w:r w:rsidR="00BE0760" w:rsidRPr="008D1E00">
        <w:rPr>
          <w:rFonts w:cstheme="minorHAnsi"/>
        </w:rPr>
        <w:t xml:space="preserve"> in maintaining his </w:t>
      </w:r>
      <w:r w:rsidR="00CE0CB7" w:rsidRPr="008D1E00">
        <w:rPr>
          <w:rFonts w:cstheme="minorHAnsi"/>
        </w:rPr>
        <w:t xml:space="preserve">beliefs about </w:t>
      </w:r>
      <w:r w:rsidR="004A3780" w:rsidRPr="008D1E00">
        <w:rPr>
          <w:rFonts w:cstheme="minorHAnsi"/>
        </w:rPr>
        <w:t>his incontinence, which required spontaneity and inventiveness by both client and therapist, use of survey data</w:t>
      </w:r>
      <w:r w:rsidR="006A0050" w:rsidRPr="008D1E00">
        <w:rPr>
          <w:rFonts w:cstheme="minorHAnsi"/>
        </w:rPr>
        <w:t>,</w:t>
      </w:r>
      <w:r w:rsidR="004A3780" w:rsidRPr="008D1E00">
        <w:rPr>
          <w:rFonts w:cstheme="minorHAnsi"/>
        </w:rPr>
        <w:t xml:space="preserve"> and cognitive restructuring</w:t>
      </w:r>
      <w:r w:rsidR="00FE264D" w:rsidRPr="008D1E00">
        <w:rPr>
          <w:rFonts w:cstheme="minorHAnsi"/>
        </w:rPr>
        <w:t>.</w:t>
      </w:r>
      <w:r w:rsidR="00405AD9" w:rsidRPr="008D1E00">
        <w:rPr>
          <w:rFonts w:cstheme="minorHAnsi"/>
        </w:rPr>
        <w:t xml:space="preserve"> </w:t>
      </w:r>
      <w:r w:rsidR="007F1D94" w:rsidRPr="008D1E00">
        <w:rPr>
          <w:rFonts w:cstheme="minorHAnsi"/>
        </w:rPr>
        <w:t>To reduce self-focused attention, attention training was introduc</w:t>
      </w:r>
      <w:r w:rsidR="00FE264D" w:rsidRPr="008D1E00">
        <w:rPr>
          <w:rFonts w:cstheme="minorHAnsi"/>
        </w:rPr>
        <w:t>ed towards the end of treatment</w:t>
      </w:r>
      <w:r w:rsidR="00140687" w:rsidRPr="008D1E00">
        <w:rPr>
          <w:rFonts w:cstheme="minorHAnsi"/>
        </w:rPr>
        <w:t xml:space="preserve">, followed by a </w:t>
      </w:r>
      <w:r w:rsidR="002A0171" w:rsidRPr="008D1E00">
        <w:rPr>
          <w:rFonts w:cstheme="minorHAnsi"/>
        </w:rPr>
        <w:t>detailed</w:t>
      </w:r>
      <w:r w:rsidR="00140687" w:rsidRPr="008D1E00">
        <w:rPr>
          <w:rFonts w:cstheme="minorHAnsi"/>
        </w:rPr>
        <w:t xml:space="preserve"> </w:t>
      </w:r>
      <w:r w:rsidR="002A0171" w:rsidRPr="008D1E00">
        <w:rPr>
          <w:rFonts w:cstheme="minorHAnsi"/>
        </w:rPr>
        <w:t xml:space="preserve">therapy blueprint and relapse prevention plan. </w:t>
      </w:r>
      <w:r w:rsidR="007A5053" w:rsidRPr="008D1E00">
        <w:rPr>
          <w:rFonts w:cstheme="minorHAnsi"/>
        </w:rPr>
        <w:t>Table 1 below outlines examples of behavioural experiments conducted.</w:t>
      </w:r>
    </w:p>
    <w:p w14:paraId="2E6481AF" w14:textId="6E135435" w:rsidR="00CD6C85" w:rsidRPr="008D1E00" w:rsidRDefault="007A5053" w:rsidP="00CB4EF4">
      <w:pPr>
        <w:widowControl w:val="0"/>
        <w:autoSpaceDE w:val="0"/>
        <w:autoSpaceDN w:val="0"/>
        <w:adjustRightInd w:val="0"/>
        <w:spacing w:after="240" w:line="360" w:lineRule="auto"/>
        <w:rPr>
          <w:rFonts w:cstheme="minorHAnsi"/>
        </w:rPr>
      </w:pPr>
      <w:r w:rsidRPr="008D1E00">
        <w:rPr>
          <w:rFonts w:cstheme="minorHAnsi"/>
        </w:rPr>
        <w:t xml:space="preserve">Table 1 about here </w:t>
      </w:r>
    </w:p>
    <w:p w14:paraId="45F079BC" w14:textId="77777777" w:rsidR="00735C46" w:rsidRPr="008D1E00" w:rsidRDefault="00735C46" w:rsidP="00CB4EF4">
      <w:pPr>
        <w:widowControl w:val="0"/>
        <w:autoSpaceDE w:val="0"/>
        <w:autoSpaceDN w:val="0"/>
        <w:adjustRightInd w:val="0"/>
        <w:spacing w:after="240" w:line="360" w:lineRule="auto"/>
        <w:rPr>
          <w:rFonts w:cstheme="minorHAnsi"/>
        </w:rPr>
      </w:pPr>
    </w:p>
    <w:p w14:paraId="12B8C425" w14:textId="7D02B418" w:rsidR="00DD1AE3" w:rsidRPr="008D1E00" w:rsidRDefault="003D3DBE" w:rsidP="00CB4EF4">
      <w:pPr>
        <w:widowControl w:val="0"/>
        <w:autoSpaceDE w:val="0"/>
        <w:autoSpaceDN w:val="0"/>
        <w:adjustRightInd w:val="0"/>
        <w:spacing w:after="240" w:line="360" w:lineRule="auto"/>
        <w:jc w:val="center"/>
        <w:rPr>
          <w:rFonts w:cstheme="minorHAnsi"/>
          <w:b/>
        </w:rPr>
      </w:pPr>
      <w:r w:rsidRPr="008D1E00">
        <w:rPr>
          <w:rFonts w:cstheme="minorHAnsi"/>
          <w:b/>
        </w:rPr>
        <w:t>Results</w:t>
      </w:r>
    </w:p>
    <w:p w14:paraId="61048F5E" w14:textId="64EBFA7A" w:rsidR="00FD462B" w:rsidRPr="008D1E00" w:rsidRDefault="00E41C3B" w:rsidP="00CB4EF4">
      <w:pPr>
        <w:widowControl w:val="0"/>
        <w:autoSpaceDE w:val="0"/>
        <w:autoSpaceDN w:val="0"/>
        <w:adjustRightInd w:val="0"/>
        <w:spacing w:after="240" w:line="360" w:lineRule="auto"/>
        <w:rPr>
          <w:rFonts w:cstheme="minorHAnsi"/>
          <w:color w:val="000000"/>
        </w:rPr>
      </w:pPr>
      <w:r w:rsidRPr="008D1E00">
        <w:rPr>
          <w:rFonts w:cstheme="minorHAnsi"/>
        </w:rPr>
        <w:t xml:space="preserve">Martin’s scores on </w:t>
      </w:r>
      <w:r w:rsidR="00AA566E" w:rsidRPr="008D1E00">
        <w:rPr>
          <w:rFonts w:cstheme="minorHAnsi"/>
        </w:rPr>
        <w:t xml:space="preserve">all outcome measures </w:t>
      </w:r>
      <w:r w:rsidRPr="008D1E00">
        <w:rPr>
          <w:rFonts w:cstheme="minorHAnsi"/>
        </w:rPr>
        <w:t>significantly reduced</w:t>
      </w:r>
      <w:r w:rsidR="000C1BD9" w:rsidRPr="008D1E00">
        <w:rPr>
          <w:rFonts w:cstheme="minorHAnsi"/>
        </w:rPr>
        <w:t xml:space="preserve">, indicating a significant reduction in </w:t>
      </w:r>
      <w:r w:rsidR="00051712" w:rsidRPr="008D1E00">
        <w:rPr>
          <w:rFonts w:cstheme="minorHAnsi"/>
        </w:rPr>
        <w:t xml:space="preserve">distressing </w:t>
      </w:r>
      <w:r w:rsidR="000C1BD9" w:rsidRPr="008D1E00">
        <w:rPr>
          <w:rFonts w:cstheme="minorHAnsi"/>
        </w:rPr>
        <w:t>symptomatology and phobia cognitions</w:t>
      </w:r>
      <w:r w:rsidR="00AA566E" w:rsidRPr="008D1E00">
        <w:rPr>
          <w:rFonts w:cstheme="minorHAnsi"/>
        </w:rPr>
        <w:t xml:space="preserve">. </w:t>
      </w:r>
      <w:r w:rsidRPr="008D1E00">
        <w:rPr>
          <w:rFonts w:cstheme="minorHAnsi"/>
        </w:rPr>
        <w:t xml:space="preserve"> </w:t>
      </w:r>
      <w:r w:rsidR="00AA566E" w:rsidRPr="008D1E00">
        <w:rPr>
          <w:rFonts w:cstheme="minorHAnsi"/>
          <w:color w:val="000000"/>
        </w:rPr>
        <w:t>His WASA indicated subclinical functional impairment, whilst the Phobia Scales</w:t>
      </w:r>
      <w:r w:rsidR="0029519B" w:rsidRPr="008D1E00">
        <w:rPr>
          <w:rFonts w:cstheme="minorHAnsi"/>
          <w:color w:val="000000"/>
        </w:rPr>
        <w:t xml:space="preserve"> and the anxiety specific measures (FQ, ACQ)</w:t>
      </w:r>
      <w:r w:rsidR="00AA566E" w:rsidRPr="008D1E00">
        <w:rPr>
          <w:rFonts w:cstheme="minorHAnsi"/>
          <w:color w:val="000000"/>
        </w:rPr>
        <w:t xml:space="preserve"> no longer ind</w:t>
      </w:r>
      <w:r w:rsidR="0029519B" w:rsidRPr="008D1E00">
        <w:rPr>
          <w:rFonts w:cstheme="minorHAnsi"/>
          <w:color w:val="000000"/>
        </w:rPr>
        <w:t>icated the presence of a phobia</w:t>
      </w:r>
      <w:r w:rsidR="000C1BD9" w:rsidRPr="008D1E00">
        <w:rPr>
          <w:rFonts w:cstheme="minorHAnsi"/>
          <w:color w:val="000000"/>
        </w:rPr>
        <w:t xml:space="preserve">. He </w:t>
      </w:r>
      <w:r w:rsidR="00AA566E" w:rsidRPr="008D1E00">
        <w:rPr>
          <w:rFonts w:cstheme="minorHAnsi"/>
          <w:color w:val="000000"/>
        </w:rPr>
        <w:t xml:space="preserve">no longer met </w:t>
      </w:r>
      <w:r w:rsidR="00FD462B" w:rsidRPr="008D1E00">
        <w:rPr>
          <w:rFonts w:cstheme="minorHAnsi"/>
          <w:color w:val="000000"/>
        </w:rPr>
        <w:t>DSM-5 diagnostic criteria for a specific phobia</w:t>
      </w:r>
      <w:r w:rsidR="00AA566E" w:rsidRPr="008D1E00">
        <w:rPr>
          <w:rFonts w:cstheme="minorHAnsi"/>
          <w:color w:val="000000"/>
        </w:rPr>
        <w:t xml:space="preserve"> at discharge. </w:t>
      </w:r>
      <w:r w:rsidR="00FD462B" w:rsidRPr="008D1E00">
        <w:rPr>
          <w:rFonts w:cstheme="minorHAnsi"/>
          <w:color w:val="000000"/>
        </w:rPr>
        <w:t xml:space="preserve">Subjectively, </w:t>
      </w:r>
      <w:r w:rsidR="00AA566E" w:rsidRPr="008D1E00">
        <w:rPr>
          <w:rFonts w:cstheme="minorHAnsi"/>
          <w:color w:val="000000"/>
        </w:rPr>
        <w:t xml:space="preserve">Martin </w:t>
      </w:r>
      <w:r w:rsidR="00FD462B" w:rsidRPr="008D1E00">
        <w:rPr>
          <w:rFonts w:cstheme="minorHAnsi"/>
          <w:color w:val="000000"/>
        </w:rPr>
        <w:t xml:space="preserve">reported significant progress and </w:t>
      </w:r>
      <w:r w:rsidR="00AA566E" w:rsidRPr="008D1E00">
        <w:rPr>
          <w:rFonts w:cstheme="minorHAnsi"/>
          <w:color w:val="000000"/>
        </w:rPr>
        <w:t xml:space="preserve">said therapy had allowed him to regain his old </w:t>
      </w:r>
      <w:r w:rsidR="00FD462B" w:rsidRPr="008D1E00">
        <w:rPr>
          <w:rFonts w:cstheme="minorHAnsi"/>
          <w:color w:val="000000"/>
        </w:rPr>
        <w:t xml:space="preserve">life. </w:t>
      </w:r>
      <w:r w:rsidR="006613CC" w:rsidRPr="008D1E00">
        <w:rPr>
          <w:rFonts w:cstheme="minorHAnsi"/>
          <w:color w:val="000000"/>
        </w:rPr>
        <w:t xml:space="preserve">Martin identified the use of </w:t>
      </w:r>
      <w:r w:rsidR="006613CC" w:rsidRPr="008D1E00">
        <w:rPr>
          <w:rFonts w:cstheme="minorHAnsi"/>
          <w:color w:val="000000"/>
        </w:rPr>
        <w:lastRenderedPageBreak/>
        <w:t xml:space="preserve">behavioural experiments and a survey to test his beliefs as particularly useful therapy interventions. </w:t>
      </w:r>
      <w:r w:rsidR="00140687" w:rsidRPr="008D1E00">
        <w:rPr>
          <w:rFonts w:cstheme="minorHAnsi"/>
          <w:color w:val="000000"/>
        </w:rPr>
        <w:t>Two</w:t>
      </w:r>
      <w:r w:rsidR="006E48AA" w:rsidRPr="008D1E00">
        <w:rPr>
          <w:rFonts w:cstheme="minorHAnsi"/>
          <w:color w:val="000000"/>
        </w:rPr>
        <w:t xml:space="preserve"> particular </w:t>
      </w:r>
      <w:r w:rsidR="006A0050" w:rsidRPr="008D1E00">
        <w:rPr>
          <w:rFonts w:cstheme="minorHAnsi"/>
          <w:color w:val="000000"/>
        </w:rPr>
        <w:t xml:space="preserve">behavioural experiments </w:t>
      </w:r>
      <w:r w:rsidR="006E48AA" w:rsidRPr="008D1E00">
        <w:rPr>
          <w:rFonts w:cstheme="minorHAnsi"/>
          <w:color w:val="000000"/>
        </w:rPr>
        <w:t>resulted in a</w:t>
      </w:r>
      <w:r w:rsidR="006613CC" w:rsidRPr="008D1E00">
        <w:rPr>
          <w:rFonts w:cstheme="minorHAnsi"/>
          <w:color w:val="000000"/>
        </w:rPr>
        <w:t xml:space="preserve"> significant change in Martin’s scores</w:t>
      </w:r>
      <w:r w:rsidR="00140687" w:rsidRPr="008D1E00">
        <w:rPr>
          <w:rFonts w:cstheme="minorHAnsi"/>
          <w:color w:val="000000"/>
        </w:rPr>
        <w:t xml:space="preserve">: </w:t>
      </w:r>
      <w:r w:rsidR="006A0050" w:rsidRPr="008D1E00">
        <w:rPr>
          <w:rFonts w:cstheme="minorHAnsi"/>
          <w:color w:val="000000"/>
        </w:rPr>
        <w:t xml:space="preserve">(1) therapist </w:t>
      </w:r>
      <w:r w:rsidR="006613CC" w:rsidRPr="008D1E00">
        <w:rPr>
          <w:rFonts w:cstheme="minorHAnsi"/>
          <w:color w:val="000000"/>
        </w:rPr>
        <w:t>modelling</w:t>
      </w:r>
      <w:r w:rsidR="006E48AA" w:rsidRPr="008D1E00">
        <w:rPr>
          <w:rFonts w:cstheme="minorHAnsi"/>
          <w:color w:val="000000"/>
        </w:rPr>
        <w:t xml:space="preserve"> to pretend to lose continence in public</w:t>
      </w:r>
      <w:r w:rsidR="00140687" w:rsidRPr="008D1E00">
        <w:rPr>
          <w:rFonts w:cstheme="minorHAnsi"/>
          <w:color w:val="000000"/>
        </w:rPr>
        <w:t xml:space="preserve">, and </w:t>
      </w:r>
      <w:r w:rsidR="006A0050" w:rsidRPr="008D1E00">
        <w:rPr>
          <w:rFonts w:cstheme="minorHAnsi"/>
          <w:color w:val="000000"/>
        </w:rPr>
        <w:t xml:space="preserve">(2) Martin engaging in </w:t>
      </w:r>
      <w:r w:rsidR="006E48AA" w:rsidRPr="008D1E00">
        <w:rPr>
          <w:rFonts w:cstheme="minorHAnsi"/>
          <w:color w:val="000000"/>
        </w:rPr>
        <w:t xml:space="preserve">physical exercise for 20 minutes after drinking a sizeable quantity of water. </w:t>
      </w:r>
      <w:r w:rsidR="006A0050" w:rsidRPr="008D1E00">
        <w:rPr>
          <w:rFonts w:cstheme="minorHAnsi"/>
          <w:color w:val="000000"/>
        </w:rPr>
        <w:t>His belief ratings rapidly shifted from 100% to 0% in these BEs; in the event of a lesser shift, the therapist and Martin would have planned and executed further behavioural experiments as in-session and self-directed tasks until he had achieved a 0% belief in these threat appraisals.</w:t>
      </w:r>
      <w:r w:rsidR="006A0050" w:rsidRPr="008D1E00">
        <w:rPr>
          <w:rFonts w:cstheme="minorHAnsi"/>
          <w:b/>
          <w:bCs/>
          <w:color w:val="000000"/>
        </w:rPr>
        <w:t xml:space="preserve"> </w:t>
      </w:r>
      <w:r w:rsidR="00FD462B" w:rsidRPr="008D1E00">
        <w:rPr>
          <w:rFonts w:cstheme="minorHAnsi"/>
          <w:color w:val="000000"/>
        </w:rPr>
        <w:t>At the end of therapy Martin was regularly attending meetings, and was trave</w:t>
      </w:r>
      <w:r w:rsidR="007D3121" w:rsidRPr="008D1E00">
        <w:rPr>
          <w:rFonts w:cstheme="minorHAnsi"/>
          <w:color w:val="000000"/>
        </w:rPr>
        <w:t>l</w:t>
      </w:r>
      <w:r w:rsidR="00FD462B" w:rsidRPr="008D1E00">
        <w:rPr>
          <w:rFonts w:cstheme="minorHAnsi"/>
          <w:color w:val="000000"/>
        </w:rPr>
        <w:t>ling on public transport daily without preplanning his trips or engaging in safety seeking behaviour. H</w:t>
      </w:r>
      <w:r w:rsidR="00BE0760" w:rsidRPr="008D1E00">
        <w:rPr>
          <w:rFonts w:cstheme="minorHAnsi"/>
          <w:color w:val="000000"/>
        </w:rPr>
        <w:t>e had booked a long-haul flight</w:t>
      </w:r>
      <w:r w:rsidR="00FD462B" w:rsidRPr="008D1E00">
        <w:rPr>
          <w:rFonts w:cstheme="minorHAnsi"/>
          <w:color w:val="000000"/>
        </w:rPr>
        <w:t xml:space="preserve">, and reported no anxiety about the upcoming journey.  </w:t>
      </w:r>
    </w:p>
    <w:p w14:paraId="4BCDD5FF" w14:textId="77777777" w:rsidR="00735C46" w:rsidRPr="008D1E00" w:rsidRDefault="00735C46" w:rsidP="00CB4EF4">
      <w:pPr>
        <w:widowControl w:val="0"/>
        <w:autoSpaceDE w:val="0"/>
        <w:autoSpaceDN w:val="0"/>
        <w:adjustRightInd w:val="0"/>
        <w:spacing w:after="240" w:line="360" w:lineRule="auto"/>
        <w:rPr>
          <w:rFonts w:cstheme="minorHAnsi"/>
          <w:color w:val="000000"/>
        </w:rPr>
      </w:pPr>
    </w:p>
    <w:p w14:paraId="1255CB41" w14:textId="77777777" w:rsidR="00602BDB" w:rsidRPr="008D1E00" w:rsidRDefault="00602BDB" w:rsidP="00343FD8">
      <w:pPr>
        <w:widowControl w:val="0"/>
        <w:autoSpaceDE w:val="0"/>
        <w:autoSpaceDN w:val="0"/>
        <w:adjustRightInd w:val="0"/>
        <w:spacing w:after="240" w:line="360" w:lineRule="auto"/>
        <w:rPr>
          <w:rFonts w:cstheme="minorHAnsi"/>
          <w:b/>
        </w:rPr>
      </w:pPr>
    </w:p>
    <w:p w14:paraId="0AE136DF" w14:textId="0FB9648B" w:rsidR="003D3DBE" w:rsidRPr="008D1E00" w:rsidRDefault="003D3DBE" w:rsidP="00CB4EF4">
      <w:pPr>
        <w:widowControl w:val="0"/>
        <w:autoSpaceDE w:val="0"/>
        <w:autoSpaceDN w:val="0"/>
        <w:adjustRightInd w:val="0"/>
        <w:spacing w:after="240" w:line="360" w:lineRule="auto"/>
        <w:jc w:val="center"/>
        <w:rPr>
          <w:rFonts w:cstheme="minorHAnsi"/>
          <w:b/>
        </w:rPr>
      </w:pPr>
      <w:r w:rsidRPr="008D1E00">
        <w:rPr>
          <w:rFonts w:cstheme="minorHAnsi"/>
          <w:b/>
        </w:rPr>
        <w:t>Discussion</w:t>
      </w:r>
    </w:p>
    <w:p w14:paraId="2EC0F63C" w14:textId="0C681D8C" w:rsidR="00E8326F" w:rsidRPr="008D1E00" w:rsidRDefault="006A0050" w:rsidP="00E8326F">
      <w:pPr>
        <w:widowControl w:val="0"/>
        <w:autoSpaceDE w:val="0"/>
        <w:autoSpaceDN w:val="0"/>
        <w:adjustRightInd w:val="0"/>
        <w:spacing w:after="240" w:line="360" w:lineRule="auto"/>
        <w:rPr>
          <w:rFonts w:cstheme="minorHAnsi"/>
        </w:rPr>
      </w:pPr>
      <w:r w:rsidRPr="008D1E00">
        <w:rPr>
          <w:rFonts w:cstheme="minorHAnsi"/>
        </w:rPr>
        <w:t xml:space="preserve">Established cognitive models of anxiety disorders e.g. panic (Clark, 1986), social anxiety (Clark &amp; Wells, 1995) are based on clear formulations that focus therapeutic interventions on key cognitions. This case study helps to address the ‘gap in literature’ for specific phobia of urinary incontinence by illustrating how, </w:t>
      </w:r>
      <w:r w:rsidR="007D3121" w:rsidRPr="008D1E00">
        <w:rPr>
          <w:rFonts w:cstheme="minorHAnsi"/>
        </w:rPr>
        <w:t>in the absence of a</w:t>
      </w:r>
      <w:r w:rsidR="006613CC" w:rsidRPr="008D1E00">
        <w:rPr>
          <w:rFonts w:cstheme="minorHAnsi"/>
        </w:rPr>
        <w:t xml:space="preserve">n </w:t>
      </w:r>
      <w:r w:rsidR="007D3121" w:rsidRPr="008D1E00">
        <w:rPr>
          <w:rFonts w:cstheme="minorHAnsi"/>
        </w:rPr>
        <w:t>empirically supported treatment protocol</w:t>
      </w:r>
      <w:r w:rsidR="00140687" w:rsidRPr="008D1E00">
        <w:rPr>
          <w:rFonts w:cstheme="minorHAnsi"/>
        </w:rPr>
        <w:t>,</w:t>
      </w:r>
      <w:r w:rsidR="007D3121" w:rsidRPr="008D1E00">
        <w:rPr>
          <w:rFonts w:cstheme="minorHAnsi"/>
        </w:rPr>
        <w:t xml:space="preserve"> </w:t>
      </w:r>
      <w:r w:rsidR="00773B34" w:rsidRPr="008D1E00">
        <w:rPr>
          <w:rFonts w:cstheme="minorHAnsi"/>
        </w:rPr>
        <w:t xml:space="preserve">an idiosyncratic </w:t>
      </w:r>
      <w:r w:rsidR="007D3121" w:rsidRPr="008D1E00">
        <w:rPr>
          <w:rFonts w:cstheme="minorHAnsi"/>
        </w:rPr>
        <w:t>formulation</w:t>
      </w:r>
      <w:r w:rsidR="00773B34" w:rsidRPr="008D1E00">
        <w:rPr>
          <w:rFonts w:cstheme="minorHAnsi"/>
        </w:rPr>
        <w:t xml:space="preserve"> grounded in empirically supported and well-established mo</w:t>
      </w:r>
      <w:r w:rsidR="007D3121" w:rsidRPr="008D1E00">
        <w:rPr>
          <w:rFonts w:cstheme="minorHAnsi"/>
        </w:rPr>
        <w:t>dels of therapy, can help guide</w:t>
      </w:r>
      <w:r w:rsidR="00773B34" w:rsidRPr="008D1E00">
        <w:rPr>
          <w:rFonts w:cstheme="minorHAnsi"/>
        </w:rPr>
        <w:t xml:space="preserve"> treatment, determine treatment interventions and impact on the effectiveness of therapy. </w:t>
      </w:r>
      <w:r w:rsidR="00BE0760" w:rsidRPr="008D1E00">
        <w:rPr>
          <w:rFonts w:cstheme="minorHAnsi"/>
        </w:rPr>
        <w:t xml:space="preserve">It shows how a multitude of cognitive strategies rather than exposure </w:t>
      </w:r>
      <w:r w:rsidR="00051712" w:rsidRPr="008D1E00">
        <w:rPr>
          <w:rFonts w:cstheme="minorHAnsi"/>
        </w:rPr>
        <w:t xml:space="preserve">alone </w:t>
      </w:r>
      <w:r w:rsidR="00BE0760" w:rsidRPr="008D1E00">
        <w:rPr>
          <w:rFonts w:cstheme="minorHAnsi"/>
        </w:rPr>
        <w:t>can help reduce anxiety in</w:t>
      </w:r>
      <w:r w:rsidR="00140687" w:rsidRPr="008D1E00">
        <w:rPr>
          <w:rFonts w:cstheme="minorHAnsi"/>
        </w:rPr>
        <w:t xml:space="preserve"> ‘viscerally-centred’ phobias</w:t>
      </w:r>
      <w:r w:rsidR="00BE0760" w:rsidRPr="008D1E00">
        <w:rPr>
          <w:rFonts w:cstheme="minorHAnsi"/>
        </w:rPr>
        <w:t xml:space="preserve"> by </w:t>
      </w:r>
      <w:r w:rsidR="00E8326F" w:rsidRPr="008D1E00">
        <w:rPr>
          <w:rFonts w:cstheme="minorHAnsi"/>
        </w:rPr>
        <w:t>challenging the catastrophic misinterpretation of physical s</w:t>
      </w:r>
      <w:r w:rsidRPr="008D1E00">
        <w:rPr>
          <w:rFonts w:cstheme="minorHAnsi"/>
        </w:rPr>
        <w:t>ensations</w:t>
      </w:r>
      <w:r w:rsidR="00E8326F" w:rsidRPr="008D1E00">
        <w:rPr>
          <w:rFonts w:cstheme="minorHAnsi"/>
        </w:rPr>
        <w:t>.</w:t>
      </w:r>
    </w:p>
    <w:p w14:paraId="1F3842BD" w14:textId="0F2BAFF0" w:rsidR="00BE0760" w:rsidRPr="008D1E00" w:rsidRDefault="00BE0760" w:rsidP="00BE0760">
      <w:pPr>
        <w:widowControl w:val="0"/>
        <w:autoSpaceDE w:val="0"/>
        <w:autoSpaceDN w:val="0"/>
        <w:adjustRightInd w:val="0"/>
        <w:spacing w:after="240" w:line="360" w:lineRule="auto"/>
        <w:rPr>
          <w:rFonts w:cstheme="minorHAnsi"/>
        </w:rPr>
      </w:pPr>
      <w:r w:rsidRPr="008D1E00">
        <w:rPr>
          <w:rFonts w:cstheme="minorHAnsi"/>
        </w:rPr>
        <w:t>To establish an empirically valid model for this phobia that accurately outlines maintaining factors across individuals, further research is required using a larger population</w:t>
      </w:r>
      <w:r w:rsidR="00C46E05" w:rsidRPr="008D1E00">
        <w:rPr>
          <w:rFonts w:cstheme="minorHAnsi"/>
        </w:rPr>
        <w:t xml:space="preserve">. This will </w:t>
      </w:r>
      <w:r w:rsidR="00735C46" w:rsidRPr="008D1E00">
        <w:rPr>
          <w:rFonts w:cstheme="minorHAnsi"/>
          <w:color w:val="000000"/>
        </w:rPr>
        <w:t xml:space="preserve">give </w:t>
      </w:r>
      <w:r w:rsidRPr="008D1E00">
        <w:rPr>
          <w:rFonts w:cstheme="minorHAnsi"/>
          <w:color w:val="000000"/>
        </w:rPr>
        <w:t xml:space="preserve">clients with this debilitating phobia confidence </w:t>
      </w:r>
      <w:r w:rsidR="00735C46" w:rsidRPr="008D1E00">
        <w:rPr>
          <w:rFonts w:cstheme="minorHAnsi"/>
          <w:color w:val="000000"/>
        </w:rPr>
        <w:t>early on in therapy that treatment</w:t>
      </w:r>
      <w:r w:rsidRPr="008D1E00">
        <w:rPr>
          <w:rFonts w:cstheme="minorHAnsi"/>
          <w:color w:val="000000"/>
        </w:rPr>
        <w:t xml:space="preserve"> will be effective.</w:t>
      </w:r>
      <w:r w:rsidRPr="008D1E00">
        <w:rPr>
          <w:rFonts w:cstheme="minorHAnsi"/>
        </w:rPr>
        <w:t xml:space="preserve"> </w:t>
      </w:r>
    </w:p>
    <w:p w14:paraId="1F6DE417" w14:textId="77777777" w:rsidR="000D6979" w:rsidRDefault="000D6979" w:rsidP="00CB4EF4">
      <w:pPr>
        <w:widowControl w:val="0"/>
        <w:autoSpaceDE w:val="0"/>
        <w:autoSpaceDN w:val="0"/>
        <w:adjustRightInd w:val="0"/>
        <w:spacing w:after="240" w:line="360" w:lineRule="auto"/>
        <w:jc w:val="center"/>
        <w:rPr>
          <w:rFonts w:cstheme="minorHAnsi"/>
          <w:b/>
        </w:rPr>
      </w:pPr>
    </w:p>
    <w:p w14:paraId="4323AF85" w14:textId="77777777" w:rsidR="000D6979" w:rsidRDefault="000D6979" w:rsidP="00CB4EF4">
      <w:pPr>
        <w:widowControl w:val="0"/>
        <w:autoSpaceDE w:val="0"/>
        <w:autoSpaceDN w:val="0"/>
        <w:adjustRightInd w:val="0"/>
        <w:spacing w:after="240" w:line="360" w:lineRule="auto"/>
        <w:jc w:val="center"/>
        <w:rPr>
          <w:rFonts w:cstheme="minorHAnsi"/>
          <w:b/>
        </w:rPr>
      </w:pPr>
    </w:p>
    <w:p w14:paraId="7064EB1B" w14:textId="55D40DD6" w:rsidR="00DD1AE3" w:rsidRPr="008D1E00" w:rsidRDefault="00DD1AE3" w:rsidP="00CB4EF4">
      <w:pPr>
        <w:widowControl w:val="0"/>
        <w:autoSpaceDE w:val="0"/>
        <w:autoSpaceDN w:val="0"/>
        <w:adjustRightInd w:val="0"/>
        <w:spacing w:after="240" w:line="360" w:lineRule="auto"/>
        <w:jc w:val="center"/>
        <w:rPr>
          <w:rFonts w:cstheme="minorHAnsi"/>
          <w:b/>
        </w:rPr>
      </w:pPr>
      <w:r w:rsidRPr="008D1E00">
        <w:rPr>
          <w:rFonts w:cstheme="minorHAnsi"/>
          <w:b/>
        </w:rPr>
        <w:lastRenderedPageBreak/>
        <w:t xml:space="preserve">References </w:t>
      </w:r>
    </w:p>
    <w:p w14:paraId="3489CA4E" w14:textId="49E841E6" w:rsidR="00343FD8" w:rsidRPr="008D1E00" w:rsidRDefault="00140687" w:rsidP="00952C0C">
      <w:pPr>
        <w:spacing w:line="360" w:lineRule="auto"/>
        <w:rPr>
          <w:b/>
          <w:color w:val="0D0D0D" w:themeColor="text1" w:themeTint="F2"/>
          <w:shd w:val="clear" w:color="auto" w:fill="FFFFFF"/>
        </w:rPr>
      </w:pPr>
      <w:r w:rsidRPr="008D1E00">
        <w:rPr>
          <w:b/>
          <w:color w:val="0D0D0D" w:themeColor="text1" w:themeTint="F2"/>
          <w:shd w:val="clear" w:color="auto" w:fill="FFFFFF"/>
        </w:rPr>
        <w:t>American Psychiatric Association</w:t>
      </w:r>
      <w:r w:rsidR="00343FD8" w:rsidRPr="008D1E00">
        <w:rPr>
          <w:b/>
          <w:color w:val="0D0D0D" w:themeColor="text1" w:themeTint="F2"/>
          <w:shd w:val="clear" w:color="auto" w:fill="FFFFFF"/>
        </w:rPr>
        <w:t xml:space="preserve">. (2013). </w:t>
      </w:r>
      <w:r w:rsidR="00343FD8" w:rsidRPr="008D1E00">
        <w:rPr>
          <w:bCs/>
          <w:i/>
          <w:iCs/>
          <w:color w:val="0D0D0D" w:themeColor="text1" w:themeTint="F2"/>
          <w:shd w:val="clear" w:color="auto" w:fill="FFFFFF"/>
        </w:rPr>
        <w:t xml:space="preserve">Diagnostic and statistical manual of mental disorders </w:t>
      </w:r>
      <w:r w:rsidR="00343FD8" w:rsidRPr="008D1E00">
        <w:rPr>
          <w:bCs/>
          <w:color w:val="0D0D0D" w:themeColor="text1" w:themeTint="F2"/>
          <w:shd w:val="clear" w:color="auto" w:fill="FFFFFF"/>
        </w:rPr>
        <w:t>(5</w:t>
      </w:r>
      <w:r w:rsidR="00343FD8" w:rsidRPr="008D1E00">
        <w:rPr>
          <w:bCs/>
          <w:color w:val="0D0D0D" w:themeColor="text1" w:themeTint="F2"/>
          <w:shd w:val="clear" w:color="auto" w:fill="FFFFFF"/>
          <w:vertAlign w:val="superscript"/>
        </w:rPr>
        <w:t>th</w:t>
      </w:r>
      <w:r w:rsidR="00343FD8" w:rsidRPr="008D1E00">
        <w:rPr>
          <w:bCs/>
          <w:color w:val="0D0D0D" w:themeColor="text1" w:themeTint="F2"/>
          <w:shd w:val="clear" w:color="auto" w:fill="FFFFFF"/>
        </w:rPr>
        <w:t xml:space="preserve"> ed.).</w:t>
      </w:r>
      <w:r w:rsidR="00343FD8" w:rsidRPr="008D1E00">
        <w:rPr>
          <w:bCs/>
          <w:i/>
          <w:iCs/>
          <w:color w:val="0D0D0D" w:themeColor="text1" w:themeTint="F2"/>
          <w:shd w:val="clear" w:color="auto" w:fill="FFFFFF"/>
        </w:rPr>
        <w:t xml:space="preserve"> </w:t>
      </w:r>
      <w:r w:rsidR="00343FD8" w:rsidRPr="008D1E00">
        <w:rPr>
          <w:bCs/>
          <w:color w:val="0D0D0D" w:themeColor="text1" w:themeTint="F2"/>
          <w:shd w:val="clear" w:color="auto" w:fill="FFFFFF"/>
        </w:rPr>
        <w:t>Arlington, VA: Author.</w:t>
      </w:r>
      <w:r w:rsidR="00343FD8" w:rsidRPr="008D1E00">
        <w:rPr>
          <w:bCs/>
          <w:i/>
          <w:iCs/>
          <w:color w:val="0D0D0D" w:themeColor="text1" w:themeTint="F2"/>
          <w:shd w:val="clear" w:color="auto" w:fill="FFFFFF"/>
        </w:rPr>
        <w:t xml:space="preserve"> </w:t>
      </w:r>
    </w:p>
    <w:p w14:paraId="19B01E4E" w14:textId="77777777" w:rsidR="00140687" w:rsidRPr="008D1E00" w:rsidRDefault="00140687" w:rsidP="00952C0C">
      <w:pPr>
        <w:spacing w:line="360" w:lineRule="auto"/>
        <w:rPr>
          <w:b/>
          <w:color w:val="0D0D0D" w:themeColor="text1" w:themeTint="F2"/>
          <w:shd w:val="clear" w:color="auto" w:fill="FFFFFF"/>
        </w:rPr>
      </w:pPr>
    </w:p>
    <w:p w14:paraId="5F625B6F" w14:textId="5C0EF50D" w:rsidR="00952C0C" w:rsidRPr="008D1E00" w:rsidRDefault="00952C0C" w:rsidP="00952C0C">
      <w:pPr>
        <w:spacing w:line="360" w:lineRule="auto"/>
        <w:rPr>
          <w:rStyle w:val="apple-converted-space"/>
          <w:color w:val="0D0D0D" w:themeColor="text1" w:themeTint="F2"/>
          <w:shd w:val="clear" w:color="auto" w:fill="FFFFFF"/>
        </w:rPr>
      </w:pPr>
      <w:r w:rsidRPr="008D1E00">
        <w:rPr>
          <w:b/>
          <w:color w:val="0D0D0D" w:themeColor="text1" w:themeTint="F2"/>
          <w:shd w:val="clear" w:color="auto" w:fill="FFFFFF"/>
        </w:rPr>
        <w:t>Chambless, D. L., Caputo, G. C., Bright, P., &amp; Gallagher, R.</w:t>
      </w:r>
      <w:r w:rsidRPr="008D1E00">
        <w:rPr>
          <w:color w:val="0D0D0D" w:themeColor="text1" w:themeTint="F2"/>
          <w:shd w:val="clear" w:color="auto" w:fill="FFFFFF"/>
        </w:rPr>
        <w:t>  (1984). Assessment of fear of fear in agoraphobics: The Body Sensations Questionnaire and the Agoraphobic Cognitions Questionnaire. </w:t>
      </w:r>
      <w:r w:rsidRPr="008D1E00">
        <w:rPr>
          <w:rStyle w:val="apple-converted-space"/>
          <w:color w:val="0D0D0D" w:themeColor="text1" w:themeTint="F2"/>
          <w:shd w:val="clear" w:color="auto" w:fill="FFFFFF"/>
        </w:rPr>
        <w:t> </w:t>
      </w:r>
      <w:r w:rsidRPr="008D1E00">
        <w:rPr>
          <w:rStyle w:val="Emphasis"/>
          <w:color w:val="0D0D0D" w:themeColor="text1" w:themeTint="F2"/>
        </w:rPr>
        <w:t>Journal of Consulting and Clinical Psychology, 52</w:t>
      </w:r>
      <w:r w:rsidRPr="008D1E00">
        <w:rPr>
          <w:color w:val="0D0D0D" w:themeColor="text1" w:themeTint="F2"/>
          <w:shd w:val="clear" w:color="auto" w:fill="FFFFFF"/>
        </w:rPr>
        <w:t xml:space="preserve">, 1090 </w:t>
      </w:r>
      <w:r w:rsidRPr="008D1E00">
        <w:rPr>
          <w:color w:val="0D0D0D" w:themeColor="text1" w:themeTint="F2"/>
          <w:shd w:val="clear" w:color="auto" w:fill="FFFFFF"/>
        </w:rPr>
        <w:noBreakHyphen/>
        <w:t xml:space="preserve"> 1097.</w:t>
      </w:r>
      <w:r w:rsidRPr="008D1E00">
        <w:rPr>
          <w:rStyle w:val="apple-converted-space"/>
          <w:color w:val="0D0D0D" w:themeColor="text1" w:themeTint="F2"/>
          <w:shd w:val="clear" w:color="auto" w:fill="FFFFFF"/>
        </w:rPr>
        <w:t> </w:t>
      </w:r>
    </w:p>
    <w:p w14:paraId="44DBDE58" w14:textId="41EDC204" w:rsidR="006A0050" w:rsidRPr="008D1E00" w:rsidRDefault="006A0050" w:rsidP="00952C0C">
      <w:pPr>
        <w:spacing w:line="360" w:lineRule="auto"/>
        <w:rPr>
          <w:rStyle w:val="apple-converted-space"/>
          <w:color w:val="0D0D0D" w:themeColor="text1" w:themeTint="F2"/>
          <w:shd w:val="clear" w:color="auto" w:fill="FFFFFF"/>
        </w:rPr>
      </w:pPr>
    </w:p>
    <w:p w14:paraId="7786ECD4" w14:textId="77777777" w:rsidR="006A0050" w:rsidRPr="008D1E00" w:rsidRDefault="006A0050" w:rsidP="006A0050">
      <w:pPr>
        <w:spacing w:line="360" w:lineRule="auto"/>
        <w:rPr>
          <w:b/>
        </w:rPr>
      </w:pPr>
      <w:r w:rsidRPr="008D1E00">
        <w:rPr>
          <w:b/>
        </w:rPr>
        <w:t xml:space="preserve">Clark, D.M. </w:t>
      </w:r>
      <w:r w:rsidRPr="008D1E00">
        <w:rPr>
          <w:bCs/>
        </w:rPr>
        <w:t>(1986).</w:t>
      </w:r>
      <w:r w:rsidRPr="008D1E00">
        <w:rPr>
          <w:b/>
        </w:rPr>
        <w:t xml:space="preserve"> </w:t>
      </w:r>
      <w:r w:rsidRPr="008D1E00">
        <w:rPr>
          <w:shd w:val="clear" w:color="auto" w:fill="FFFFFF"/>
        </w:rPr>
        <w:t>A cognitive approach to panic. </w:t>
      </w:r>
      <w:r w:rsidRPr="008D1E00">
        <w:rPr>
          <w:i/>
          <w:iCs/>
          <w:shd w:val="clear" w:color="auto" w:fill="FFFFFF"/>
        </w:rPr>
        <w:t>Behaviour research and therapy</w:t>
      </w:r>
      <w:r w:rsidRPr="008D1E00">
        <w:rPr>
          <w:shd w:val="clear" w:color="auto" w:fill="FFFFFF"/>
        </w:rPr>
        <w:t>, </w:t>
      </w:r>
      <w:r w:rsidRPr="008D1E00">
        <w:rPr>
          <w:i/>
          <w:iCs/>
          <w:shd w:val="clear" w:color="auto" w:fill="FFFFFF"/>
        </w:rPr>
        <w:t>24</w:t>
      </w:r>
      <w:r w:rsidRPr="008D1E00">
        <w:rPr>
          <w:shd w:val="clear" w:color="auto" w:fill="FFFFFF"/>
        </w:rPr>
        <w:t>(4), 461-470.</w:t>
      </w:r>
    </w:p>
    <w:p w14:paraId="0E3883EB" w14:textId="77777777" w:rsidR="006A0050" w:rsidRPr="008D1E00" w:rsidRDefault="006A0050" w:rsidP="006A0050">
      <w:pPr>
        <w:spacing w:line="360" w:lineRule="auto"/>
        <w:rPr>
          <w:b/>
          <w:bCs/>
          <w:shd w:val="clear" w:color="auto" w:fill="FFFFFF"/>
        </w:rPr>
      </w:pPr>
    </w:p>
    <w:p w14:paraId="29298E70" w14:textId="77777777" w:rsidR="006A0050" w:rsidRPr="008D1E00" w:rsidRDefault="006A0050" w:rsidP="006A0050">
      <w:pPr>
        <w:spacing w:line="360" w:lineRule="auto"/>
        <w:rPr>
          <w:b/>
          <w:bCs/>
          <w:shd w:val="clear" w:color="auto" w:fill="FFFFFF"/>
          <w:lang w:eastAsia="en-GB"/>
        </w:rPr>
      </w:pPr>
      <w:r w:rsidRPr="008D1E00">
        <w:rPr>
          <w:b/>
          <w:bCs/>
          <w:shd w:val="clear" w:color="auto" w:fill="FFFFFF"/>
        </w:rPr>
        <w:t xml:space="preserve">Clark, D. M., &amp; Wells, A. </w:t>
      </w:r>
      <w:r w:rsidRPr="008D1E00">
        <w:rPr>
          <w:shd w:val="clear" w:color="auto" w:fill="FFFFFF"/>
        </w:rPr>
        <w:t>(1995). </w:t>
      </w:r>
      <w:r w:rsidRPr="008D1E00">
        <w:rPr>
          <w:rStyle w:val="Emphasis"/>
          <w:shd w:val="clear" w:color="auto" w:fill="FFFFFF"/>
        </w:rPr>
        <w:t>A cognitive model of social phobia.</w:t>
      </w:r>
      <w:r w:rsidRPr="008D1E00">
        <w:rPr>
          <w:shd w:val="clear" w:color="auto" w:fill="FFFFFF"/>
        </w:rPr>
        <w:t> In R. G. Heimberg, M. R. Liebowitz, D. A. Hope, &amp; F. R. Schneier (Eds.), </w:t>
      </w:r>
      <w:r w:rsidRPr="008D1E00">
        <w:rPr>
          <w:rStyle w:val="Emphasis"/>
          <w:shd w:val="clear" w:color="auto" w:fill="FFFFFF"/>
        </w:rPr>
        <w:t>Social phobia: Diagnosis, assessment, and treatment</w:t>
      </w:r>
      <w:r w:rsidRPr="008D1E00">
        <w:rPr>
          <w:shd w:val="clear" w:color="auto" w:fill="FFFFFF"/>
        </w:rPr>
        <w:t> (p. 69–93). The Guilford Press.</w:t>
      </w:r>
    </w:p>
    <w:p w14:paraId="5938EA72" w14:textId="77777777" w:rsidR="006A0050" w:rsidRPr="008D1E00" w:rsidRDefault="006A0050" w:rsidP="00952C0C">
      <w:pPr>
        <w:spacing w:line="360" w:lineRule="auto"/>
        <w:rPr>
          <w:color w:val="0D0D0D" w:themeColor="text1" w:themeTint="F2"/>
        </w:rPr>
      </w:pPr>
    </w:p>
    <w:p w14:paraId="480B9BC7" w14:textId="77777777" w:rsidR="00212E04" w:rsidRPr="008D1E00" w:rsidRDefault="00212E04" w:rsidP="00212E04">
      <w:pPr>
        <w:rPr>
          <w:b/>
          <w:color w:val="0D0D0D" w:themeColor="text1" w:themeTint="F2"/>
        </w:rPr>
      </w:pPr>
    </w:p>
    <w:p w14:paraId="66E512C1" w14:textId="533AAC57" w:rsidR="00952C0C" w:rsidRPr="008D1E00" w:rsidRDefault="00212E04" w:rsidP="00212E04">
      <w:pPr>
        <w:rPr>
          <w:color w:val="000000"/>
          <w:shd w:val="clear" w:color="auto" w:fill="FFFFFF"/>
          <w:lang w:eastAsia="en-GB"/>
        </w:rPr>
      </w:pPr>
      <w:r w:rsidRPr="008D1E00">
        <w:rPr>
          <w:b/>
          <w:bCs/>
          <w:color w:val="000000"/>
          <w:shd w:val="clear" w:color="auto" w:fill="FFFFFF"/>
          <w:lang w:eastAsia="en-GB"/>
        </w:rPr>
        <w:t>Kamboj, S.K., Langhoff, C., Pajak, R., Zhu, A., Chevalier, A., Watson, S.</w:t>
      </w:r>
      <w:r w:rsidRPr="008D1E00">
        <w:rPr>
          <w:color w:val="000000"/>
          <w:shd w:val="clear" w:color="auto" w:fill="FFFFFF"/>
          <w:lang w:eastAsia="en-GB"/>
        </w:rPr>
        <w:t xml:space="preserve"> (2015). </w:t>
      </w:r>
      <w:r w:rsidRPr="008D1E00">
        <w:rPr>
          <w:color w:val="000000"/>
          <w:lang w:eastAsia="en-GB"/>
        </w:rPr>
        <w:t>Bowel and bladder-control anxiety: a preliminary description of a viscerally-centred phobic syndrome</w:t>
      </w:r>
      <w:r w:rsidRPr="008D1E00">
        <w:rPr>
          <w:color w:val="000000"/>
          <w:shd w:val="clear" w:color="auto" w:fill="FFFFFF"/>
          <w:lang w:eastAsia="en-GB"/>
        </w:rPr>
        <w:t>. </w:t>
      </w:r>
      <w:r w:rsidRPr="008D1E00">
        <w:rPr>
          <w:i/>
          <w:iCs/>
          <w:color w:val="000000"/>
          <w:lang w:eastAsia="en-GB"/>
        </w:rPr>
        <w:t>Behavavioural Cognitive Psychotherapy</w:t>
      </w:r>
      <w:r w:rsidRPr="008D1E00">
        <w:rPr>
          <w:color w:val="000000"/>
          <w:lang w:eastAsia="en-GB"/>
        </w:rPr>
        <w:t>,</w:t>
      </w:r>
      <w:r w:rsidRPr="008D1E00">
        <w:rPr>
          <w:color w:val="000000"/>
          <w:shd w:val="clear" w:color="auto" w:fill="FFFFFF"/>
          <w:lang w:eastAsia="en-GB"/>
        </w:rPr>
        <w:t> </w:t>
      </w:r>
      <w:r w:rsidRPr="008D1E00">
        <w:rPr>
          <w:color w:val="000000"/>
          <w:lang w:eastAsia="en-GB"/>
        </w:rPr>
        <w:t>43, 1</w:t>
      </w:r>
      <w:r w:rsidRPr="008D1E00">
        <w:rPr>
          <w:color w:val="000000"/>
          <w:shd w:val="clear" w:color="auto" w:fill="FFFFFF"/>
          <w:lang w:eastAsia="en-GB"/>
        </w:rPr>
        <w:t>42-157</w:t>
      </w:r>
    </w:p>
    <w:p w14:paraId="0CF27284" w14:textId="4C1FF922" w:rsidR="00140687" w:rsidRPr="008D1E00" w:rsidRDefault="00140687" w:rsidP="00212E04">
      <w:pPr>
        <w:rPr>
          <w:lang w:eastAsia="en-GB"/>
        </w:rPr>
      </w:pPr>
    </w:p>
    <w:p w14:paraId="74C495AC" w14:textId="77777777" w:rsidR="00212E04" w:rsidRPr="008D1E00" w:rsidRDefault="00212E04" w:rsidP="00212E04">
      <w:pPr>
        <w:rPr>
          <w:lang w:eastAsia="en-GB"/>
        </w:rPr>
      </w:pPr>
    </w:p>
    <w:p w14:paraId="3D8B29C9" w14:textId="77777777" w:rsidR="00F0228F" w:rsidRPr="008D1E00" w:rsidRDefault="00F0228F" w:rsidP="00F0228F">
      <w:pPr>
        <w:autoSpaceDE w:val="0"/>
        <w:autoSpaceDN w:val="0"/>
        <w:adjustRightInd w:val="0"/>
        <w:spacing w:after="240" w:line="380" w:lineRule="atLeast"/>
        <w:rPr>
          <w:rFonts w:eastAsia="MS Gothic" w:cstheme="minorHAnsi"/>
          <w:color w:val="000000"/>
        </w:rPr>
      </w:pPr>
      <w:r w:rsidRPr="008D1E00">
        <w:rPr>
          <w:rFonts w:cstheme="minorHAnsi"/>
          <w:b/>
          <w:color w:val="000000"/>
        </w:rPr>
        <w:t>Marks, I.M., and Mathews, A. M.</w:t>
      </w:r>
      <w:r w:rsidRPr="008D1E00">
        <w:rPr>
          <w:rFonts w:cstheme="minorHAnsi"/>
          <w:color w:val="000000"/>
        </w:rPr>
        <w:t xml:space="preserve"> (1979). Brief standard self-rating for phobic patients. </w:t>
      </w:r>
      <w:r w:rsidRPr="008D1E00">
        <w:rPr>
          <w:rFonts w:cstheme="minorHAnsi"/>
          <w:i/>
          <w:iCs/>
          <w:color w:val="000000"/>
        </w:rPr>
        <w:t>Behavior Research and Therapy</w:t>
      </w:r>
      <w:r w:rsidRPr="008D1E00">
        <w:rPr>
          <w:rFonts w:cstheme="minorHAnsi"/>
          <w:color w:val="000000"/>
        </w:rPr>
        <w:t>, 17, 263-267.</w:t>
      </w:r>
      <w:r w:rsidRPr="008D1E00">
        <w:rPr>
          <w:rFonts w:ascii="MS Gothic" w:eastAsia="MS Gothic" w:hAnsi="MS Gothic" w:cs="MS Gothic" w:hint="eastAsia"/>
          <w:color w:val="000000"/>
        </w:rPr>
        <w:t> </w:t>
      </w:r>
    </w:p>
    <w:p w14:paraId="56BA3629" w14:textId="77777777" w:rsidR="00F0228F" w:rsidRPr="008D1E00" w:rsidRDefault="00F0228F" w:rsidP="00F0228F">
      <w:pPr>
        <w:autoSpaceDE w:val="0"/>
        <w:autoSpaceDN w:val="0"/>
        <w:adjustRightInd w:val="0"/>
        <w:spacing w:after="240" w:line="380" w:lineRule="atLeast"/>
        <w:rPr>
          <w:rFonts w:cstheme="minorHAnsi"/>
          <w:color w:val="000000"/>
        </w:rPr>
      </w:pPr>
      <w:r w:rsidRPr="008D1E00">
        <w:rPr>
          <w:rFonts w:cstheme="minorHAnsi"/>
          <w:b/>
          <w:color w:val="000000"/>
        </w:rPr>
        <w:t>Mundt, J. C., Marks, I. M., Shear, K. M., &amp; Griest, J. M.</w:t>
      </w:r>
      <w:r w:rsidRPr="008D1E00">
        <w:rPr>
          <w:rFonts w:cstheme="minorHAnsi"/>
          <w:color w:val="000000"/>
        </w:rPr>
        <w:t xml:space="preserve"> (2002). The Work and Social Adjustment Scale: a simple measure of impairment in functioning. </w:t>
      </w:r>
      <w:r w:rsidRPr="008D1E00">
        <w:rPr>
          <w:rFonts w:cstheme="minorHAnsi"/>
          <w:i/>
          <w:iCs/>
          <w:color w:val="000000"/>
        </w:rPr>
        <w:t>The British Journal of Psychiatry</w:t>
      </w:r>
      <w:r w:rsidRPr="008D1E00">
        <w:rPr>
          <w:rFonts w:cstheme="minorHAnsi"/>
          <w:color w:val="000000"/>
        </w:rPr>
        <w:t xml:space="preserve">, 180, 461-464. </w:t>
      </w:r>
    </w:p>
    <w:p w14:paraId="6450A0D0" w14:textId="04363F8E" w:rsidR="000E5564" w:rsidRPr="008D1E00" w:rsidRDefault="000E5564" w:rsidP="00CB4EF4">
      <w:pPr>
        <w:spacing w:line="360" w:lineRule="auto"/>
        <w:rPr>
          <w:rFonts w:cstheme="minorHAnsi"/>
          <w:color w:val="000000"/>
          <w:shd w:val="clear" w:color="auto" w:fill="FFFFFF"/>
          <w:lang w:eastAsia="en-GB"/>
        </w:rPr>
      </w:pPr>
    </w:p>
    <w:p w14:paraId="3030E4F5" w14:textId="73307B92" w:rsidR="000E5564" w:rsidRPr="008D1E00" w:rsidRDefault="000E5564" w:rsidP="00CB4EF4">
      <w:pPr>
        <w:spacing w:line="360" w:lineRule="auto"/>
        <w:rPr>
          <w:rFonts w:cstheme="minorHAnsi"/>
          <w:color w:val="000000"/>
          <w:shd w:val="clear" w:color="auto" w:fill="FFFFFF"/>
          <w:lang w:eastAsia="en-GB"/>
        </w:rPr>
      </w:pPr>
      <w:r w:rsidRPr="008D1E00">
        <w:rPr>
          <w:rFonts w:cstheme="minorHAnsi"/>
          <w:b/>
          <w:bCs/>
          <w:color w:val="000000"/>
          <w:shd w:val="clear" w:color="auto" w:fill="FFFFFF"/>
          <w:lang w:eastAsia="en-GB"/>
        </w:rPr>
        <w:t>Pajak, R. and Kamboj, S.K.</w:t>
      </w:r>
      <w:r w:rsidRPr="008D1E00">
        <w:rPr>
          <w:rFonts w:cstheme="minorHAnsi"/>
          <w:color w:val="000000"/>
          <w:shd w:val="clear" w:color="auto" w:fill="FFFFFF"/>
          <w:lang w:eastAsia="en-GB"/>
        </w:rPr>
        <w:t xml:space="preserve"> (2014). Experimental single-session imagery rescripting of distressing memories in bowel/bladder-control anxiety: a case series. </w:t>
      </w:r>
      <w:r w:rsidRPr="008D1E00">
        <w:rPr>
          <w:rFonts w:cstheme="minorHAnsi"/>
          <w:i/>
          <w:iCs/>
          <w:color w:val="000000"/>
          <w:shd w:val="clear" w:color="auto" w:fill="FFFFFF"/>
          <w:lang w:eastAsia="en-GB"/>
        </w:rPr>
        <w:t>Frontiers in Psychiatry</w:t>
      </w:r>
      <w:r w:rsidRPr="008D1E00">
        <w:rPr>
          <w:rFonts w:cstheme="minorHAnsi"/>
          <w:color w:val="000000"/>
          <w:shd w:val="clear" w:color="auto" w:fill="FFFFFF"/>
          <w:lang w:eastAsia="en-GB"/>
        </w:rPr>
        <w:t>, 5, 182.</w:t>
      </w:r>
    </w:p>
    <w:p w14:paraId="260180BC" w14:textId="6D4AA2D6" w:rsidR="000E5564" w:rsidRPr="008D1E00" w:rsidRDefault="000E5564" w:rsidP="00CB4EF4">
      <w:pPr>
        <w:spacing w:line="360" w:lineRule="auto"/>
        <w:rPr>
          <w:rFonts w:cstheme="minorHAnsi"/>
          <w:color w:val="000000"/>
          <w:shd w:val="clear" w:color="auto" w:fill="FFFFFF"/>
          <w:lang w:eastAsia="en-GB"/>
        </w:rPr>
      </w:pPr>
    </w:p>
    <w:p w14:paraId="7DDEF42F" w14:textId="498EB0C1" w:rsidR="000E5564" w:rsidRPr="008D1E00" w:rsidRDefault="000E5564" w:rsidP="00CB4EF4">
      <w:pPr>
        <w:spacing w:line="360" w:lineRule="auto"/>
        <w:rPr>
          <w:lang w:eastAsia="en-GB"/>
        </w:rPr>
      </w:pPr>
      <w:r w:rsidRPr="008D1E00">
        <w:rPr>
          <w:b/>
          <w:bCs/>
          <w:color w:val="0D0D0D" w:themeColor="text1" w:themeTint="F2"/>
          <w:shd w:val="clear" w:color="auto" w:fill="FFFFFF"/>
          <w:lang w:eastAsia="en-GB"/>
        </w:rPr>
        <w:t>Pajak, R., Langhoff, C., Watson, S., Kamboj, S.K.</w:t>
      </w:r>
      <w:r w:rsidRPr="008D1E00">
        <w:rPr>
          <w:color w:val="000000"/>
          <w:shd w:val="clear" w:color="auto" w:fill="FFFFFF"/>
          <w:lang w:eastAsia="en-GB"/>
        </w:rPr>
        <w:t xml:space="preserve"> (2013). </w:t>
      </w:r>
      <w:r w:rsidRPr="008D1E00">
        <w:rPr>
          <w:color w:val="000000"/>
          <w:lang w:eastAsia="en-GB"/>
        </w:rPr>
        <w:t>Phenomenology and thematic content of intrusive imagery in bowel and bladder obsession</w:t>
      </w:r>
      <w:r w:rsidRPr="008D1E00">
        <w:rPr>
          <w:color w:val="000000"/>
          <w:shd w:val="clear" w:color="auto" w:fill="FFFFFF"/>
          <w:lang w:eastAsia="en-GB"/>
        </w:rPr>
        <w:t>. </w:t>
      </w:r>
      <w:r w:rsidRPr="008D1E00">
        <w:rPr>
          <w:i/>
          <w:iCs/>
          <w:color w:val="000000"/>
          <w:lang w:eastAsia="en-GB"/>
        </w:rPr>
        <w:t>Journal of Obsessive-Compulsive and Related Disorders</w:t>
      </w:r>
      <w:r w:rsidRPr="008D1E00">
        <w:rPr>
          <w:color w:val="000000"/>
          <w:lang w:eastAsia="en-GB"/>
        </w:rPr>
        <w:t>, 2</w:t>
      </w:r>
      <w:r w:rsidRPr="008D1E00">
        <w:rPr>
          <w:color w:val="000000"/>
          <w:shd w:val="clear" w:color="auto" w:fill="FFFFFF"/>
          <w:lang w:eastAsia="en-GB"/>
        </w:rPr>
        <w:t>, 233-240.</w:t>
      </w:r>
    </w:p>
    <w:p w14:paraId="021FA64C" w14:textId="77777777" w:rsidR="00212E04" w:rsidRPr="008D1E00" w:rsidRDefault="00212E04" w:rsidP="00CB4EF4">
      <w:pPr>
        <w:spacing w:line="360" w:lineRule="auto"/>
        <w:rPr>
          <w:lang w:eastAsia="en-GB"/>
        </w:rPr>
      </w:pPr>
    </w:p>
    <w:p w14:paraId="5F192F50" w14:textId="143FC3F4" w:rsidR="00F0228F" w:rsidRPr="008D1E00" w:rsidRDefault="00F0228F" w:rsidP="00F0228F">
      <w:pPr>
        <w:autoSpaceDE w:val="0"/>
        <w:autoSpaceDN w:val="0"/>
        <w:adjustRightInd w:val="0"/>
        <w:spacing w:after="240" w:line="380" w:lineRule="atLeast"/>
        <w:rPr>
          <w:rFonts w:ascii="MS Gothic" w:eastAsia="MS Gothic" w:hAnsi="MS Gothic" w:cs="MS Gothic"/>
          <w:color w:val="000000"/>
        </w:rPr>
      </w:pPr>
      <w:r w:rsidRPr="008D1E00">
        <w:rPr>
          <w:rFonts w:cstheme="minorHAnsi"/>
          <w:b/>
          <w:color w:val="000000"/>
        </w:rPr>
        <w:t>Salkovskis, P.</w:t>
      </w:r>
      <w:r w:rsidRPr="008D1E00">
        <w:rPr>
          <w:rFonts w:cstheme="minorHAnsi"/>
          <w:color w:val="000000"/>
        </w:rPr>
        <w:t xml:space="preserve"> M. (2002). Empirically grounded clinical interventions: Cognitive-behavioural therapy progresses through a multi-dimensional approach to clinical science. </w:t>
      </w:r>
      <w:r w:rsidRPr="008D1E00">
        <w:rPr>
          <w:rFonts w:cstheme="minorHAnsi"/>
          <w:i/>
          <w:iCs/>
          <w:color w:val="000000"/>
        </w:rPr>
        <w:t xml:space="preserve">Behavioural and Cognitive Psychotherapy, </w:t>
      </w:r>
      <w:r w:rsidRPr="008D1E00">
        <w:rPr>
          <w:rFonts w:cstheme="minorHAnsi"/>
          <w:color w:val="000000"/>
        </w:rPr>
        <w:t>30, 3-9.</w:t>
      </w:r>
      <w:r w:rsidRPr="008D1E00">
        <w:rPr>
          <w:rFonts w:ascii="MS Gothic" w:eastAsia="MS Gothic" w:hAnsi="MS Gothic" w:cs="MS Gothic" w:hint="eastAsia"/>
          <w:color w:val="000000"/>
        </w:rPr>
        <w:t> </w:t>
      </w:r>
    </w:p>
    <w:p w14:paraId="6D4D1E1C" w14:textId="77777777" w:rsidR="00343FD8" w:rsidRPr="008D1E00" w:rsidRDefault="00343FD8" w:rsidP="00F0228F">
      <w:pPr>
        <w:autoSpaceDE w:val="0"/>
        <w:autoSpaceDN w:val="0"/>
        <w:adjustRightInd w:val="0"/>
        <w:spacing w:after="240" w:line="380" w:lineRule="atLeast"/>
        <w:rPr>
          <w:rFonts w:cstheme="minorHAnsi"/>
          <w:color w:val="000000"/>
        </w:rPr>
      </w:pPr>
    </w:p>
    <w:p w14:paraId="70DADB2A" w14:textId="69C20F8B" w:rsidR="00735C46" w:rsidRPr="008D1E00" w:rsidRDefault="00D75334" w:rsidP="00735C46">
      <w:pPr>
        <w:spacing w:line="360" w:lineRule="auto"/>
        <w:rPr>
          <w:rFonts w:cstheme="minorHAnsi"/>
          <w:lang w:eastAsia="en-GB"/>
        </w:rPr>
      </w:pPr>
      <w:r w:rsidRPr="008D1E00">
        <w:rPr>
          <w:rFonts w:cstheme="minorHAnsi"/>
          <w:b/>
          <w:color w:val="000000"/>
          <w:shd w:val="clear" w:color="auto" w:fill="FFFFFF"/>
          <w:lang w:eastAsia="en-GB"/>
        </w:rPr>
        <w:t>Tan, T. and Lim, L.</w:t>
      </w:r>
      <w:r w:rsidRPr="008D1E00">
        <w:rPr>
          <w:rFonts w:cstheme="minorHAnsi"/>
          <w:color w:val="000000"/>
          <w:shd w:val="clear" w:color="auto" w:fill="FFFFFF"/>
          <w:lang w:eastAsia="en-GB"/>
        </w:rPr>
        <w:t xml:space="preserve"> (2015) Cognitive Behavior Therapy of Urinary Incontinence Phobia: A Case Report. </w:t>
      </w:r>
      <w:r w:rsidRPr="008D1E00">
        <w:rPr>
          <w:rFonts w:cstheme="minorHAnsi"/>
          <w:i/>
          <w:iCs/>
          <w:color w:val="000000"/>
          <w:lang w:eastAsia="en-GB"/>
        </w:rPr>
        <w:t>Open Journal of Psychiatry</w:t>
      </w:r>
      <w:r w:rsidRPr="008D1E00">
        <w:rPr>
          <w:rFonts w:cstheme="minorHAnsi"/>
          <w:color w:val="000000"/>
          <w:shd w:val="clear" w:color="auto" w:fill="FFFFFF"/>
          <w:lang w:eastAsia="en-GB"/>
        </w:rPr>
        <w:t>, </w:t>
      </w:r>
      <w:r w:rsidRPr="008D1E00">
        <w:rPr>
          <w:rFonts w:cstheme="minorHAnsi"/>
          <w:bCs/>
          <w:color w:val="000000"/>
          <w:lang w:eastAsia="en-GB"/>
        </w:rPr>
        <w:t>5</w:t>
      </w:r>
      <w:r w:rsidRPr="008D1E00">
        <w:rPr>
          <w:rFonts w:cstheme="minorHAnsi"/>
          <w:color w:val="000000"/>
          <w:shd w:val="clear" w:color="auto" w:fill="FFFFFF"/>
          <w:lang w:eastAsia="en-GB"/>
        </w:rPr>
        <w:t xml:space="preserve">, 60-65. </w:t>
      </w:r>
    </w:p>
    <w:p w14:paraId="54DB3890" w14:textId="7915C9D2" w:rsidR="00735C46" w:rsidRPr="008D1E00" w:rsidRDefault="00735C46" w:rsidP="00735C46">
      <w:pPr>
        <w:spacing w:line="360" w:lineRule="auto"/>
        <w:rPr>
          <w:rFonts w:cstheme="minorHAnsi"/>
          <w:lang w:eastAsia="en-GB"/>
        </w:rPr>
      </w:pPr>
    </w:p>
    <w:p w14:paraId="53EC7181" w14:textId="77777777" w:rsidR="00735C46" w:rsidRPr="008D1E00" w:rsidRDefault="00735C46" w:rsidP="00735C46">
      <w:pPr>
        <w:spacing w:line="360" w:lineRule="auto"/>
        <w:rPr>
          <w:rFonts w:cstheme="minorHAnsi"/>
          <w:lang w:eastAsia="en-GB"/>
        </w:rPr>
      </w:pPr>
    </w:p>
    <w:p w14:paraId="5E89237F" w14:textId="4E23B6B9" w:rsidR="00735C46" w:rsidRPr="008D1E00" w:rsidRDefault="00735C46" w:rsidP="00DD1AE3">
      <w:pPr>
        <w:widowControl w:val="0"/>
        <w:autoSpaceDE w:val="0"/>
        <w:autoSpaceDN w:val="0"/>
        <w:adjustRightInd w:val="0"/>
        <w:spacing w:after="240" w:line="360" w:lineRule="atLeast"/>
        <w:jc w:val="center"/>
        <w:rPr>
          <w:rFonts w:cstheme="minorHAnsi"/>
          <w:b/>
        </w:rPr>
      </w:pPr>
    </w:p>
    <w:p w14:paraId="4B25AD26" w14:textId="7F7071C1" w:rsidR="00735C46" w:rsidRPr="008D1E00" w:rsidRDefault="00735C46" w:rsidP="00DD1AE3">
      <w:pPr>
        <w:widowControl w:val="0"/>
        <w:autoSpaceDE w:val="0"/>
        <w:autoSpaceDN w:val="0"/>
        <w:adjustRightInd w:val="0"/>
        <w:spacing w:after="240" w:line="360" w:lineRule="atLeast"/>
        <w:jc w:val="center"/>
        <w:rPr>
          <w:rFonts w:cstheme="minorHAnsi"/>
          <w:b/>
        </w:rPr>
      </w:pPr>
    </w:p>
    <w:p w14:paraId="17C8E8FC" w14:textId="119EC65E" w:rsidR="00735C46" w:rsidRPr="008D1E00" w:rsidRDefault="00735C46" w:rsidP="00DD1AE3">
      <w:pPr>
        <w:widowControl w:val="0"/>
        <w:autoSpaceDE w:val="0"/>
        <w:autoSpaceDN w:val="0"/>
        <w:adjustRightInd w:val="0"/>
        <w:spacing w:after="240" w:line="360" w:lineRule="atLeast"/>
        <w:jc w:val="center"/>
        <w:rPr>
          <w:rFonts w:cstheme="minorHAnsi"/>
          <w:b/>
        </w:rPr>
      </w:pPr>
    </w:p>
    <w:p w14:paraId="7DE8E55C" w14:textId="6AB3EF62" w:rsidR="00735C46" w:rsidRPr="008D1E00" w:rsidRDefault="00735C46" w:rsidP="003C3434">
      <w:pPr>
        <w:widowControl w:val="0"/>
        <w:autoSpaceDE w:val="0"/>
        <w:autoSpaceDN w:val="0"/>
        <w:adjustRightInd w:val="0"/>
        <w:spacing w:after="240" w:line="360" w:lineRule="atLeast"/>
        <w:rPr>
          <w:rFonts w:cstheme="minorHAnsi"/>
          <w:b/>
        </w:rPr>
      </w:pPr>
    </w:p>
    <w:p w14:paraId="18429A2B" w14:textId="5A770AE8" w:rsidR="00735C46" w:rsidRPr="008D1E00" w:rsidRDefault="00735C46" w:rsidP="00DD1AE3">
      <w:pPr>
        <w:widowControl w:val="0"/>
        <w:autoSpaceDE w:val="0"/>
        <w:autoSpaceDN w:val="0"/>
        <w:adjustRightInd w:val="0"/>
        <w:spacing w:after="240" w:line="360" w:lineRule="atLeast"/>
        <w:jc w:val="center"/>
        <w:rPr>
          <w:rFonts w:cstheme="minorHAnsi"/>
          <w:b/>
        </w:rPr>
      </w:pPr>
    </w:p>
    <w:p w14:paraId="7FCC3ED1" w14:textId="5992CE16" w:rsidR="00145EDC" w:rsidRPr="008D1E00" w:rsidRDefault="00145EDC" w:rsidP="00DD1AE3">
      <w:pPr>
        <w:widowControl w:val="0"/>
        <w:autoSpaceDE w:val="0"/>
        <w:autoSpaceDN w:val="0"/>
        <w:adjustRightInd w:val="0"/>
        <w:spacing w:after="240" w:line="360" w:lineRule="atLeast"/>
        <w:jc w:val="center"/>
        <w:rPr>
          <w:rFonts w:cstheme="minorHAnsi"/>
          <w:b/>
        </w:rPr>
      </w:pPr>
    </w:p>
    <w:p w14:paraId="5DB52A2A" w14:textId="587CD45B" w:rsidR="00735C46" w:rsidRPr="008D1E00" w:rsidRDefault="00735C46" w:rsidP="006B3CE3">
      <w:pPr>
        <w:widowControl w:val="0"/>
        <w:autoSpaceDE w:val="0"/>
        <w:autoSpaceDN w:val="0"/>
        <w:adjustRightInd w:val="0"/>
        <w:spacing w:after="240" w:line="360" w:lineRule="atLeast"/>
        <w:rPr>
          <w:rFonts w:cstheme="minorHAnsi"/>
          <w:b/>
        </w:rPr>
      </w:pPr>
    </w:p>
    <w:p w14:paraId="6D16C54F" w14:textId="6CCD2A73" w:rsidR="007620F7" w:rsidRPr="008D1E00" w:rsidRDefault="007620F7" w:rsidP="006B3CE3">
      <w:pPr>
        <w:widowControl w:val="0"/>
        <w:autoSpaceDE w:val="0"/>
        <w:autoSpaceDN w:val="0"/>
        <w:adjustRightInd w:val="0"/>
        <w:spacing w:after="240" w:line="360" w:lineRule="atLeast"/>
        <w:rPr>
          <w:rFonts w:cstheme="minorHAnsi"/>
          <w:b/>
        </w:rPr>
      </w:pPr>
      <w:r w:rsidRPr="008D1E00">
        <w:rPr>
          <w:rFonts w:cstheme="minorHAnsi"/>
          <w:b/>
          <w:noProof/>
        </w:rPr>
        <w:lastRenderedPageBreak/>
        <w:drawing>
          <wp:inline distT="0" distB="0" distL="0" distR="0" wp14:anchorId="4A52BE07" wp14:editId="286F4DC0">
            <wp:extent cx="5727700" cy="75711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8-10-16 at 06.50.56.png"/>
                    <pic:cNvPicPr/>
                  </pic:nvPicPr>
                  <pic:blipFill>
                    <a:blip r:embed="rId7">
                      <a:extLst>
                        <a:ext uri="{28A0092B-C50C-407E-A947-70E740481C1C}">
                          <a14:useLocalDpi xmlns:a14="http://schemas.microsoft.com/office/drawing/2010/main" val="0"/>
                        </a:ext>
                      </a:extLst>
                    </a:blip>
                    <a:stretch>
                      <a:fillRect/>
                    </a:stretch>
                  </pic:blipFill>
                  <pic:spPr>
                    <a:xfrm>
                      <a:off x="0" y="0"/>
                      <a:ext cx="5727700" cy="7571105"/>
                    </a:xfrm>
                    <a:prstGeom prst="rect">
                      <a:avLst/>
                    </a:prstGeom>
                  </pic:spPr>
                </pic:pic>
              </a:graphicData>
            </a:graphic>
          </wp:inline>
        </w:drawing>
      </w:r>
    </w:p>
    <w:p w14:paraId="12C3EC42" w14:textId="014B4AFD" w:rsidR="007620F7" w:rsidRPr="008D1E00" w:rsidRDefault="007620F7" w:rsidP="006B3CE3">
      <w:pPr>
        <w:widowControl w:val="0"/>
        <w:autoSpaceDE w:val="0"/>
        <w:autoSpaceDN w:val="0"/>
        <w:adjustRightInd w:val="0"/>
        <w:spacing w:after="240" w:line="360" w:lineRule="atLeast"/>
        <w:rPr>
          <w:rFonts w:cstheme="minorHAnsi"/>
          <w:b/>
        </w:rPr>
      </w:pPr>
    </w:p>
    <w:p w14:paraId="1D1E7951" w14:textId="42EDE5F9" w:rsidR="007620F7" w:rsidRPr="008D1E00" w:rsidRDefault="007620F7" w:rsidP="00735C46">
      <w:pPr>
        <w:widowControl w:val="0"/>
        <w:autoSpaceDE w:val="0"/>
        <w:autoSpaceDN w:val="0"/>
        <w:adjustRightInd w:val="0"/>
        <w:spacing w:after="240" w:line="360" w:lineRule="auto"/>
        <w:rPr>
          <w:rFonts w:cstheme="minorHAnsi"/>
          <w:b/>
        </w:rPr>
      </w:pPr>
    </w:p>
    <w:p w14:paraId="3B9C5DC5" w14:textId="77777777" w:rsidR="000E21B5" w:rsidRPr="008D1E00" w:rsidRDefault="000E21B5" w:rsidP="00735C46">
      <w:pPr>
        <w:widowControl w:val="0"/>
        <w:autoSpaceDE w:val="0"/>
        <w:autoSpaceDN w:val="0"/>
        <w:adjustRightInd w:val="0"/>
        <w:spacing w:after="240" w:line="360" w:lineRule="auto"/>
        <w:rPr>
          <w:rFonts w:cstheme="minorHAnsi"/>
          <w:b/>
        </w:rPr>
      </w:pPr>
    </w:p>
    <w:p w14:paraId="40D6C78E" w14:textId="27AFC4D2" w:rsidR="00735C46" w:rsidRPr="008D1E00" w:rsidRDefault="00602BDB" w:rsidP="00735C46">
      <w:pPr>
        <w:widowControl w:val="0"/>
        <w:autoSpaceDE w:val="0"/>
        <w:autoSpaceDN w:val="0"/>
        <w:adjustRightInd w:val="0"/>
        <w:spacing w:after="240" w:line="360" w:lineRule="auto"/>
        <w:rPr>
          <w:b/>
        </w:rPr>
      </w:pPr>
      <w:r w:rsidRPr="008D1E00">
        <w:rPr>
          <w:b/>
        </w:rPr>
        <w:lastRenderedPageBreak/>
        <w:t>T</w:t>
      </w:r>
      <w:r w:rsidR="00A74CE2" w:rsidRPr="008D1E00">
        <w:rPr>
          <w:b/>
        </w:rPr>
        <w:t>able 1.  Overview of behavioural experiments and predictions tested</w:t>
      </w:r>
    </w:p>
    <w:tbl>
      <w:tblPr>
        <w:tblStyle w:val="TableGrid"/>
        <w:tblW w:w="0" w:type="auto"/>
        <w:tblLook w:val="04A0" w:firstRow="1" w:lastRow="0" w:firstColumn="1" w:lastColumn="0" w:noHBand="0" w:noVBand="1"/>
      </w:tblPr>
      <w:tblGrid>
        <w:gridCol w:w="3003"/>
        <w:gridCol w:w="3003"/>
        <w:gridCol w:w="3004"/>
      </w:tblGrid>
      <w:tr w:rsidR="00030BCE" w:rsidRPr="008D1E00" w14:paraId="1E55BE07" w14:textId="77777777" w:rsidTr="00ED3B29">
        <w:tc>
          <w:tcPr>
            <w:tcW w:w="3003" w:type="dxa"/>
            <w:shd w:val="clear" w:color="auto" w:fill="E7E6E6" w:themeFill="background2"/>
          </w:tcPr>
          <w:p w14:paraId="0491E644" w14:textId="77777777" w:rsidR="00030BCE" w:rsidRPr="008D1E00" w:rsidRDefault="00030BCE" w:rsidP="00ED3B29">
            <w:pPr>
              <w:widowControl w:val="0"/>
              <w:autoSpaceDE w:val="0"/>
              <w:autoSpaceDN w:val="0"/>
              <w:adjustRightInd w:val="0"/>
              <w:spacing w:after="240" w:line="360" w:lineRule="auto"/>
              <w:jc w:val="center"/>
              <w:rPr>
                <w:b/>
              </w:rPr>
            </w:pPr>
            <w:r w:rsidRPr="008D1E00">
              <w:rPr>
                <w:b/>
              </w:rPr>
              <w:t>Prediction to be tested and belief rating</w:t>
            </w:r>
          </w:p>
        </w:tc>
        <w:tc>
          <w:tcPr>
            <w:tcW w:w="3003" w:type="dxa"/>
            <w:shd w:val="clear" w:color="auto" w:fill="E7E6E6" w:themeFill="background2"/>
          </w:tcPr>
          <w:p w14:paraId="6C3B84C2" w14:textId="77777777" w:rsidR="00030BCE" w:rsidRPr="008D1E00" w:rsidRDefault="00030BCE" w:rsidP="00ED3B29">
            <w:pPr>
              <w:widowControl w:val="0"/>
              <w:autoSpaceDE w:val="0"/>
              <w:autoSpaceDN w:val="0"/>
              <w:adjustRightInd w:val="0"/>
              <w:spacing w:after="240" w:line="360" w:lineRule="auto"/>
              <w:jc w:val="center"/>
              <w:rPr>
                <w:b/>
              </w:rPr>
            </w:pPr>
            <w:r w:rsidRPr="008D1E00">
              <w:rPr>
                <w:b/>
              </w:rPr>
              <w:t>Experiment</w:t>
            </w:r>
          </w:p>
        </w:tc>
        <w:tc>
          <w:tcPr>
            <w:tcW w:w="3004" w:type="dxa"/>
            <w:shd w:val="clear" w:color="auto" w:fill="E7E6E6" w:themeFill="background2"/>
          </w:tcPr>
          <w:p w14:paraId="4261004F" w14:textId="77777777" w:rsidR="00030BCE" w:rsidRPr="008D1E00" w:rsidRDefault="00030BCE" w:rsidP="00ED3B29">
            <w:pPr>
              <w:widowControl w:val="0"/>
              <w:autoSpaceDE w:val="0"/>
              <w:autoSpaceDN w:val="0"/>
              <w:adjustRightInd w:val="0"/>
              <w:spacing w:after="240" w:line="360" w:lineRule="auto"/>
              <w:jc w:val="center"/>
              <w:rPr>
                <w:b/>
              </w:rPr>
            </w:pPr>
            <w:r w:rsidRPr="008D1E00">
              <w:rPr>
                <w:b/>
              </w:rPr>
              <w:t>Outcome / Learning</w:t>
            </w:r>
          </w:p>
        </w:tc>
      </w:tr>
      <w:tr w:rsidR="00030BCE" w:rsidRPr="008D1E00" w14:paraId="7BEA8185" w14:textId="77777777" w:rsidTr="00ED3B29">
        <w:tc>
          <w:tcPr>
            <w:tcW w:w="3003" w:type="dxa"/>
          </w:tcPr>
          <w:p w14:paraId="5A67D886" w14:textId="77777777" w:rsidR="00030BCE" w:rsidRPr="008D1E00" w:rsidRDefault="00030BCE" w:rsidP="00ED3B29">
            <w:pPr>
              <w:widowControl w:val="0"/>
              <w:autoSpaceDE w:val="0"/>
              <w:autoSpaceDN w:val="0"/>
              <w:adjustRightInd w:val="0"/>
              <w:spacing w:after="240" w:line="360" w:lineRule="auto"/>
              <w:jc w:val="center"/>
              <w:rPr>
                <w:color w:val="000000"/>
              </w:rPr>
            </w:pPr>
            <w:r w:rsidRPr="008D1E00">
              <w:rPr>
                <w:color w:val="000000"/>
              </w:rPr>
              <w:t>I will lose control of my bladder and wet myself (100%)</w:t>
            </w:r>
          </w:p>
          <w:p w14:paraId="5CEA7F8B" w14:textId="77777777" w:rsidR="00030BCE" w:rsidRPr="008D1E00" w:rsidRDefault="00030BCE" w:rsidP="00ED3B29">
            <w:pPr>
              <w:widowControl w:val="0"/>
              <w:autoSpaceDE w:val="0"/>
              <w:autoSpaceDN w:val="0"/>
              <w:adjustRightInd w:val="0"/>
              <w:spacing w:after="240" w:line="360" w:lineRule="auto"/>
              <w:jc w:val="center"/>
              <w:rPr>
                <w:color w:val="000000"/>
              </w:rPr>
            </w:pPr>
          </w:p>
        </w:tc>
        <w:tc>
          <w:tcPr>
            <w:tcW w:w="3003" w:type="dxa"/>
          </w:tcPr>
          <w:p w14:paraId="2B2BE2CC" w14:textId="77777777" w:rsidR="00030BCE" w:rsidRPr="008D1E00" w:rsidRDefault="00030BCE" w:rsidP="00ED3B29">
            <w:pPr>
              <w:widowControl w:val="0"/>
              <w:autoSpaceDE w:val="0"/>
              <w:autoSpaceDN w:val="0"/>
              <w:adjustRightInd w:val="0"/>
              <w:spacing w:after="240" w:line="360" w:lineRule="auto"/>
              <w:jc w:val="center"/>
            </w:pPr>
            <w:r w:rsidRPr="008D1E00">
              <w:t>Martin drank a large amount of water before and during the session and then did jumping jacks in a crowded place to test his beliefs.</w:t>
            </w:r>
          </w:p>
        </w:tc>
        <w:tc>
          <w:tcPr>
            <w:tcW w:w="3004" w:type="dxa"/>
          </w:tcPr>
          <w:p w14:paraId="4DA863C8" w14:textId="77777777" w:rsidR="00030BCE" w:rsidRPr="008D1E00" w:rsidRDefault="00030BCE" w:rsidP="00ED3B29">
            <w:pPr>
              <w:widowControl w:val="0"/>
              <w:autoSpaceDE w:val="0"/>
              <w:autoSpaceDN w:val="0"/>
              <w:adjustRightInd w:val="0"/>
              <w:spacing w:after="240" w:line="360" w:lineRule="auto"/>
              <w:jc w:val="center"/>
            </w:pPr>
            <w:r w:rsidRPr="008D1E00">
              <w:t>Despite feeling like I was going to wet myself I did not. I can cope better than I think.</w:t>
            </w:r>
          </w:p>
          <w:p w14:paraId="5008C7EC" w14:textId="77777777" w:rsidR="00030BCE" w:rsidRPr="008D1E00" w:rsidRDefault="00030BCE" w:rsidP="00ED3B29">
            <w:pPr>
              <w:widowControl w:val="0"/>
              <w:autoSpaceDE w:val="0"/>
              <w:autoSpaceDN w:val="0"/>
              <w:adjustRightInd w:val="0"/>
              <w:spacing w:after="240" w:line="360" w:lineRule="auto"/>
              <w:jc w:val="center"/>
            </w:pPr>
            <w:r w:rsidRPr="008D1E00">
              <w:t>Re-rating of original belief:</w:t>
            </w:r>
            <w:r w:rsidRPr="008D1E00">
              <w:br/>
              <w:t>0%</w:t>
            </w:r>
          </w:p>
        </w:tc>
      </w:tr>
      <w:tr w:rsidR="00030BCE" w:rsidRPr="008D1E00" w14:paraId="58F38C4B" w14:textId="77777777" w:rsidTr="00ED3B29">
        <w:tc>
          <w:tcPr>
            <w:tcW w:w="3003" w:type="dxa"/>
          </w:tcPr>
          <w:p w14:paraId="6E77D4E2" w14:textId="77777777" w:rsidR="00030BCE" w:rsidRPr="008D1E00" w:rsidRDefault="00030BCE" w:rsidP="00ED3B29">
            <w:pPr>
              <w:widowControl w:val="0"/>
              <w:autoSpaceDE w:val="0"/>
              <w:autoSpaceDN w:val="0"/>
              <w:adjustRightInd w:val="0"/>
              <w:spacing w:after="240" w:line="360" w:lineRule="auto"/>
              <w:jc w:val="center"/>
            </w:pPr>
            <w:r w:rsidRPr="008D1E00">
              <w:rPr>
                <w:color w:val="000000"/>
              </w:rPr>
              <w:t>It will be everywhere and form a big puddle (100%)</w:t>
            </w:r>
          </w:p>
        </w:tc>
        <w:tc>
          <w:tcPr>
            <w:tcW w:w="3003" w:type="dxa"/>
          </w:tcPr>
          <w:p w14:paraId="062ECED4" w14:textId="77777777" w:rsidR="00030BCE" w:rsidRPr="008D1E00" w:rsidRDefault="00030BCE" w:rsidP="00ED3B29">
            <w:pPr>
              <w:widowControl w:val="0"/>
              <w:autoSpaceDE w:val="0"/>
              <w:autoSpaceDN w:val="0"/>
              <w:adjustRightInd w:val="0"/>
              <w:spacing w:after="240" w:line="360" w:lineRule="auto"/>
              <w:jc w:val="center"/>
            </w:pPr>
            <w:r w:rsidRPr="008D1E00">
              <w:rPr>
                <w:color w:val="000000"/>
              </w:rPr>
              <w:t>Martin dressed in light coloured trousers and purposefully wet himself in his shower at home when he was alone.</w:t>
            </w:r>
          </w:p>
        </w:tc>
        <w:tc>
          <w:tcPr>
            <w:tcW w:w="3004" w:type="dxa"/>
          </w:tcPr>
          <w:p w14:paraId="4CC13DB5" w14:textId="77777777" w:rsidR="00030BCE" w:rsidRPr="008D1E00" w:rsidRDefault="00030BCE" w:rsidP="00ED3B29">
            <w:pPr>
              <w:widowControl w:val="0"/>
              <w:autoSpaceDE w:val="0"/>
              <w:autoSpaceDN w:val="0"/>
              <w:adjustRightInd w:val="0"/>
              <w:spacing w:after="240" w:line="360" w:lineRule="auto"/>
              <w:jc w:val="center"/>
              <w:rPr>
                <w:color w:val="000000"/>
              </w:rPr>
            </w:pPr>
            <w:r w:rsidRPr="008D1E00">
              <w:rPr>
                <w:color w:val="000000"/>
              </w:rPr>
              <w:t>It is a lot harder than expected to wet myself when wearing trousers, and no puddle formed when I did wet myself.</w:t>
            </w:r>
          </w:p>
          <w:p w14:paraId="2C69266A" w14:textId="77777777" w:rsidR="00030BCE" w:rsidRPr="008D1E00" w:rsidRDefault="00030BCE" w:rsidP="00ED3B29">
            <w:pPr>
              <w:widowControl w:val="0"/>
              <w:autoSpaceDE w:val="0"/>
              <w:autoSpaceDN w:val="0"/>
              <w:adjustRightInd w:val="0"/>
              <w:spacing w:after="240" w:line="360" w:lineRule="auto"/>
              <w:jc w:val="center"/>
            </w:pPr>
            <w:r w:rsidRPr="008D1E00">
              <w:t>Re-rating of original belief:</w:t>
            </w:r>
            <w:r w:rsidRPr="008D1E00">
              <w:br/>
              <w:t>0%</w:t>
            </w:r>
          </w:p>
        </w:tc>
      </w:tr>
      <w:tr w:rsidR="00030BCE" w:rsidRPr="008D1E00" w14:paraId="0C4D30F8" w14:textId="77777777" w:rsidTr="00ED3B29">
        <w:tc>
          <w:tcPr>
            <w:tcW w:w="3003" w:type="dxa"/>
          </w:tcPr>
          <w:p w14:paraId="125A06A5" w14:textId="77777777" w:rsidR="00030BCE" w:rsidRPr="008D1E00" w:rsidRDefault="00030BCE" w:rsidP="00ED3B29">
            <w:pPr>
              <w:widowControl w:val="0"/>
              <w:autoSpaceDE w:val="0"/>
              <w:autoSpaceDN w:val="0"/>
              <w:adjustRightInd w:val="0"/>
              <w:spacing w:after="240" w:line="360" w:lineRule="auto"/>
              <w:jc w:val="center"/>
            </w:pPr>
            <w:r w:rsidRPr="008D1E00">
              <w:rPr>
                <w:color w:val="000000"/>
              </w:rPr>
              <w:t>It will be everywhere, and everyone will notice / It will stink, and others will be angry, disgusted and offended by me (100%)</w:t>
            </w:r>
          </w:p>
        </w:tc>
        <w:tc>
          <w:tcPr>
            <w:tcW w:w="3003" w:type="dxa"/>
          </w:tcPr>
          <w:p w14:paraId="22BDA2E9" w14:textId="77777777" w:rsidR="00030BCE" w:rsidRPr="008D1E00" w:rsidRDefault="00030BCE" w:rsidP="00ED3B29">
            <w:pPr>
              <w:widowControl w:val="0"/>
              <w:autoSpaceDE w:val="0"/>
              <w:autoSpaceDN w:val="0"/>
              <w:adjustRightInd w:val="0"/>
              <w:spacing w:after="240" w:line="360" w:lineRule="auto"/>
              <w:jc w:val="center"/>
            </w:pPr>
            <w:r w:rsidRPr="008D1E00">
              <w:t>Therapist modelling - The therapist walked around in public, stood by a crowded bus stop and entered a busy café with a visible wet patch on his trousers.</w:t>
            </w:r>
          </w:p>
        </w:tc>
        <w:tc>
          <w:tcPr>
            <w:tcW w:w="3004" w:type="dxa"/>
          </w:tcPr>
          <w:p w14:paraId="601F9C9C" w14:textId="77777777" w:rsidR="00030BCE" w:rsidRPr="008D1E00" w:rsidRDefault="00030BCE" w:rsidP="00ED3B29">
            <w:pPr>
              <w:widowControl w:val="0"/>
              <w:autoSpaceDE w:val="0"/>
              <w:autoSpaceDN w:val="0"/>
              <w:adjustRightInd w:val="0"/>
              <w:spacing w:after="240" w:line="360" w:lineRule="auto"/>
              <w:jc w:val="center"/>
            </w:pPr>
            <w:r w:rsidRPr="008D1E00">
              <w:t>Becoming incontinent in public is not as awful as predicted – Most people don’t notice and those who do don’t seem to care.</w:t>
            </w:r>
          </w:p>
          <w:p w14:paraId="37C7EFF4" w14:textId="77777777" w:rsidR="00030BCE" w:rsidRPr="008D1E00" w:rsidRDefault="00030BCE" w:rsidP="00ED3B29">
            <w:pPr>
              <w:widowControl w:val="0"/>
              <w:autoSpaceDE w:val="0"/>
              <w:autoSpaceDN w:val="0"/>
              <w:adjustRightInd w:val="0"/>
              <w:spacing w:after="240" w:line="360" w:lineRule="auto"/>
              <w:jc w:val="center"/>
            </w:pPr>
            <w:r w:rsidRPr="008D1E00">
              <w:t>Re-rating of original belief:</w:t>
            </w:r>
            <w:r w:rsidRPr="008D1E00">
              <w:br/>
              <w:t>0%</w:t>
            </w:r>
          </w:p>
        </w:tc>
      </w:tr>
    </w:tbl>
    <w:p w14:paraId="3080FF57" w14:textId="77777777" w:rsidR="00735C46" w:rsidRPr="008D1E00" w:rsidRDefault="00735C46" w:rsidP="00735C46">
      <w:pPr>
        <w:widowControl w:val="0"/>
        <w:autoSpaceDE w:val="0"/>
        <w:autoSpaceDN w:val="0"/>
        <w:adjustRightInd w:val="0"/>
        <w:spacing w:after="240" w:line="360" w:lineRule="auto"/>
      </w:pPr>
    </w:p>
    <w:p w14:paraId="32E0E378" w14:textId="30CB3137" w:rsidR="00735C46" w:rsidRPr="008D1E00" w:rsidRDefault="00735C46" w:rsidP="006B3CE3">
      <w:pPr>
        <w:widowControl w:val="0"/>
        <w:autoSpaceDE w:val="0"/>
        <w:autoSpaceDN w:val="0"/>
        <w:adjustRightInd w:val="0"/>
        <w:spacing w:after="240" w:line="360" w:lineRule="atLeast"/>
        <w:rPr>
          <w:b/>
        </w:rPr>
      </w:pPr>
    </w:p>
    <w:p w14:paraId="7E2BCC2A" w14:textId="71446882" w:rsidR="00735C46" w:rsidRPr="008D1E00" w:rsidRDefault="00735C46" w:rsidP="006B3CE3">
      <w:pPr>
        <w:widowControl w:val="0"/>
        <w:autoSpaceDE w:val="0"/>
        <w:autoSpaceDN w:val="0"/>
        <w:adjustRightInd w:val="0"/>
        <w:spacing w:after="240" w:line="360" w:lineRule="atLeast"/>
        <w:rPr>
          <w:b/>
        </w:rPr>
      </w:pPr>
    </w:p>
    <w:p w14:paraId="4A687E7B" w14:textId="78C62003" w:rsidR="007620F7" w:rsidRPr="008D1E00" w:rsidRDefault="007620F7" w:rsidP="00735C46">
      <w:pPr>
        <w:widowControl w:val="0"/>
        <w:autoSpaceDE w:val="0"/>
        <w:autoSpaceDN w:val="0"/>
        <w:adjustRightInd w:val="0"/>
        <w:spacing w:after="240" w:line="360" w:lineRule="auto"/>
        <w:rPr>
          <w:b/>
          <w:color w:val="000000"/>
        </w:rPr>
      </w:pPr>
    </w:p>
    <w:p w14:paraId="63C6FDF0" w14:textId="77777777" w:rsidR="000E21B5" w:rsidRPr="008D1E00" w:rsidRDefault="000E21B5" w:rsidP="00735C46">
      <w:pPr>
        <w:widowControl w:val="0"/>
        <w:autoSpaceDE w:val="0"/>
        <w:autoSpaceDN w:val="0"/>
        <w:adjustRightInd w:val="0"/>
        <w:spacing w:after="240" w:line="360" w:lineRule="auto"/>
        <w:rPr>
          <w:b/>
          <w:color w:val="000000"/>
        </w:rPr>
      </w:pPr>
    </w:p>
    <w:p w14:paraId="6B77B5D5" w14:textId="3520E7C7" w:rsidR="00735C46" w:rsidRPr="008D1E00" w:rsidRDefault="004B003B" w:rsidP="00735C46">
      <w:pPr>
        <w:widowControl w:val="0"/>
        <w:autoSpaceDE w:val="0"/>
        <w:autoSpaceDN w:val="0"/>
        <w:adjustRightInd w:val="0"/>
        <w:spacing w:after="240" w:line="360" w:lineRule="auto"/>
        <w:rPr>
          <w:b/>
          <w:color w:val="000000"/>
        </w:rPr>
      </w:pPr>
      <w:r w:rsidRPr="008D1E00">
        <w:rPr>
          <w:b/>
          <w:color w:val="000000"/>
        </w:rPr>
        <w:t>Table 2. Outcome measures over the course of therapy</w:t>
      </w:r>
    </w:p>
    <w:p w14:paraId="3CA5735D" w14:textId="1F74A886" w:rsidR="004B003B" w:rsidRPr="008D1E00" w:rsidRDefault="004B003B" w:rsidP="004B003B">
      <w:pPr>
        <w:spacing w:line="360" w:lineRule="auto"/>
        <w:rPr>
          <w:u w:val="single"/>
        </w:rPr>
      </w:pPr>
    </w:p>
    <w:tbl>
      <w:tblPr>
        <w:tblStyle w:val="TableGrid"/>
        <w:tblW w:w="0" w:type="auto"/>
        <w:tblInd w:w="404" w:type="dxa"/>
        <w:tblLook w:val="04A0" w:firstRow="1" w:lastRow="0" w:firstColumn="1" w:lastColumn="0" w:noHBand="0" w:noVBand="1"/>
      </w:tblPr>
      <w:tblGrid>
        <w:gridCol w:w="2080"/>
        <w:gridCol w:w="1017"/>
        <w:gridCol w:w="1018"/>
        <w:gridCol w:w="1026"/>
        <w:gridCol w:w="1038"/>
        <w:gridCol w:w="988"/>
        <w:gridCol w:w="1042"/>
      </w:tblGrid>
      <w:tr w:rsidR="004B003B" w:rsidRPr="008D1E00" w14:paraId="2182E503" w14:textId="77777777" w:rsidTr="00602BDB">
        <w:trPr>
          <w:trHeight w:val="621"/>
        </w:trPr>
        <w:tc>
          <w:tcPr>
            <w:tcW w:w="2080" w:type="dxa"/>
            <w:shd w:val="clear" w:color="auto" w:fill="E7E6E6" w:themeFill="background2"/>
          </w:tcPr>
          <w:p w14:paraId="324779FF" w14:textId="77777777" w:rsidR="004B003B" w:rsidRPr="008D1E00" w:rsidRDefault="004B003B" w:rsidP="00FF0B3E">
            <w:pPr>
              <w:jc w:val="center"/>
              <w:rPr>
                <w:b/>
              </w:rPr>
            </w:pPr>
            <w:r w:rsidRPr="008D1E00">
              <w:rPr>
                <w:b/>
              </w:rPr>
              <w:t>Session number</w:t>
            </w:r>
          </w:p>
        </w:tc>
        <w:tc>
          <w:tcPr>
            <w:tcW w:w="1017" w:type="dxa"/>
            <w:shd w:val="clear" w:color="auto" w:fill="E7E6E6" w:themeFill="background2"/>
          </w:tcPr>
          <w:p w14:paraId="7B2002DA" w14:textId="77777777" w:rsidR="004B003B" w:rsidRPr="008D1E00" w:rsidRDefault="004B003B" w:rsidP="00FF0B3E">
            <w:pPr>
              <w:jc w:val="center"/>
              <w:rPr>
                <w:b/>
              </w:rPr>
            </w:pPr>
            <w:r w:rsidRPr="008D1E00">
              <w:rPr>
                <w:b/>
              </w:rPr>
              <w:t>PHQ-9</w:t>
            </w:r>
          </w:p>
        </w:tc>
        <w:tc>
          <w:tcPr>
            <w:tcW w:w="1018" w:type="dxa"/>
            <w:shd w:val="clear" w:color="auto" w:fill="E7E6E6" w:themeFill="background2"/>
          </w:tcPr>
          <w:p w14:paraId="161A4F85" w14:textId="77777777" w:rsidR="004B003B" w:rsidRPr="008D1E00" w:rsidRDefault="004B003B" w:rsidP="00FF0B3E">
            <w:pPr>
              <w:jc w:val="center"/>
              <w:rPr>
                <w:b/>
              </w:rPr>
            </w:pPr>
            <w:r w:rsidRPr="008D1E00">
              <w:rPr>
                <w:b/>
              </w:rPr>
              <w:t>GAD-7</w:t>
            </w:r>
          </w:p>
        </w:tc>
        <w:tc>
          <w:tcPr>
            <w:tcW w:w="1026" w:type="dxa"/>
            <w:shd w:val="clear" w:color="auto" w:fill="E7E6E6" w:themeFill="background2"/>
          </w:tcPr>
          <w:p w14:paraId="0A697191" w14:textId="77777777" w:rsidR="004B003B" w:rsidRPr="008D1E00" w:rsidRDefault="004B003B" w:rsidP="00FF0B3E">
            <w:pPr>
              <w:jc w:val="center"/>
              <w:rPr>
                <w:b/>
              </w:rPr>
            </w:pPr>
            <w:r w:rsidRPr="008D1E00">
              <w:rPr>
                <w:b/>
              </w:rPr>
              <w:t>WSAS</w:t>
            </w:r>
          </w:p>
        </w:tc>
        <w:tc>
          <w:tcPr>
            <w:tcW w:w="1038" w:type="dxa"/>
            <w:shd w:val="clear" w:color="auto" w:fill="E7E6E6" w:themeFill="background2"/>
          </w:tcPr>
          <w:p w14:paraId="0A368FC3" w14:textId="77777777" w:rsidR="004B003B" w:rsidRPr="008D1E00" w:rsidRDefault="004B003B" w:rsidP="00FF0B3E">
            <w:pPr>
              <w:jc w:val="center"/>
              <w:rPr>
                <w:b/>
              </w:rPr>
            </w:pPr>
            <w:r w:rsidRPr="008D1E00">
              <w:rPr>
                <w:b/>
              </w:rPr>
              <w:t>Phobia Scales</w:t>
            </w:r>
          </w:p>
        </w:tc>
        <w:tc>
          <w:tcPr>
            <w:tcW w:w="988" w:type="dxa"/>
            <w:shd w:val="clear" w:color="auto" w:fill="E7E6E6" w:themeFill="background2"/>
          </w:tcPr>
          <w:p w14:paraId="6A35D546" w14:textId="77777777" w:rsidR="004B003B" w:rsidRPr="008D1E00" w:rsidRDefault="004B003B" w:rsidP="00FF0B3E">
            <w:pPr>
              <w:jc w:val="center"/>
              <w:rPr>
                <w:b/>
              </w:rPr>
            </w:pPr>
            <w:r w:rsidRPr="008D1E00">
              <w:rPr>
                <w:b/>
              </w:rPr>
              <w:t>FQ</w:t>
            </w:r>
          </w:p>
        </w:tc>
        <w:tc>
          <w:tcPr>
            <w:tcW w:w="1042" w:type="dxa"/>
            <w:shd w:val="clear" w:color="auto" w:fill="E7E6E6" w:themeFill="background2"/>
          </w:tcPr>
          <w:p w14:paraId="7993431F" w14:textId="77777777" w:rsidR="004B003B" w:rsidRPr="008D1E00" w:rsidRDefault="004B003B" w:rsidP="00FF0B3E">
            <w:pPr>
              <w:jc w:val="center"/>
              <w:rPr>
                <w:b/>
              </w:rPr>
            </w:pPr>
            <w:r w:rsidRPr="008D1E00">
              <w:rPr>
                <w:b/>
              </w:rPr>
              <w:t>ACQ</w:t>
            </w:r>
          </w:p>
        </w:tc>
      </w:tr>
      <w:tr w:rsidR="004B003B" w:rsidRPr="008D1E00" w14:paraId="3778AAA0" w14:textId="77777777" w:rsidTr="00602BDB">
        <w:trPr>
          <w:trHeight w:val="621"/>
        </w:trPr>
        <w:tc>
          <w:tcPr>
            <w:tcW w:w="2080" w:type="dxa"/>
          </w:tcPr>
          <w:p w14:paraId="35987B88" w14:textId="77777777" w:rsidR="004B003B" w:rsidRPr="008D1E00" w:rsidRDefault="004B003B" w:rsidP="00FF0B3E">
            <w:pPr>
              <w:jc w:val="center"/>
            </w:pPr>
            <w:r w:rsidRPr="008D1E00">
              <w:t>Assessment</w:t>
            </w:r>
          </w:p>
        </w:tc>
        <w:tc>
          <w:tcPr>
            <w:tcW w:w="1017" w:type="dxa"/>
          </w:tcPr>
          <w:p w14:paraId="35C7E946" w14:textId="77777777" w:rsidR="004B003B" w:rsidRPr="008D1E00" w:rsidRDefault="004B003B" w:rsidP="00FF0B3E">
            <w:pPr>
              <w:jc w:val="center"/>
            </w:pPr>
            <w:r w:rsidRPr="008D1E00">
              <w:t>12</w:t>
            </w:r>
          </w:p>
        </w:tc>
        <w:tc>
          <w:tcPr>
            <w:tcW w:w="1018" w:type="dxa"/>
          </w:tcPr>
          <w:p w14:paraId="514CE63D" w14:textId="77777777" w:rsidR="004B003B" w:rsidRPr="008D1E00" w:rsidRDefault="004B003B" w:rsidP="00FF0B3E">
            <w:pPr>
              <w:jc w:val="center"/>
            </w:pPr>
            <w:r w:rsidRPr="008D1E00">
              <w:t>12</w:t>
            </w:r>
          </w:p>
        </w:tc>
        <w:tc>
          <w:tcPr>
            <w:tcW w:w="1026" w:type="dxa"/>
          </w:tcPr>
          <w:p w14:paraId="0E299AC3" w14:textId="77777777" w:rsidR="004B003B" w:rsidRPr="008D1E00" w:rsidRDefault="004B003B" w:rsidP="00FF0B3E">
            <w:pPr>
              <w:jc w:val="center"/>
            </w:pPr>
            <w:r w:rsidRPr="008D1E00">
              <w:t>23</w:t>
            </w:r>
          </w:p>
        </w:tc>
        <w:tc>
          <w:tcPr>
            <w:tcW w:w="1038" w:type="dxa"/>
          </w:tcPr>
          <w:p w14:paraId="6D22F431" w14:textId="77777777" w:rsidR="004B003B" w:rsidRPr="008D1E00" w:rsidRDefault="004B003B" w:rsidP="00FF0B3E">
            <w:pPr>
              <w:jc w:val="center"/>
            </w:pPr>
            <w:r w:rsidRPr="008D1E00">
              <w:t>11</w:t>
            </w:r>
          </w:p>
        </w:tc>
        <w:tc>
          <w:tcPr>
            <w:tcW w:w="988" w:type="dxa"/>
          </w:tcPr>
          <w:p w14:paraId="70FEF555" w14:textId="77777777" w:rsidR="004B003B" w:rsidRPr="008D1E00" w:rsidRDefault="004B003B" w:rsidP="00FF0B3E">
            <w:pPr>
              <w:jc w:val="center"/>
            </w:pPr>
            <w:r w:rsidRPr="008D1E00">
              <w:t>62</w:t>
            </w:r>
          </w:p>
        </w:tc>
        <w:tc>
          <w:tcPr>
            <w:tcW w:w="1042" w:type="dxa"/>
          </w:tcPr>
          <w:p w14:paraId="015F1636" w14:textId="77777777" w:rsidR="004B003B" w:rsidRPr="008D1E00" w:rsidRDefault="004B003B" w:rsidP="00FF0B3E">
            <w:pPr>
              <w:jc w:val="center"/>
            </w:pPr>
            <w:r w:rsidRPr="008D1E00">
              <w:t>34/410</w:t>
            </w:r>
          </w:p>
          <w:p w14:paraId="37E3C13A" w14:textId="77777777" w:rsidR="004B003B" w:rsidRPr="008D1E00" w:rsidRDefault="004B003B" w:rsidP="00FF0B3E">
            <w:pPr>
              <w:jc w:val="center"/>
            </w:pPr>
          </w:p>
        </w:tc>
      </w:tr>
      <w:tr w:rsidR="004B003B" w:rsidRPr="008D1E00" w14:paraId="0CC0CD2A" w14:textId="77777777" w:rsidTr="00602BDB">
        <w:trPr>
          <w:trHeight w:val="621"/>
        </w:trPr>
        <w:tc>
          <w:tcPr>
            <w:tcW w:w="2080" w:type="dxa"/>
          </w:tcPr>
          <w:p w14:paraId="2B368F26" w14:textId="77777777" w:rsidR="004B003B" w:rsidRPr="008D1E00" w:rsidRDefault="004B003B" w:rsidP="00FF0B3E">
            <w:pPr>
              <w:jc w:val="center"/>
            </w:pPr>
            <w:r w:rsidRPr="008D1E00">
              <w:t>1</w:t>
            </w:r>
          </w:p>
        </w:tc>
        <w:tc>
          <w:tcPr>
            <w:tcW w:w="1017" w:type="dxa"/>
          </w:tcPr>
          <w:p w14:paraId="671E622B" w14:textId="77777777" w:rsidR="004B003B" w:rsidRPr="008D1E00" w:rsidRDefault="004B003B" w:rsidP="00FF0B3E">
            <w:pPr>
              <w:tabs>
                <w:tab w:val="left" w:pos="1005"/>
              </w:tabs>
              <w:jc w:val="center"/>
            </w:pPr>
            <w:r w:rsidRPr="008D1E00">
              <w:t>10</w:t>
            </w:r>
          </w:p>
        </w:tc>
        <w:tc>
          <w:tcPr>
            <w:tcW w:w="1018" w:type="dxa"/>
          </w:tcPr>
          <w:p w14:paraId="13A902C3" w14:textId="77777777" w:rsidR="004B003B" w:rsidRPr="008D1E00" w:rsidRDefault="004B003B" w:rsidP="00FF0B3E">
            <w:pPr>
              <w:jc w:val="center"/>
            </w:pPr>
            <w:r w:rsidRPr="008D1E00">
              <w:t>10</w:t>
            </w:r>
          </w:p>
        </w:tc>
        <w:tc>
          <w:tcPr>
            <w:tcW w:w="1026" w:type="dxa"/>
          </w:tcPr>
          <w:p w14:paraId="55DB9EF9" w14:textId="77777777" w:rsidR="004B003B" w:rsidRPr="008D1E00" w:rsidRDefault="004B003B" w:rsidP="00FF0B3E">
            <w:pPr>
              <w:jc w:val="center"/>
            </w:pPr>
            <w:r w:rsidRPr="008D1E00">
              <w:t>17</w:t>
            </w:r>
          </w:p>
        </w:tc>
        <w:tc>
          <w:tcPr>
            <w:tcW w:w="1038" w:type="dxa"/>
          </w:tcPr>
          <w:p w14:paraId="656E8FC5" w14:textId="77777777" w:rsidR="004B003B" w:rsidRPr="008D1E00" w:rsidRDefault="004B003B" w:rsidP="00FF0B3E">
            <w:pPr>
              <w:jc w:val="center"/>
            </w:pPr>
            <w:r w:rsidRPr="008D1E00">
              <w:t>6</w:t>
            </w:r>
          </w:p>
        </w:tc>
        <w:tc>
          <w:tcPr>
            <w:tcW w:w="988" w:type="dxa"/>
          </w:tcPr>
          <w:p w14:paraId="5D8E662F" w14:textId="77777777" w:rsidR="004B003B" w:rsidRPr="008D1E00" w:rsidRDefault="004B003B" w:rsidP="00FF0B3E">
            <w:pPr>
              <w:jc w:val="center"/>
            </w:pPr>
            <w:r w:rsidRPr="008D1E00">
              <w:t>51</w:t>
            </w:r>
          </w:p>
        </w:tc>
        <w:tc>
          <w:tcPr>
            <w:tcW w:w="1042" w:type="dxa"/>
          </w:tcPr>
          <w:p w14:paraId="199F3BAB" w14:textId="77777777" w:rsidR="004B003B" w:rsidRPr="008D1E00" w:rsidRDefault="004B003B" w:rsidP="00FF0B3E">
            <w:pPr>
              <w:jc w:val="center"/>
              <w:rPr>
                <w:color w:val="000000" w:themeColor="text1"/>
              </w:rPr>
            </w:pPr>
            <w:r w:rsidRPr="008D1E00">
              <w:rPr>
                <w:color w:val="000000" w:themeColor="text1"/>
              </w:rPr>
              <w:t>27/270</w:t>
            </w:r>
          </w:p>
        </w:tc>
      </w:tr>
      <w:tr w:rsidR="004B003B" w:rsidRPr="008D1E00" w14:paraId="7C2AD06A" w14:textId="77777777" w:rsidTr="00602BDB">
        <w:trPr>
          <w:trHeight w:val="621"/>
        </w:trPr>
        <w:tc>
          <w:tcPr>
            <w:tcW w:w="2080" w:type="dxa"/>
          </w:tcPr>
          <w:p w14:paraId="5B8B8704" w14:textId="77777777" w:rsidR="004B003B" w:rsidRPr="008D1E00" w:rsidRDefault="004B003B" w:rsidP="00FF0B3E">
            <w:pPr>
              <w:jc w:val="center"/>
            </w:pPr>
            <w:r w:rsidRPr="008D1E00">
              <w:t>2</w:t>
            </w:r>
          </w:p>
        </w:tc>
        <w:tc>
          <w:tcPr>
            <w:tcW w:w="1017" w:type="dxa"/>
          </w:tcPr>
          <w:p w14:paraId="12C79E97" w14:textId="77777777" w:rsidR="004B003B" w:rsidRPr="008D1E00" w:rsidRDefault="004B003B" w:rsidP="00FF0B3E">
            <w:pPr>
              <w:jc w:val="center"/>
            </w:pPr>
            <w:r w:rsidRPr="008D1E00">
              <w:t>10</w:t>
            </w:r>
          </w:p>
        </w:tc>
        <w:tc>
          <w:tcPr>
            <w:tcW w:w="1018" w:type="dxa"/>
          </w:tcPr>
          <w:p w14:paraId="0F1BBD2F" w14:textId="77777777" w:rsidR="004B003B" w:rsidRPr="008D1E00" w:rsidRDefault="004B003B" w:rsidP="00FF0B3E">
            <w:pPr>
              <w:jc w:val="center"/>
            </w:pPr>
            <w:r w:rsidRPr="008D1E00">
              <w:t>10</w:t>
            </w:r>
          </w:p>
        </w:tc>
        <w:tc>
          <w:tcPr>
            <w:tcW w:w="1026" w:type="dxa"/>
          </w:tcPr>
          <w:p w14:paraId="36355BA3" w14:textId="77777777" w:rsidR="004B003B" w:rsidRPr="008D1E00" w:rsidRDefault="004B003B" w:rsidP="00FF0B3E">
            <w:pPr>
              <w:jc w:val="center"/>
            </w:pPr>
            <w:r w:rsidRPr="008D1E00">
              <w:t>10</w:t>
            </w:r>
          </w:p>
        </w:tc>
        <w:tc>
          <w:tcPr>
            <w:tcW w:w="1038" w:type="dxa"/>
          </w:tcPr>
          <w:p w14:paraId="38095275" w14:textId="77777777" w:rsidR="004B003B" w:rsidRPr="008D1E00" w:rsidRDefault="004B003B" w:rsidP="00FF0B3E">
            <w:pPr>
              <w:jc w:val="center"/>
            </w:pPr>
            <w:r w:rsidRPr="008D1E00">
              <w:t>5</w:t>
            </w:r>
          </w:p>
        </w:tc>
        <w:tc>
          <w:tcPr>
            <w:tcW w:w="988" w:type="dxa"/>
          </w:tcPr>
          <w:p w14:paraId="58AD2EF7" w14:textId="77777777" w:rsidR="004B003B" w:rsidRPr="008D1E00" w:rsidRDefault="004B003B" w:rsidP="00FF0B3E">
            <w:pPr>
              <w:jc w:val="center"/>
            </w:pPr>
            <w:r w:rsidRPr="008D1E00">
              <w:t>50</w:t>
            </w:r>
          </w:p>
        </w:tc>
        <w:tc>
          <w:tcPr>
            <w:tcW w:w="1042" w:type="dxa"/>
          </w:tcPr>
          <w:p w14:paraId="30D1D024" w14:textId="77777777" w:rsidR="004B003B" w:rsidRPr="008D1E00" w:rsidRDefault="004B003B" w:rsidP="00FF0B3E">
            <w:pPr>
              <w:jc w:val="center"/>
              <w:rPr>
                <w:color w:val="000000" w:themeColor="text1"/>
              </w:rPr>
            </w:pPr>
            <w:r w:rsidRPr="008D1E00">
              <w:rPr>
                <w:color w:val="000000" w:themeColor="text1"/>
              </w:rPr>
              <w:t>24/240</w:t>
            </w:r>
          </w:p>
        </w:tc>
      </w:tr>
      <w:tr w:rsidR="004B003B" w:rsidRPr="008D1E00" w14:paraId="04854FC9" w14:textId="77777777" w:rsidTr="00602BDB">
        <w:trPr>
          <w:trHeight w:val="621"/>
        </w:trPr>
        <w:tc>
          <w:tcPr>
            <w:tcW w:w="2080" w:type="dxa"/>
          </w:tcPr>
          <w:p w14:paraId="118A5C76" w14:textId="77777777" w:rsidR="004B003B" w:rsidRPr="008D1E00" w:rsidRDefault="004B003B" w:rsidP="00FF0B3E">
            <w:pPr>
              <w:jc w:val="center"/>
            </w:pPr>
            <w:r w:rsidRPr="008D1E00">
              <w:t>3</w:t>
            </w:r>
          </w:p>
        </w:tc>
        <w:tc>
          <w:tcPr>
            <w:tcW w:w="1017" w:type="dxa"/>
          </w:tcPr>
          <w:p w14:paraId="0409C85A" w14:textId="77777777" w:rsidR="004B003B" w:rsidRPr="008D1E00" w:rsidRDefault="004B003B" w:rsidP="00FF0B3E">
            <w:pPr>
              <w:jc w:val="center"/>
            </w:pPr>
            <w:r w:rsidRPr="008D1E00">
              <w:t>7</w:t>
            </w:r>
          </w:p>
        </w:tc>
        <w:tc>
          <w:tcPr>
            <w:tcW w:w="1018" w:type="dxa"/>
          </w:tcPr>
          <w:p w14:paraId="0657E1FE" w14:textId="77777777" w:rsidR="004B003B" w:rsidRPr="008D1E00" w:rsidRDefault="004B003B" w:rsidP="00FF0B3E">
            <w:pPr>
              <w:jc w:val="center"/>
            </w:pPr>
            <w:r w:rsidRPr="008D1E00">
              <w:t>6</w:t>
            </w:r>
          </w:p>
        </w:tc>
        <w:tc>
          <w:tcPr>
            <w:tcW w:w="1026" w:type="dxa"/>
          </w:tcPr>
          <w:p w14:paraId="748570B6" w14:textId="77777777" w:rsidR="004B003B" w:rsidRPr="008D1E00" w:rsidRDefault="004B003B" w:rsidP="00FF0B3E">
            <w:pPr>
              <w:jc w:val="center"/>
            </w:pPr>
            <w:r w:rsidRPr="008D1E00">
              <w:t>12</w:t>
            </w:r>
          </w:p>
        </w:tc>
        <w:tc>
          <w:tcPr>
            <w:tcW w:w="1038" w:type="dxa"/>
          </w:tcPr>
          <w:p w14:paraId="3E41F319" w14:textId="77777777" w:rsidR="004B003B" w:rsidRPr="008D1E00" w:rsidRDefault="004B003B" w:rsidP="00FF0B3E">
            <w:pPr>
              <w:jc w:val="center"/>
            </w:pPr>
            <w:r w:rsidRPr="008D1E00">
              <w:t>9</w:t>
            </w:r>
          </w:p>
        </w:tc>
        <w:tc>
          <w:tcPr>
            <w:tcW w:w="988" w:type="dxa"/>
          </w:tcPr>
          <w:p w14:paraId="0317DF07" w14:textId="77777777" w:rsidR="004B003B" w:rsidRPr="008D1E00" w:rsidRDefault="004B003B" w:rsidP="00FF0B3E">
            <w:pPr>
              <w:jc w:val="center"/>
            </w:pPr>
            <w:r w:rsidRPr="008D1E00">
              <w:t>27</w:t>
            </w:r>
          </w:p>
        </w:tc>
        <w:tc>
          <w:tcPr>
            <w:tcW w:w="1042" w:type="dxa"/>
          </w:tcPr>
          <w:p w14:paraId="65ABA27C" w14:textId="77777777" w:rsidR="004B003B" w:rsidRPr="008D1E00" w:rsidRDefault="004B003B" w:rsidP="00FF0B3E">
            <w:pPr>
              <w:jc w:val="center"/>
              <w:rPr>
                <w:color w:val="000000" w:themeColor="text1"/>
              </w:rPr>
            </w:pPr>
            <w:r w:rsidRPr="008D1E00">
              <w:rPr>
                <w:color w:val="000000" w:themeColor="text1"/>
              </w:rPr>
              <w:t>23/220</w:t>
            </w:r>
          </w:p>
        </w:tc>
      </w:tr>
      <w:tr w:rsidR="004B003B" w:rsidRPr="008D1E00" w14:paraId="4719069F" w14:textId="77777777" w:rsidTr="00602BDB">
        <w:trPr>
          <w:trHeight w:val="621"/>
        </w:trPr>
        <w:tc>
          <w:tcPr>
            <w:tcW w:w="2080" w:type="dxa"/>
          </w:tcPr>
          <w:p w14:paraId="0952723E" w14:textId="77777777" w:rsidR="004B003B" w:rsidRPr="008D1E00" w:rsidRDefault="004B003B" w:rsidP="00FF0B3E">
            <w:pPr>
              <w:jc w:val="center"/>
            </w:pPr>
            <w:r w:rsidRPr="008D1E00">
              <w:t>4</w:t>
            </w:r>
          </w:p>
        </w:tc>
        <w:tc>
          <w:tcPr>
            <w:tcW w:w="1017" w:type="dxa"/>
          </w:tcPr>
          <w:p w14:paraId="3AF56C0C" w14:textId="77777777" w:rsidR="004B003B" w:rsidRPr="008D1E00" w:rsidRDefault="004B003B" w:rsidP="00FF0B3E">
            <w:pPr>
              <w:jc w:val="center"/>
            </w:pPr>
            <w:r w:rsidRPr="008D1E00">
              <w:t>10</w:t>
            </w:r>
          </w:p>
        </w:tc>
        <w:tc>
          <w:tcPr>
            <w:tcW w:w="1018" w:type="dxa"/>
          </w:tcPr>
          <w:p w14:paraId="743ED2AF" w14:textId="77777777" w:rsidR="004B003B" w:rsidRPr="008D1E00" w:rsidRDefault="004B003B" w:rsidP="00FF0B3E">
            <w:pPr>
              <w:jc w:val="center"/>
            </w:pPr>
            <w:r w:rsidRPr="008D1E00">
              <w:t>12</w:t>
            </w:r>
          </w:p>
        </w:tc>
        <w:tc>
          <w:tcPr>
            <w:tcW w:w="1026" w:type="dxa"/>
          </w:tcPr>
          <w:p w14:paraId="29258AF9" w14:textId="77777777" w:rsidR="004B003B" w:rsidRPr="008D1E00" w:rsidRDefault="004B003B" w:rsidP="00FF0B3E">
            <w:pPr>
              <w:jc w:val="center"/>
            </w:pPr>
            <w:r w:rsidRPr="008D1E00">
              <w:t>18</w:t>
            </w:r>
          </w:p>
        </w:tc>
        <w:tc>
          <w:tcPr>
            <w:tcW w:w="1038" w:type="dxa"/>
          </w:tcPr>
          <w:p w14:paraId="20512EA0" w14:textId="77777777" w:rsidR="004B003B" w:rsidRPr="008D1E00" w:rsidRDefault="004B003B" w:rsidP="00FF0B3E">
            <w:pPr>
              <w:jc w:val="center"/>
            </w:pPr>
            <w:r w:rsidRPr="008D1E00">
              <w:t>11</w:t>
            </w:r>
          </w:p>
        </w:tc>
        <w:tc>
          <w:tcPr>
            <w:tcW w:w="988" w:type="dxa"/>
          </w:tcPr>
          <w:p w14:paraId="6576847E" w14:textId="77777777" w:rsidR="004B003B" w:rsidRPr="008D1E00" w:rsidRDefault="004B003B" w:rsidP="00FF0B3E">
            <w:pPr>
              <w:jc w:val="center"/>
            </w:pPr>
            <w:r w:rsidRPr="008D1E00">
              <w:t>19</w:t>
            </w:r>
          </w:p>
        </w:tc>
        <w:tc>
          <w:tcPr>
            <w:tcW w:w="1042" w:type="dxa"/>
          </w:tcPr>
          <w:p w14:paraId="53F708CA" w14:textId="77777777" w:rsidR="004B003B" w:rsidRPr="008D1E00" w:rsidRDefault="004B003B" w:rsidP="00FF0B3E">
            <w:pPr>
              <w:jc w:val="center"/>
              <w:rPr>
                <w:color w:val="000000" w:themeColor="text1"/>
              </w:rPr>
            </w:pPr>
            <w:r w:rsidRPr="008D1E00">
              <w:rPr>
                <w:color w:val="000000" w:themeColor="text1"/>
              </w:rPr>
              <w:t>23/210</w:t>
            </w:r>
          </w:p>
        </w:tc>
      </w:tr>
      <w:tr w:rsidR="004B003B" w:rsidRPr="008D1E00" w14:paraId="0DF54FB5" w14:textId="77777777" w:rsidTr="00602BDB">
        <w:trPr>
          <w:trHeight w:val="621"/>
        </w:trPr>
        <w:tc>
          <w:tcPr>
            <w:tcW w:w="2080" w:type="dxa"/>
          </w:tcPr>
          <w:p w14:paraId="261FE86A" w14:textId="77777777" w:rsidR="004B003B" w:rsidRPr="008D1E00" w:rsidRDefault="004B003B" w:rsidP="00FF0B3E">
            <w:pPr>
              <w:jc w:val="center"/>
            </w:pPr>
            <w:r w:rsidRPr="008D1E00">
              <w:t>5</w:t>
            </w:r>
          </w:p>
        </w:tc>
        <w:tc>
          <w:tcPr>
            <w:tcW w:w="1017" w:type="dxa"/>
          </w:tcPr>
          <w:p w14:paraId="3123FE81" w14:textId="77777777" w:rsidR="004B003B" w:rsidRPr="008D1E00" w:rsidRDefault="004B003B" w:rsidP="00FF0B3E">
            <w:pPr>
              <w:jc w:val="center"/>
            </w:pPr>
            <w:r w:rsidRPr="008D1E00">
              <w:t>3</w:t>
            </w:r>
          </w:p>
        </w:tc>
        <w:tc>
          <w:tcPr>
            <w:tcW w:w="1018" w:type="dxa"/>
          </w:tcPr>
          <w:p w14:paraId="4CE76617" w14:textId="77777777" w:rsidR="004B003B" w:rsidRPr="008D1E00" w:rsidRDefault="004B003B" w:rsidP="00FF0B3E">
            <w:pPr>
              <w:jc w:val="center"/>
            </w:pPr>
            <w:r w:rsidRPr="008D1E00">
              <w:t>3</w:t>
            </w:r>
          </w:p>
        </w:tc>
        <w:tc>
          <w:tcPr>
            <w:tcW w:w="1026" w:type="dxa"/>
          </w:tcPr>
          <w:p w14:paraId="64446847" w14:textId="77777777" w:rsidR="004B003B" w:rsidRPr="008D1E00" w:rsidRDefault="004B003B" w:rsidP="00FF0B3E">
            <w:pPr>
              <w:jc w:val="center"/>
            </w:pPr>
            <w:r w:rsidRPr="008D1E00">
              <w:t>12</w:t>
            </w:r>
          </w:p>
        </w:tc>
        <w:tc>
          <w:tcPr>
            <w:tcW w:w="1038" w:type="dxa"/>
          </w:tcPr>
          <w:p w14:paraId="2F616986" w14:textId="77777777" w:rsidR="004B003B" w:rsidRPr="008D1E00" w:rsidRDefault="004B003B" w:rsidP="00FF0B3E">
            <w:pPr>
              <w:jc w:val="center"/>
            </w:pPr>
            <w:r w:rsidRPr="008D1E00">
              <w:t>7</w:t>
            </w:r>
          </w:p>
        </w:tc>
        <w:tc>
          <w:tcPr>
            <w:tcW w:w="988" w:type="dxa"/>
          </w:tcPr>
          <w:p w14:paraId="471A0B94" w14:textId="77777777" w:rsidR="004B003B" w:rsidRPr="008D1E00" w:rsidRDefault="004B003B" w:rsidP="00FF0B3E">
            <w:pPr>
              <w:jc w:val="center"/>
            </w:pPr>
            <w:r w:rsidRPr="008D1E00">
              <w:t>12</w:t>
            </w:r>
          </w:p>
        </w:tc>
        <w:tc>
          <w:tcPr>
            <w:tcW w:w="1042" w:type="dxa"/>
          </w:tcPr>
          <w:p w14:paraId="69CA38E3" w14:textId="77777777" w:rsidR="004B003B" w:rsidRPr="008D1E00" w:rsidRDefault="004B003B" w:rsidP="00FF0B3E">
            <w:pPr>
              <w:jc w:val="center"/>
              <w:rPr>
                <w:color w:val="000000" w:themeColor="text1"/>
              </w:rPr>
            </w:pPr>
            <w:r w:rsidRPr="008D1E00">
              <w:rPr>
                <w:color w:val="000000" w:themeColor="text1"/>
              </w:rPr>
              <w:t>20/190</w:t>
            </w:r>
          </w:p>
        </w:tc>
      </w:tr>
      <w:tr w:rsidR="004B003B" w:rsidRPr="008D1E00" w14:paraId="6AD07071" w14:textId="77777777" w:rsidTr="00602BDB">
        <w:trPr>
          <w:trHeight w:val="621"/>
        </w:trPr>
        <w:tc>
          <w:tcPr>
            <w:tcW w:w="2080" w:type="dxa"/>
          </w:tcPr>
          <w:p w14:paraId="16FF942B" w14:textId="77777777" w:rsidR="004B003B" w:rsidRPr="008D1E00" w:rsidRDefault="004B003B" w:rsidP="00FF0B3E">
            <w:pPr>
              <w:jc w:val="center"/>
            </w:pPr>
            <w:r w:rsidRPr="008D1E00">
              <w:t>6</w:t>
            </w:r>
          </w:p>
        </w:tc>
        <w:tc>
          <w:tcPr>
            <w:tcW w:w="1017" w:type="dxa"/>
          </w:tcPr>
          <w:p w14:paraId="65E3FF0D" w14:textId="77777777" w:rsidR="004B003B" w:rsidRPr="008D1E00" w:rsidRDefault="004B003B" w:rsidP="00FF0B3E">
            <w:pPr>
              <w:jc w:val="center"/>
            </w:pPr>
            <w:r w:rsidRPr="008D1E00">
              <w:t>7</w:t>
            </w:r>
          </w:p>
        </w:tc>
        <w:tc>
          <w:tcPr>
            <w:tcW w:w="1018" w:type="dxa"/>
          </w:tcPr>
          <w:p w14:paraId="76BC6FDC" w14:textId="77777777" w:rsidR="004B003B" w:rsidRPr="008D1E00" w:rsidRDefault="004B003B" w:rsidP="00FF0B3E">
            <w:pPr>
              <w:jc w:val="center"/>
            </w:pPr>
            <w:r w:rsidRPr="008D1E00">
              <w:t>7</w:t>
            </w:r>
          </w:p>
        </w:tc>
        <w:tc>
          <w:tcPr>
            <w:tcW w:w="1026" w:type="dxa"/>
          </w:tcPr>
          <w:p w14:paraId="361C3878" w14:textId="77777777" w:rsidR="004B003B" w:rsidRPr="008D1E00" w:rsidRDefault="004B003B" w:rsidP="00FF0B3E">
            <w:pPr>
              <w:jc w:val="center"/>
            </w:pPr>
            <w:r w:rsidRPr="008D1E00">
              <w:t>10</w:t>
            </w:r>
          </w:p>
        </w:tc>
        <w:tc>
          <w:tcPr>
            <w:tcW w:w="1038" w:type="dxa"/>
          </w:tcPr>
          <w:p w14:paraId="73AF1CA5" w14:textId="77777777" w:rsidR="004B003B" w:rsidRPr="008D1E00" w:rsidRDefault="004B003B" w:rsidP="00FF0B3E">
            <w:pPr>
              <w:jc w:val="center"/>
            </w:pPr>
            <w:r w:rsidRPr="008D1E00">
              <w:t>6</w:t>
            </w:r>
          </w:p>
        </w:tc>
        <w:tc>
          <w:tcPr>
            <w:tcW w:w="988" w:type="dxa"/>
          </w:tcPr>
          <w:p w14:paraId="1FEAE9F8" w14:textId="77777777" w:rsidR="004B003B" w:rsidRPr="008D1E00" w:rsidRDefault="004B003B" w:rsidP="00FF0B3E">
            <w:pPr>
              <w:jc w:val="center"/>
            </w:pPr>
            <w:r w:rsidRPr="008D1E00">
              <w:t>6</w:t>
            </w:r>
          </w:p>
        </w:tc>
        <w:tc>
          <w:tcPr>
            <w:tcW w:w="1042" w:type="dxa"/>
          </w:tcPr>
          <w:p w14:paraId="37D46917" w14:textId="77777777" w:rsidR="004B003B" w:rsidRPr="008D1E00" w:rsidRDefault="004B003B" w:rsidP="00FF0B3E">
            <w:pPr>
              <w:jc w:val="center"/>
              <w:rPr>
                <w:color w:val="000000" w:themeColor="text1"/>
              </w:rPr>
            </w:pPr>
            <w:r w:rsidRPr="008D1E00">
              <w:rPr>
                <w:color w:val="000000" w:themeColor="text1"/>
              </w:rPr>
              <w:t>21/180</w:t>
            </w:r>
          </w:p>
        </w:tc>
      </w:tr>
      <w:tr w:rsidR="004B003B" w:rsidRPr="008D1E00" w14:paraId="172B4D57" w14:textId="77777777" w:rsidTr="00602BDB">
        <w:trPr>
          <w:trHeight w:val="621"/>
        </w:trPr>
        <w:tc>
          <w:tcPr>
            <w:tcW w:w="2080" w:type="dxa"/>
          </w:tcPr>
          <w:p w14:paraId="59769E21" w14:textId="77777777" w:rsidR="004B003B" w:rsidRPr="008D1E00" w:rsidRDefault="004B003B" w:rsidP="00FF0B3E">
            <w:pPr>
              <w:jc w:val="center"/>
            </w:pPr>
            <w:r w:rsidRPr="008D1E00">
              <w:t>7</w:t>
            </w:r>
          </w:p>
        </w:tc>
        <w:tc>
          <w:tcPr>
            <w:tcW w:w="1017" w:type="dxa"/>
          </w:tcPr>
          <w:p w14:paraId="369D343A" w14:textId="77777777" w:rsidR="004B003B" w:rsidRPr="008D1E00" w:rsidRDefault="004B003B" w:rsidP="00FF0B3E">
            <w:pPr>
              <w:jc w:val="center"/>
            </w:pPr>
            <w:r w:rsidRPr="008D1E00">
              <w:t>4</w:t>
            </w:r>
          </w:p>
        </w:tc>
        <w:tc>
          <w:tcPr>
            <w:tcW w:w="1018" w:type="dxa"/>
          </w:tcPr>
          <w:p w14:paraId="47E95F8D" w14:textId="77777777" w:rsidR="004B003B" w:rsidRPr="008D1E00" w:rsidRDefault="004B003B" w:rsidP="00FF0B3E">
            <w:pPr>
              <w:jc w:val="center"/>
            </w:pPr>
            <w:r w:rsidRPr="008D1E00">
              <w:t>5</w:t>
            </w:r>
          </w:p>
        </w:tc>
        <w:tc>
          <w:tcPr>
            <w:tcW w:w="1026" w:type="dxa"/>
          </w:tcPr>
          <w:p w14:paraId="5F036CD4" w14:textId="77777777" w:rsidR="004B003B" w:rsidRPr="008D1E00" w:rsidRDefault="004B003B" w:rsidP="00FF0B3E">
            <w:pPr>
              <w:jc w:val="center"/>
            </w:pPr>
            <w:r w:rsidRPr="008D1E00">
              <w:t>18</w:t>
            </w:r>
          </w:p>
        </w:tc>
        <w:tc>
          <w:tcPr>
            <w:tcW w:w="1038" w:type="dxa"/>
          </w:tcPr>
          <w:p w14:paraId="2172DB3B" w14:textId="77777777" w:rsidR="004B003B" w:rsidRPr="008D1E00" w:rsidRDefault="004B003B" w:rsidP="00FF0B3E">
            <w:pPr>
              <w:jc w:val="center"/>
            </w:pPr>
            <w:r w:rsidRPr="008D1E00">
              <w:t>4</w:t>
            </w:r>
          </w:p>
        </w:tc>
        <w:tc>
          <w:tcPr>
            <w:tcW w:w="988" w:type="dxa"/>
          </w:tcPr>
          <w:p w14:paraId="4E513495" w14:textId="77777777" w:rsidR="004B003B" w:rsidRPr="008D1E00" w:rsidRDefault="004B003B" w:rsidP="00FF0B3E">
            <w:pPr>
              <w:jc w:val="center"/>
            </w:pPr>
            <w:r w:rsidRPr="008D1E00">
              <w:t>6</w:t>
            </w:r>
          </w:p>
        </w:tc>
        <w:tc>
          <w:tcPr>
            <w:tcW w:w="1042" w:type="dxa"/>
          </w:tcPr>
          <w:p w14:paraId="6F652AE4" w14:textId="77777777" w:rsidR="004B003B" w:rsidRPr="008D1E00" w:rsidRDefault="004B003B" w:rsidP="00FF0B3E">
            <w:pPr>
              <w:jc w:val="center"/>
              <w:rPr>
                <w:color w:val="000000" w:themeColor="text1"/>
              </w:rPr>
            </w:pPr>
            <w:r w:rsidRPr="008D1E00">
              <w:rPr>
                <w:color w:val="000000" w:themeColor="text1"/>
              </w:rPr>
              <w:t>20/130</w:t>
            </w:r>
          </w:p>
        </w:tc>
      </w:tr>
      <w:tr w:rsidR="004B003B" w:rsidRPr="008D1E00" w14:paraId="2EE6231E" w14:textId="77777777" w:rsidTr="00602BDB">
        <w:trPr>
          <w:trHeight w:val="621"/>
        </w:trPr>
        <w:tc>
          <w:tcPr>
            <w:tcW w:w="2080" w:type="dxa"/>
          </w:tcPr>
          <w:p w14:paraId="7342B448" w14:textId="77777777" w:rsidR="004B003B" w:rsidRPr="008D1E00" w:rsidRDefault="004B003B" w:rsidP="00FF0B3E">
            <w:pPr>
              <w:jc w:val="center"/>
            </w:pPr>
            <w:r w:rsidRPr="008D1E00">
              <w:t>8</w:t>
            </w:r>
          </w:p>
        </w:tc>
        <w:tc>
          <w:tcPr>
            <w:tcW w:w="1017" w:type="dxa"/>
          </w:tcPr>
          <w:p w14:paraId="610B1867" w14:textId="77777777" w:rsidR="004B003B" w:rsidRPr="008D1E00" w:rsidRDefault="004B003B" w:rsidP="00FF0B3E">
            <w:pPr>
              <w:jc w:val="center"/>
            </w:pPr>
            <w:r w:rsidRPr="008D1E00">
              <w:t>3</w:t>
            </w:r>
          </w:p>
        </w:tc>
        <w:tc>
          <w:tcPr>
            <w:tcW w:w="1018" w:type="dxa"/>
          </w:tcPr>
          <w:p w14:paraId="01B41724" w14:textId="77777777" w:rsidR="004B003B" w:rsidRPr="008D1E00" w:rsidRDefault="004B003B" w:rsidP="00FF0B3E">
            <w:pPr>
              <w:jc w:val="center"/>
            </w:pPr>
            <w:r w:rsidRPr="008D1E00">
              <w:t>4</w:t>
            </w:r>
          </w:p>
        </w:tc>
        <w:tc>
          <w:tcPr>
            <w:tcW w:w="1026" w:type="dxa"/>
          </w:tcPr>
          <w:p w14:paraId="74E86CE2" w14:textId="77777777" w:rsidR="004B003B" w:rsidRPr="008D1E00" w:rsidRDefault="004B003B" w:rsidP="00FF0B3E">
            <w:pPr>
              <w:jc w:val="center"/>
            </w:pPr>
            <w:r w:rsidRPr="008D1E00">
              <w:t>9</w:t>
            </w:r>
          </w:p>
        </w:tc>
        <w:tc>
          <w:tcPr>
            <w:tcW w:w="1038" w:type="dxa"/>
          </w:tcPr>
          <w:p w14:paraId="13A60BC6" w14:textId="77777777" w:rsidR="004B003B" w:rsidRPr="008D1E00" w:rsidRDefault="004B003B" w:rsidP="00FF0B3E">
            <w:pPr>
              <w:jc w:val="center"/>
            </w:pPr>
            <w:r w:rsidRPr="008D1E00">
              <w:t>4</w:t>
            </w:r>
          </w:p>
        </w:tc>
        <w:tc>
          <w:tcPr>
            <w:tcW w:w="988" w:type="dxa"/>
          </w:tcPr>
          <w:p w14:paraId="641E6419" w14:textId="77777777" w:rsidR="004B003B" w:rsidRPr="008D1E00" w:rsidRDefault="004B003B" w:rsidP="00FF0B3E">
            <w:pPr>
              <w:jc w:val="center"/>
            </w:pPr>
            <w:r w:rsidRPr="008D1E00">
              <w:t>10</w:t>
            </w:r>
          </w:p>
        </w:tc>
        <w:tc>
          <w:tcPr>
            <w:tcW w:w="1042" w:type="dxa"/>
          </w:tcPr>
          <w:p w14:paraId="11DEE439" w14:textId="77777777" w:rsidR="004B003B" w:rsidRPr="008D1E00" w:rsidRDefault="004B003B" w:rsidP="00FF0B3E">
            <w:pPr>
              <w:jc w:val="center"/>
              <w:rPr>
                <w:color w:val="000000" w:themeColor="text1"/>
              </w:rPr>
            </w:pPr>
            <w:r w:rsidRPr="008D1E00">
              <w:rPr>
                <w:color w:val="000000" w:themeColor="text1"/>
              </w:rPr>
              <w:t>24/130</w:t>
            </w:r>
          </w:p>
        </w:tc>
      </w:tr>
      <w:tr w:rsidR="004B003B" w:rsidRPr="008D1E00" w14:paraId="27D70AF6" w14:textId="77777777" w:rsidTr="00602BDB">
        <w:trPr>
          <w:trHeight w:val="621"/>
        </w:trPr>
        <w:tc>
          <w:tcPr>
            <w:tcW w:w="2080" w:type="dxa"/>
          </w:tcPr>
          <w:p w14:paraId="4DDE0985" w14:textId="77777777" w:rsidR="004B003B" w:rsidRPr="008D1E00" w:rsidRDefault="004B003B" w:rsidP="00FF0B3E">
            <w:pPr>
              <w:jc w:val="center"/>
            </w:pPr>
            <w:r w:rsidRPr="008D1E00">
              <w:t>9</w:t>
            </w:r>
          </w:p>
        </w:tc>
        <w:tc>
          <w:tcPr>
            <w:tcW w:w="1017" w:type="dxa"/>
          </w:tcPr>
          <w:p w14:paraId="5A200211" w14:textId="77777777" w:rsidR="004B003B" w:rsidRPr="008D1E00" w:rsidRDefault="004B003B" w:rsidP="00FF0B3E">
            <w:pPr>
              <w:jc w:val="center"/>
            </w:pPr>
            <w:r w:rsidRPr="008D1E00">
              <w:t>5</w:t>
            </w:r>
          </w:p>
        </w:tc>
        <w:tc>
          <w:tcPr>
            <w:tcW w:w="1018" w:type="dxa"/>
          </w:tcPr>
          <w:p w14:paraId="18FC1C59" w14:textId="77777777" w:rsidR="004B003B" w:rsidRPr="008D1E00" w:rsidRDefault="004B003B" w:rsidP="00FF0B3E">
            <w:pPr>
              <w:jc w:val="center"/>
            </w:pPr>
            <w:r w:rsidRPr="008D1E00">
              <w:t>4</w:t>
            </w:r>
          </w:p>
        </w:tc>
        <w:tc>
          <w:tcPr>
            <w:tcW w:w="1026" w:type="dxa"/>
          </w:tcPr>
          <w:p w14:paraId="1AD83177" w14:textId="77777777" w:rsidR="004B003B" w:rsidRPr="008D1E00" w:rsidRDefault="004B003B" w:rsidP="00FF0B3E">
            <w:pPr>
              <w:jc w:val="center"/>
            </w:pPr>
            <w:r w:rsidRPr="008D1E00">
              <w:t>10</w:t>
            </w:r>
          </w:p>
        </w:tc>
        <w:tc>
          <w:tcPr>
            <w:tcW w:w="1038" w:type="dxa"/>
          </w:tcPr>
          <w:p w14:paraId="72EE5F5F" w14:textId="77777777" w:rsidR="004B003B" w:rsidRPr="008D1E00" w:rsidRDefault="004B003B" w:rsidP="00FF0B3E">
            <w:pPr>
              <w:jc w:val="center"/>
            </w:pPr>
            <w:r w:rsidRPr="008D1E00">
              <w:t>4</w:t>
            </w:r>
          </w:p>
        </w:tc>
        <w:tc>
          <w:tcPr>
            <w:tcW w:w="988" w:type="dxa"/>
          </w:tcPr>
          <w:p w14:paraId="3DCDA1BE" w14:textId="77777777" w:rsidR="004B003B" w:rsidRPr="008D1E00" w:rsidRDefault="004B003B" w:rsidP="00FF0B3E">
            <w:pPr>
              <w:jc w:val="center"/>
            </w:pPr>
            <w:r w:rsidRPr="008D1E00">
              <w:t>7</w:t>
            </w:r>
          </w:p>
        </w:tc>
        <w:tc>
          <w:tcPr>
            <w:tcW w:w="1042" w:type="dxa"/>
          </w:tcPr>
          <w:p w14:paraId="11709A2A" w14:textId="77777777" w:rsidR="004B003B" w:rsidRPr="008D1E00" w:rsidRDefault="004B003B" w:rsidP="00FF0B3E">
            <w:pPr>
              <w:jc w:val="center"/>
              <w:rPr>
                <w:color w:val="000000" w:themeColor="text1"/>
              </w:rPr>
            </w:pPr>
            <w:r w:rsidRPr="008D1E00">
              <w:rPr>
                <w:color w:val="000000" w:themeColor="text1"/>
              </w:rPr>
              <w:t>23/20</w:t>
            </w:r>
          </w:p>
        </w:tc>
      </w:tr>
      <w:tr w:rsidR="004B003B" w:rsidRPr="008D1E00" w14:paraId="03ABCF06" w14:textId="77777777" w:rsidTr="00602BDB">
        <w:trPr>
          <w:trHeight w:val="621"/>
        </w:trPr>
        <w:tc>
          <w:tcPr>
            <w:tcW w:w="2080" w:type="dxa"/>
          </w:tcPr>
          <w:p w14:paraId="7FCC40B3" w14:textId="77777777" w:rsidR="004B003B" w:rsidRPr="008D1E00" w:rsidRDefault="004B003B" w:rsidP="00FF0B3E">
            <w:pPr>
              <w:jc w:val="center"/>
            </w:pPr>
            <w:r w:rsidRPr="008D1E00">
              <w:t>10</w:t>
            </w:r>
          </w:p>
        </w:tc>
        <w:tc>
          <w:tcPr>
            <w:tcW w:w="1017" w:type="dxa"/>
          </w:tcPr>
          <w:p w14:paraId="59DB2237" w14:textId="77777777" w:rsidR="004B003B" w:rsidRPr="008D1E00" w:rsidRDefault="004B003B" w:rsidP="00FF0B3E">
            <w:pPr>
              <w:jc w:val="center"/>
            </w:pPr>
            <w:r w:rsidRPr="008D1E00">
              <w:t>3</w:t>
            </w:r>
          </w:p>
        </w:tc>
        <w:tc>
          <w:tcPr>
            <w:tcW w:w="1018" w:type="dxa"/>
          </w:tcPr>
          <w:p w14:paraId="46BC7651" w14:textId="77777777" w:rsidR="004B003B" w:rsidRPr="008D1E00" w:rsidRDefault="004B003B" w:rsidP="00FF0B3E">
            <w:pPr>
              <w:jc w:val="center"/>
            </w:pPr>
            <w:r w:rsidRPr="008D1E00">
              <w:t>2</w:t>
            </w:r>
          </w:p>
        </w:tc>
        <w:tc>
          <w:tcPr>
            <w:tcW w:w="1026" w:type="dxa"/>
          </w:tcPr>
          <w:p w14:paraId="4713CF34" w14:textId="77777777" w:rsidR="004B003B" w:rsidRPr="008D1E00" w:rsidRDefault="004B003B" w:rsidP="00FF0B3E">
            <w:pPr>
              <w:jc w:val="center"/>
            </w:pPr>
            <w:r w:rsidRPr="008D1E00">
              <w:t>3</w:t>
            </w:r>
          </w:p>
        </w:tc>
        <w:tc>
          <w:tcPr>
            <w:tcW w:w="1038" w:type="dxa"/>
          </w:tcPr>
          <w:p w14:paraId="5E00C632" w14:textId="77777777" w:rsidR="004B003B" w:rsidRPr="008D1E00" w:rsidRDefault="004B003B" w:rsidP="00FF0B3E">
            <w:pPr>
              <w:jc w:val="center"/>
            </w:pPr>
            <w:r w:rsidRPr="008D1E00">
              <w:t>3</w:t>
            </w:r>
          </w:p>
        </w:tc>
        <w:tc>
          <w:tcPr>
            <w:tcW w:w="988" w:type="dxa"/>
          </w:tcPr>
          <w:p w14:paraId="5EC050DE" w14:textId="77777777" w:rsidR="004B003B" w:rsidRPr="008D1E00" w:rsidRDefault="004B003B" w:rsidP="00FF0B3E">
            <w:pPr>
              <w:jc w:val="center"/>
            </w:pPr>
            <w:r w:rsidRPr="008D1E00">
              <w:t>4</w:t>
            </w:r>
          </w:p>
        </w:tc>
        <w:tc>
          <w:tcPr>
            <w:tcW w:w="1042" w:type="dxa"/>
          </w:tcPr>
          <w:p w14:paraId="641B3ACE" w14:textId="77777777" w:rsidR="004B003B" w:rsidRPr="008D1E00" w:rsidRDefault="004B003B" w:rsidP="00FF0B3E">
            <w:pPr>
              <w:jc w:val="center"/>
              <w:rPr>
                <w:color w:val="000000" w:themeColor="text1"/>
              </w:rPr>
            </w:pPr>
            <w:r w:rsidRPr="008D1E00">
              <w:rPr>
                <w:color w:val="000000" w:themeColor="text1"/>
              </w:rPr>
              <w:t>23/20</w:t>
            </w:r>
          </w:p>
        </w:tc>
      </w:tr>
      <w:tr w:rsidR="004B003B" w:rsidRPr="008D1E00" w14:paraId="506716E0" w14:textId="77777777" w:rsidTr="00602BDB">
        <w:trPr>
          <w:trHeight w:val="621"/>
        </w:trPr>
        <w:tc>
          <w:tcPr>
            <w:tcW w:w="2080" w:type="dxa"/>
          </w:tcPr>
          <w:p w14:paraId="7131D904" w14:textId="77777777" w:rsidR="004B003B" w:rsidRPr="008D1E00" w:rsidRDefault="004B003B" w:rsidP="00FF0B3E">
            <w:pPr>
              <w:jc w:val="center"/>
            </w:pPr>
            <w:r w:rsidRPr="008D1E00">
              <w:t>11</w:t>
            </w:r>
          </w:p>
        </w:tc>
        <w:tc>
          <w:tcPr>
            <w:tcW w:w="1017" w:type="dxa"/>
          </w:tcPr>
          <w:p w14:paraId="205F655E" w14:textId="77777777" w:rsidR="004B003B" w:rsidRPr="008D1E00" w:rsidRDefault="004B003B" w:rsidP="00FF0B3E">
            <w:pPr>
              <w:jc w:val="center"/>
            </w:pPr>
            <w:r w:rsidRPr="008D1E00">
              <w:t>4</w:t>
            </w:r>
          </w:p>
        </w:tc>
        <w:tc>
          <w:tcPr>
            <w:tcW w:w="1018" w:type="dxa"/>
          </w:tcPr>
          <w:p w14:paraId="06C084D1" w14:textId="77777777" w:rsidR="004B003B" w:rsidRPr="008D1E00" w:rsidRDefault="004B003B" w:rsidP="00FF0B3E">
            <w:pPr>
              <w:jc w:val="center"/>
            </w:pPr>
            <w:r w:rsidRPr="008D1E00">
              <w:t>3</w:t>
            </w:r>
          </w:p>
        </w:tc>
        <w:tc>
          <w:tcPr>
            <w:tcW w:w="1026" w:type="dxa"/>
          </w:tcPr>
          <w:p w14:paraId="22B40C36" w14:textId="77777777" w:rsidR="004B003B" w:rsidRPr="008D1E00" w:rsidRDefault="004B003B" w:rsidP="00FF0B3E">
            <w:pPr>
              <w:jc w:val="center"/>
            </w:pPr>
            <w:r w:rsidRPr="008D1E00">
              <w:t>2</w:t>
            </w:r>
          </w:p>
        </w:tc>
        <w:tc>
          <w:tcPr>
            <w:tcW w:w="1038" w:type="dxa"/>
          </w:tcPr>
          <w:p w14:paraId="704535A0" w14:textId="77777777" w:rsidR="004B003B" w:rsidRPr="008D1E00" w:rsidRDefault="004B003B" w:rsidP="00FF0B3E">
            <w:pPr>
              <w:jc w:val="center"/>
            </w:pPr>
            <w:r w:rsidRPr="008D1E00">
              <w:t>2</w:t>
            </w:r>
          </w:p>
        </w:tc>
        <w:tc>
          <w:tcPr>
            <w:tcW w:w="988" w:type="dxa"/>
          </w:tcPr>
          <w:p w14:paraId="2A273C4E" w14:textId="77777777" w:rsidR="004B003B" w:rsidRPr="008D1E00" w:rsidRDefault="004B003B" w:rsidP="00FF0B3E">
            <w:pPr>
              <w:jc w:val="center"/>
            </w:pPr>
            <w:r w:rsidRPr="008D1E00">
              <w:t>2</w:t>
            </w:r>
          </w:p>
        </w:tc>
        <w:tc>
          <w:tcPr>
            <w:tcW w:w="1042" w:type="dxa"/>
          </w:tcPr>
          <w:p w14:paraId="66AE8667" w14:textId="77777777" w:rsidR="004B003B" w:rsidRPr="008D1E00" w:rsidRDefault="004B003B" w:rsidP="00FF0B3E">
            <w:pPr>
              <w:jc w:val="center"/>
              <w:rPr>
                <w:color w:val="000000" w:themeColor="text1"/>
              </w:rPr>
            </w:pPr>
            <w:r w:rsidRPr="008D1E00">
              <w:rPr>
                <w:color w:val="000000" w:themeColor="text1"/>
              </w:rPr>
              <w:t>19/10</w:t>
            </w:r>
          </w:p>
        </w:tc>
      </w:tr>
      <w:tr w:rsidR="004B003B" w:rsidRPr="004B003B" w14:paraId="72DD5086" w14:textId="77777777" w:rsidTr="00602BDB">
        <w:trPr>
          <w:trHeight w:val="621"/>
        </w:trPr>
        <w:tc>
          <w:tcPr>
            <w:tcW w:w="2080" w:type="dxa"/>
          </w:tcPr>
          <w:p w14:paraId="1DE57A13" w14:textId="77777777" w:rsidR="004B003B" w:rsidRPr="008D1E00" w:rsidRDefault="004B003B" w:rsidP="00FF0B3E">
            <w:pPr>
              <w:jc w:val="center"/>
            </w:pPr>
            <w:r w:rsidRPr="008D1E00">
              <w:t>12</w:t>
            </w:r>
          </w:p>
        </w:tc>
        <w:tc>
          <w:tcPr>
            <w:tcW w:w="1017" w:type="dxa"/>
          </w:tcPr>
          <w:p w14:paraId="0788F78F" w14:textId="77777777" w:rsidR="004B003B" w:rsidRPr="008D1E00" w:rsidRDefault="004B003B" w:rsidP="00FF0B3E">
            <w:pPr>
              <w:jc w:val="center"/>
            </w:pPr>
            <w:r w:rsidRPr="008D1E00">
              <w:t>3</w:t>
            </w:r>
          </w:p>
        </w:tc>
        <w:tc>
          <w:tcPr>
            <w:tcW w:w="1018" w:type="dxa"/>
          </w:tcPr>
          <w:p w14:paraId="2C8DD575" w14:textId="77777777" w:rsidR="004B003B" w:rsidRPr="008D1E00" w:rsidRDefault="004B003B" w:rsidP="00FF0B3E">
            <w:pPr>
              <w:jc w:val="center"/>
            </w:pPr>
            <w:r w:rsidRPr="008D1E00">
              <w:t>2</w:t>
            </w:r>
          </w:p>
        </w:tc>
        <w:tc>
          <w:tcPr>
            <w:tcW w:w="1026" w:type="dxa"/>
          </w:tcPr>
          <w:p w14:paraId="5842BF4C" w14:textId="77777777" w:rsidR="004B003B" w:rsidRPr="008D1E00" w:rsidRDefault="004B003B" w:rsidP="00FF0B3E">
            <w:pPr>
              <w:jc w:val="center"/>
            </w:pPr>
            <w:r w:rsidRPr="008D1E00">
              <w:t>5</w:t>
            </w:r>
          </w:p>
        </w:tc>
        <w:tc>
          <w:tcPr>
            <w:tcW w:w="1038" w:type="dxa"/>
          </w:tcPr>
          <w:p w14:paraId="13B19FA1" w14:textId="77777777" w:rsidR="004B003B" w:rsidRPr="008D1E00" w:rsidRDefault="004B003B" w:rsidP="00FF0B3E">
            <w:pPr>
              <w:jc w:val="center"/>
            </w:pPr>
            <w:r w:rsidRPr="008D1E00">
              <w:t>0</w:t>
            </w:r>
          </w:p>
        </w:tc>
        <w:tc>
          <w:tcPr>
            <w:tcW w:w="988" w:type="dxa"/>
          </w:tcPr>
          <w:p w14:paraId="20458EE0" w14:textId="77777777" w:rsidR="004B003B" w:rsidRPr="008D1E00" w:rsidRDefault="004B003B" w:rsidP="00FF0B3E">
            <w:pPr>
              <w:jc w:val="center"/>
            </w:pPr>
            <w:r w:rsidRPr="008D1E00">
              <w:t>0</w:t>
            </w:r>
          </w:p>
        </w:tc>
        <w:tc>
          <w:tcPr>
            <w:tcW w:w="1042" w:type="dxa"/>
          </w:tcPr>
          <w:p w14:paraId="7C80C39D" w14:textId="77777777" w:rsidR="004B003B" w:rsidRPr="004B003B" w:rsidRDefault="004B003B" w:rsidP="00FF0B3E">
            <w:pPr>
              <w:jc w:val="center"/>
              <w:rPr>
                <w:color w:val="000000" w:themeColor="text1"/>
              </w:rPr>
            </w:pPr>
            <w:r w:rsidRPr="008D1E00">
              <w:rPr>
                <w:color w:val="000000" w:themeColor="text1"/>
              </w:rPr>
              <w:t>23/10</w:t>
            </w:r>
          </w:p>
        </w:tc>
      </w:tr>
    </w:tbl>
    <w:p w14:paraId="32EA8EDE" w14:textId="77777777" w:rsidR="00735C46" w:rsidRPr="00735C46" w:rsidRDefault="00735C46" w:rsidP="006B3CE3">
      <w:pPr>
        <w:widowControl w:val="0"/>
        <w:autoSpaceDE w:val="0"/>
        <w:autoSpaceDN w:val="0"/>
        <w:adjustRightInd w:val="0"/>
        <w:spacing w:after="240" w:line="360" w:lineRule="atLeast"/>
        <w:rPr>
          <w:rFonts w:cstheme="minorHAnsi"/>
        </w:rPr>
      </w:pPr>
    </w:p>
    <w:sectPr w:rsidR="00735C46" w:rsidRPr="00735C46" w:rsidSect="004C0F42">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42288" w14:textId="77777777" w:rsidR="00D67BD1" w:rsidRDefault="00D67BD1" w:rsidP="00735C46">
      <w:r>
        <w:separator/>
      </w:r>
    </w:p>
  </w:endnote>
  <w:endnote w:type="continuationSeparator" w:id="0">
    <w:p w14:paraId="5555C0E6" w14:textId="77777777" w:rsidR="00D67BD1" w:rsidRDefault="00D67BD1" w:rsidP="0073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EE403" w14:textId="77777777" w:rsidR="00E46AEB" w:rsidRDefault="00E46A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9C73D" w14:textId="77777777" w:rsidR="00E46AEB" w:rsidRDefault="00E46A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41E14" w14:textId="77777777" w:rsidR="00E46AEB" w:rsidRDefault="00E46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2601A" w14:textId="77777777" w:rsidR="00D67BD1" w:rsidRDefault="00D67BD1" w:rsidP="00735C46">
      <w:r>
        <w:separator/>
      </w:r>
    </w:p>
  </w:footnote>
  <w:footnote w:type="continuationSeparator" w:id="0">
    <w:p w14:paraId="48135AC6" w14:textId="77777777" w:rsidR="00D67BD1" w:rsidRDefault="00D67BD1" w:rsidP="00735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34390340"/>
      <w:docPartObj>
        <w:docPartGallery w:val="Page Numbers (Top of Page)"/>
        <w:docPartUnique/>
      </w:docPartObj>
    </w:sdtPr>
    <w:sdtEndPr>
      <w:rPr>
        <w:rStyle w:val="PageNumber"/>
      </w:rPr>
    </w:sdtEndPr>
    <w:sdtContent>
      <w:p w14:paraId="3F4DDBA4" w14:textId="16498DDC" w:rsidR="00E46AEB" w:rsidRDefault="00E46AEB" w:rsidP="00EA46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964607507"/>
      <w:docPartObj>
        <w:docPartGallery w:val="Page Numbers (Top of Page)"/>
        <w:docPartUnique/>
      </w:docPartObj>
    </w:sdtPr>
    <w:sdtEndPr>
      <w:rPr>
        <w:rStyle w:val="PageNumber"/>
      </w:rPr>
    </w:sdtEndPr>
    <w:sdtContent>
      <w:p w14:paraId="4C7B9432" w14:textId="29D7FA8A" w:rsidR="00E46AEB" w:rsidRDefault="00E46AEB" w:rsidP="00E46AEB">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2DBB69" w14:textId="77777777" w:rsidR="00E46AEB" w:rsidRDefault="00E46AEB" w:rsidP="00E46AE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7767896"/>
      <w:docPartObj>
        <w:docPartGallery w:val="Page Numbers (Top of Page)"/>
        <w:docPartUnique/>
      </w:docPartObj>
    </w:sdtPr>
    <w:sdtEndPr>
      <w:rPr>
        <w:rStyle w:val="PageNumber"/>
      </w:rPr>
    </w:sdtEndPr>
    <w:sdtContent>
      <w:p w14:paraId="06B0AEE2" w14:textId="61888124" w:rsidR="00E46AEB" w:rsidRDefault="00E46AEB" w:rsidP="00E46AEB">
        <w:pPr>
          <w:pStyle w:val="Header"/>
          <w:framePr w:wrap="none" w:vAnchor="text" w:hAnchor="margin" w:xAlign="right" w:y="1"/>
          <w:ind w:right="360"/>
          <w:rPr>
            <w:rStyle w:val="PageNumber"/>
          </w:rPr>
        </w:pPr>
        <w:r w:rsidRPr="00E46AEB">
          <w:t>Running head: BEYOND EXPOSURE THERAPY</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F6801E" w14:textId="77777777" w:rsidR="00E46AEB" w:rsidRDefault="00E46AEB" w:rsidP="00E46AE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3F32E" w14:textId="77777777" w:rsidR="00E46AEB" w:rsidRDefault="00E46A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12B"/>
    <w:rsid w:val="0001229D"/>
    <w:rsid w:val="00012ECC"/>
    <w:rsid w:val="000220E8"/>
    <w:rsid w:val="00030BCE"/>
    <w:rsid w:val="00051712"/>
    <w:rsid w:val="000824B3"/>
    <w:rsid w:val="000B4045"/>
    <w:rsid w:val="000C1BD9"/>
    <w:rsid w:val="000D095A"/>
    <w:rsid w:val="000D6979"/>
    <w:rsid w:val="000D76C4"/>
    <w:rsid w:val="000E21B5"/>
    <w:rsid w:val="000E30F2"/>
    <w:rsid w:val="000E5564"/>
    <w:rsid w:val="0011111D"/>
    <w:rsid w:val="00111A13"/>
    <w:rsid w:val="00133CBD"/>
    <w:rsid w:val="00140687"/>
    <w:rsid w:val="00145EDC"/>
    <w:rsid w:val="00153FE4"/>
    <w:rsid w:val="00163993"/>
    <w:rsid w:val="0017612B"/>
    <w:rsid w:val="00186B8A"/>
    <w:rsid w:val="00187CFB"/>
    <w:rsid w:val="00196D4C"/>
    <w:rsid w:val="001A4DC1"/>
    <w:rsid w:val="001A67F5"/>
    <w:rsid w:val="001D0E44"/>
    <w:rsid w:val="001E57FA"/>
    <w:rsid w:val="00212E04"/>
    <w:rsid w:val="00214D04"/>
    <w:rsid w:val="00227288"/>
    <w:rsid w:val="00232902"/>
    <w:rsid w:val="00234EB7"/>
    <w:rsid w:val="00245492"/>
    <w:rsid w:val="0029519B"/>
    <w:rsid w:val="002A0171"/>
    <w:rsid w:val="002A1D96"/>
    <w:rsid w:val="002C6EA7"/>
    <w:rsid w:val="002D778D"/>
    <w:rsid w:val="002E0B83"/>
    <w:rsid w:val="002E433B"/>
    <w:rsid w:val="002F76F2"/>
    <w:rsid w:val="00303EB6"/>
    <w:rsid w:val="003202BB"/>
    <w:rsid w:val="00320C79"/>
    <w:rsid w:val="00343FD8"/>
    <w:rsid w:val="00377E99"/>
    <w:rsid w:val="00392740"/>
    <w:rsid w:val="003C3434"/>
    <w:rsid w:val="003D3DBE"/>
    <w:rsid w:val="003E7116"/>
    <w:rsid w:val="003F0C3F"/>
    <w:rsid w:val="00401015"/>
    <w:rsid w:val="004014D0"/>
    <w:rsid w:val="00405AD9"/>
    <w:rsid w:val="00473F2B"/>
    <w:rsid w:val="00481925"/>
    <w:rsid w:val="004A3780"/>
    <w:rsid w:val="004B003B"/>
    <w:rsid w:val="004B4695"/>
    <w:rsid w:val="004C0F42"/>
    <w:rsid w:val="00537E41"/>
    <w:rsid w:val="00565E00"/>
    <w:rsid w:val="00595D3F"/>
    <w:rsid w:val="005C1EAB"/>
    <w:rsid w:val="005D0666"/>
    <w:rsid w:val="005E1A7D"/>
    <w:rsid w:val="00602BDB"/>
    <w:rsid w:val="00644C67"/>
    <w:rsid w:val="006613CC"/>
    <w:rsid w:val="00661B72"/>
    <w:rsid w:val="006869E3"/>
    <w:rsid w:val="006A0050"/>
    <w:rsid w:val="006A1CBF"/>
    <w:rsid w:val="006A3311"/>
    <w:rsid w:val="006B3CE3"/>
    <w:rsid w:val="006E48AA"/>
    <w:rsid w:val="006F3A13"/>
    <w:rsid w:val="0070754A"/>
    <w:rsid w:val="007166E8"/>
    <w:rsid w:val="00735C46"/>
    <w:rsid w:val="007620F7"/>
    <w:rsid w:val="00770480"/>
    <w:rsid w:val="00773B34"/>
    <w:rsid w:val="00783E3B"/>
    <w:rsid w:val="00784268"/>
    <w:rsid w:val="00794022"/>
    <w:rsid w:val="007A5053"/>
    <w:rsid w:val="007B20BE"/>
    <w:rsid w:val="007C4EA0"/>
    <w:rsid w:val="007D3121"/>
    <w:rsid w:val="007F1D94"/>
    <w:rsid w:val="007F42C7"/>
    <w:rsid w:val="007F5EB8"/>
    <w:rsid w:val="0082451F"/>
    <w:rsid w:val="00835167"/>
    <w:rsid w:val="008729E7"/>
    <w:rsid w:val="008805F8"/>
    <w:rsid w:val="0088563C"/>
    <w:rsid w:val="00891C10"/>
    <w:rsid w:val="008A3CB7"/>
    <w:rsid w:val="008D1E00"/>
    <w:rsid w:val="00947FBA"/>
    <w:rsid w:val="00952C0C"/>
    <w:rsid w:val="00954D9E"/>
    <w:rsid w:val="009727A8"/>
    <w:rsid w:val="00985EF7"/>
    <w:rsid w:val="009B3A1B"/>
    <w:rsid w:val="009B42E7"/>
    <w:rsid w:val="009B7498"/>
    <w:rsid w:val="009F50C9"/>
    <w:rsid w:val="00A15E6F"/>
    <w:rsid w:val="00A52229"/>
    <w:rsid w:val="00A62540"/>
    <w:rsid w:val="00A65B9B"/>
    <w:rsid w:val="00A74CE2"/>
    <w:rsid w:val="00A8171A"/>
    <w:rsid w:val="00AA566E"/>
    <w:rsid w:val="00AA77E6"/>
    <w:rsid w:val="00AA7FC7"/>
    <w:rsid w:val="00AB772F"/>
    <w:rsid w:val="00AB7E8C"/>
    <w:rsid w:val="00AF2B85"/>
    <w:rsid w:val="00B0271F"/>
    <w:rsid w:val="00B1215B"/>
    <w:rsid w:val="00B329B4"/>
    <w:rsid w:val="00B35E2D"/>
    <w:rsid w:val="00B42E24"/>
    <w:rsid w:val="00B42FB7"/>
    <w:rsid w:val="00B50382"/>
    <w:rsid w:val="00B53352"/>
    <w:rsid w:val="00B5624F"/>
    <w:rsid w:val="00B73D67"/>
    <w:rsid w:val="00B81633"/>
    <w:rsid w:val="00B9096F"/>
    <w:rsid w:val="00BE0760"/>
    <w:rsid w:val="00BF4F0A"/>
    <w:rsid w:val="00C07AC2"/>
    <w:rsid w:val="00C43EF7"/>
    <w:rsid w:val="00C46E05"/>
    <w:rsid w:val="00C773BA"/>
    <w:rsid w:val="00CB4EF4"/>
    <w:rsid w:val="00CB5176"/>
    <w:rsid w:val="00CD1BBE"/>
    <w:rsid w:val="00CD6C85"/>
    <w:rsid w:val="00CE0CB7"/>
    <w:rsid w:val="00CF4547"/>
    <w:rsid w:val="00D1279E"/>
    <w:rsid w:val="00D306CF"/>
    <w:rsid w:val="00D569C2"/>
    <w:rsid w:val="00D6183F"/>
    <w:rsid w:val="00D67BD1"/>
    <w:rsid w:val="00D75334"/>
    <w:rsid w:val="00D77CD7"/>
    <w:rsid w:val="00D81F86"/>
    <w:rsid w:val="00D866B1"/>
    <w:rsid w:val="00DA333D"/>
    <w:rsid w:val="00DB16F6"/>
    <w:rsid w:val="00DC2099"/>
    <w:rsid w:val="00DC38C9"/>
    <w:rsid w:val="00DC59D9"/>
    <w:rsid w:val="00DD1AE3"/>
    <w:rsid w:val="00E14B63"/>
    <w:rsid w:val="00E2754B"/>
    <w:rsid w:val="00E32F42"/>
    <w:rsid w:val="00E41C3B"/>
    <w:rsid w:val="00E46AEB"/>
    <w:rsid w:val="00E55667"/>
    <w:rsid w:val="00E8326F"/>
    <w:rsid w:val="00E928DD"/>
    <w:rsid w:val="00EA6EEA"/>
    <w:rsid w:val="00EB58FA"/>
    <w:rsid w:val="00EC1F54"/>
    <w:rsid w:val="00ED1349"/>
    <w:rsid w:val="00EE1786"/>
    <w:rsid w:val="00F0228F"/>
    <w:rsid w:val="00F26DFA"/>
    <w:rsid w:val="00F326C7"/>
    <w:rsid w:val="00F36EEC"/>
    <w:rsid w:val="00F47879"/>
    <w:rsid w:val="00F62F4E"/>
    <w:rsid w:val="00FD462B"/>
    <w:rsid w:val="00FD4C51"/>
    <w:rsid w:val="00FD7A00"/>
    <w:rsid w:val="00FE264D"/>
    <w:rsid w:val="00FF1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3BD2E"/>
  <w14:defaultImageDpi w14:val="32767"/>
  <w15:docId w15:val="{644101B4-0B59-054F-AF2F-EF5D40CB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C0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75334"/>
  </w:style>
  <w:style w:type="character" w:styleId="Hyperlink">
    <w:name w:val="Hyperlink"/>
    <w:basedOn w:val="DefaultParagraphFont"/>
    <w:uiPriority w:val="99"/>
    <w:semiHidden/>
    <w:unhideWhenUsed/>
    <w:rsid w:val="00D75334"/>
    <w:rPr>
      <w:color w:val="0000FF"/>
      <w:u w:val="single"/>
    </w:rPr>
  </w:style>
  <w:style w:type="character" w:styleId="Emphasis">
    <w:name w:val="Emphasis"/>
    <w:basedOn w:val="DefaultParagraphFont"/>
    <w:uiPriority w:val="20"/>
    <w:qFormat/>
    <w:rsid w:val="00952C0C"/>
    <w:rPr>
      <w:i/>
      <w:iCs/>
    </w:rPr>
  </w:style>
  <w:style w:type="table" w:styleId="TableGrid">
    <w:name w:val="Table Grid"/>
    <w:basedOn w:val="TableNormal"/>
    <w:uiPriority w:val="39"/>
    <w:rsid w:val="002A0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5C46"/>
    <w:pPr>
      <w:tabs>
        <w:tab w:val="center" w:pos="4513"/>
        <w:tab w:val="right" w:pos="9026"/>
      </w:tabs>
    </w:pPr>
  </w:style>
  <w:style w:type="character" w:customStyle="1" w:styleId="HeaderChar">
    <w:name w:val="Header Char"/>
    <w:basedOn w:val="DefaultParagraphFont"/>
    <w:link w:val="Header"/>
    <w:uiPriority w:val="99"/>
    <w:rsid w:val="00735C46"/>
    <w:rPr>
      <w:rFonts w:ascii="Times New Roman" w:eastAsia="Times New Roman" w:hAnsi="Times New Roman" w:cs="Times New Roman"/>
    </w:rPr>
  </w:style>
  <w:style w:type="paragraph" w:styleId="Footer">
    <w:name w:val="footer"/>
    <w:basedOn w:val="Normal"/>
    <w:link w:val="FooterChar"/>
    <w:uiPriority w:val="99"/>
    <w:unhideWhenUsed/>
    <w:rsid w:val="00735C46"/>
    <w:pPr>
      <w:tabs>
        <w:tab w:val="center" w:pos="4513"/>
        <w:tab w:val="right" w:pos="9026"/>
      </w:tabs>
    </w:pPr>
  </w:style>
  <w:style w:type="character" w:customStyle="1" w:styleId="FooterChar">
    <w:name w:val="Footer Char"/>
    <w:basedOn w:val="DefaultParagraphFont"/>
    <w:link w:val="Footer"/>
    <w:uiPriority w:val="99"/>
    <w:rsid w:val="00735C46"/>
    <w:rPr>
      <w:rFonts w:ascii="Times New Roman" w:eastAsia="Times New Roman" w:hAnsi="Times New Roman" w:cs="Times New Roman"/>
    </w:rPr>
  </w:style>
  <w:style w:type="character" w:styleId="PageNumber">
    <w:name w:val="page number"/>
    <w:basedOn w:val="DefaultParagraphFont"/>
    <w:uiPriority w:val="99"/>
    <w:semiHidden/>
    <w:unhideWhenUsed/>
    <w:rsid w:val="00E46AEB"/>
  </w:style>
  <w:style w:type="character" w:customStyle="1" w:styleId="ref-title">
    <w:name w:val="ref-title"/>
    <w:basedOn w:val="DefaultParagraphFont"/>
    <w:rsid w:val="000E5564"/>
  </w:style>
  <w:style w:type="character" w:customStyle="1" w:styleId="ref-journal">
    <w:name w:val="ref-journal"/>
    <w:basedOn w:val="DefaultParagraphFont"/>
    <w:rsid w:val="000E5564"/>
  </w:style>
  <w:style w:type="character" w:customStyle="1" w:styleId="ref-vol">
    <w:name w:val="ref-vol"/>
    <w:basedOn w:val="DefaultParagraphFont"/>
    <w:rsid w:val="000E5564"/>
  </w:style>
  <w:style w:type="character" w:customStyle="1" w:styleId="ref-iss">
    <w:name w:val="ref-iss"/>
    <w:basedOn w:val="DefaultParagraphFont"/>
    <w:rsid w:val="000E5564"/>
  </w:style>
  <w:style w:type="paragraph" w:styleId="BalloonText">
    <w:name w:val="Balloon Text"/>
    <w:basedOn w:val="Normal"/>
    <w:link w:val="BalloonTextChar"/>
    <w:uiPriority w:val="99"/>
    <w:semiHidden/>
    <w:unhideWhenUsed/>
    <w:rsid w:val="00133CBD"/>
    <w:rPr>
      <w:sz w:val="18"/>
      <w:szCs w:val="18"/>
    </w:rPr>
  </w:style>
  <w:style w:type="character" w:customStyle="1" w:styleId="BalloonTextChar">
    <w:name w:val="Balloon Text Char"/>
    <w:basedOn w:val="DefaultParagraphFont"/>
    <w:link w:val="BalloonText"/>
    <w:uiPriority w:val="99"/>
    <w:semiHidden/>
    <w:rsid w:val="00133CBD"/>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140687"/>
    <w:rPr>
      <w:sz w:val="16"/>
      <w:szCs w:val="16"/>
    </w:rPr>
  </w:style>
  <w:style w:type="paragraph" w:styleId="CommentText">
    <w:name w:val="annotation text"/>
    <w:basedOn w:val="Normal"/>
    <w:link w:val="CommentTextChar"/>
    <w:uiPriority w:val="99"/>
    <w:semiHidden/>
    <w:unhideWhenUsed/>
    <w:rsid w:val="00140687"/>
    <w:rPr>
      <w:sz w:val="20"/>
      <w:szCs w:val="20"/>
    </w:rPr>
  </w:style>
  <w:style w:type="character" w:customStyle="1" w:styleId="CommentTextChar">
    <w:name w:val="Comment Text Char"/>
    <w:basedOn w:val="DefaultParagraphFont"/>
    <w:link w:val="CommentText"/>
    <w:uiPriority w:val="99"/>
    <w:semiHidden/>
    <w:rsid w:val="001406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0687"/>
    <w:rPr>
      <w:b/>
      <w:bCs/>
    </w:rPr>
  </w:style>
  <w:style w:type="character" w:customStyle="1" w:styleId="CommentSubjectChar">
    <w:name w:val="Comment Subject Char"/>
    <w:basedOn w:val="CommentTextChar"/>
    <w:link w:val="CommentSubject"/>
    <w:uiPriority w:val="99"/>
    <w:semiHidden/>
    <w:rsid w:val="0014068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853528">
      <w:bodyDiv w:val="1"/>
      <w:marLeft w:val="0"/>
      <w:marRight w:val="0"/>
      <w:marTop w:val="0"/>
      <w:marBottom w:val="0"/>
      <w:divBdr>
        <w:top w:val="none" w:sz="0" w:space="0" w:color="auto"/>
        <w:left w:val="none" w:sz="0" w:space="0" w:color="auto"/>
        <w:bottom w:val="none" w:sz="0" w:space="0" w:color="auto"/>
        <w:right w:val="none" w:sz="0" w:space="0" w:color="auto"/>
      </w:divBdr>
    </w:div>
    <w:div w:id="303856604">
      <w:bodyDiv w:val="1"/>
      <w:marLeft w:val="0"/>
      <w:marRight w:val="0"/>
      <w:marTop w:val="0"/>
      <w:marBottom w:val="0"/>
      <w:divBdr>
        <w:top w:val="none" w:sz="0" w:space="0" w:color="auto"/>
        <w:left w:val="none" w:sz="0" w:space="0" w:color="auto"/>
        <w:bottom w:val="none" w:sz="0" w:space="0" w:color="auto"/>
        <w:right w:val="none" w:sz="0" w:space="0" w:color="auto"/>
      </w:divBdr>
    </w:div>
    <w:div w:id="393286001">
      <w:bodyDiv w:val="1"/>
      <w:marLeft w:val="0"/>
      <w:marRight w:val="0"/>
      <w:marTop w:val="0"/>
      <w:marBottom w:val="0"/>
      <w:divBdr>
        <w:top w:val="none" w:sz="0" w:space="0" w:color="auto"/>
        <w:left w:val="none" w:sz="0" w:space="0" w:color="auto"/>
        <w:bottom w:val="none" w:sz="0" w:space="0" w:color="auto"/>
        <w:right w:val="none" w:sz="0" w:space="0" w:color="auto"/>
      </w:divBdr>
    </w:div>
    <w:div w:id="1081681176">
      <w:bodyDiv w:val="1"/>
      <w:marLeft w:val="0"/>
      <w:marRight w:val="0"/>
      <w:marTop w:val="0"/>
      <w:marBottom w:val="0"/>
      <w:divBdr>
        <w:top w:val="none" w:sz="0" w:space="0" w:color="auto"/>
        <w:left w:val="none" w:sz="0" w:space="0" w:color="auto"/>
        <w:bottom w:val="none" w:sz="0" w:space="0" w:color="auto"/>
        <w:right w:val="none" w:sz="0" w:space="0" w:color="auto"/>
      </w:divBdr>
    </w:div>
    <w:div w:id="20810984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158A0-F038-E547-85EC-8B4ACC604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2168</Words>
  <Characters>12364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South London and Maudsley NHS Foundation Trust</Company>
  <LinksUpToDate>false</LinksUpToDate>
  <CharactersWithSpaces>14503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Torstein Stapley</dc:creator>
  <cp:lastModifiedBy>Stephanie Curnow</cp:lastModifiedBy>
  <cp:revision>5</cp:revision>
  <dcterms:created xsi:type="dcterms:W3CDTF">2019-08-20T11:13:00Z</dcterms:created>
  <dcterms:modified xsi:type="dcterms:W3CDTF">2021-07-14T14:54:00Z</dcterms:modified>
</cp:coreProperties>
</file>