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AC3D5" w14:textId="01432BC0" w:rsidR="007211DD" w:rsidRPr="00F95B54" w:rsidRDefault="006A3219">
      <w:pPr>
        <w:rPr>
          <w:rFonts w:ascii="Times" w:hAnsi="Times"/>
        </w:rPr>
      </w:pPr>
      <w:r w:rsidRPr="00AB47A6">
        <w:rPr>
          <w:rFonts w:ascii="Times" w:hAnsi="Times"/>
        </w:rPr>
        <w:t>Table 2.</w:t>
      </w:r>
      <w:r w:rsidR="00F95B54">
        <w:rPr>
          <w:rFonts w:ascii="Times" w:hAnsi="Times"/>
        </w:rPr>
        <w:t xml:space="preserve"> </w:t>
      </w:r>
      <w:r w:rsidR="007211DD" w:rsidRPr="00EF0ED6">
        <w:rPr>
          <w:rFonts w:ascii="Times" w:hAnsi="Times"/>
          <w:i/>
        </w:rPr>
        <w:t xml:space="preserve">CET </w:t>
      </w:r>
      <w:r w:rsidR="00AB47A6">
        <w:rPr>
          <w:rFonts w:ascii="Times" w:hAnsi="Times"/>
          <w:i/>
        </w:rPr>
        <w:t>P</w:t>
      </w:r>
      <w:r w:rsidR="007211DD" w:rsidRPr="00EF0ED6">
        <w:rPr>
          <w:rFonts w:ascii="Times" w:hAnsi="Times"/>
          <w:i/>
        </w:rPr>
        <w:t xml:space="preserve">rogram </w:t>
      </w:r>
      <w:r w:rsidR="00AB47A6">
        <w:rPr>
          <w:rFonts w:ascii="Times" w:hAnsi="Times"/>
          <w:i/>
        </w:rPr>
        <w:t>B</w:t>
      </w:r>
      <w:r w:rsidR="007211DD" w:rsidRPr="00EF0ED6">
        <w:rPr>
          <w:rFonts w:ascii="Times" w:hAnsi="Times"/>
          <w:i/>
        </w:rPr>
        <w:t xml:space="preserve">arriers and </w:t>
      </w:r>
      <w:r w:rsidR="00AB47A6">
        <w:rPr>
          <w:rFonts w:ascii="Times" w:hAnsi="Times"/>
          <w:i/>
        </w:rPr>
        <w:t>Solutions</w:t>
      </w:r>
      <w:r w:rsidR="007211DD" w:rsidRPr="00EF0ED6">
        <w:rPr>
          <w:rFonts w:ascii="Times" w:hAnsi="Times"/>
          <w:i/>
        </w:rPr>
        <w:t xml:space="preserve"> </w:t>
      </w:r>
      <w:r w:rsidR="00AB47A6">
        <w:rPr>
          <w:rFonts w:ascii="Times" w:hAnsi="Times"/>
          <w:i/>
        </w:rPr>
        <w:t>w</w:t>
      </w:r>
      <w:r w:rsidR="007211DD" w:rsidRPr="00EF0ED6">
        <w:rPr>
          <w:rFonts w:ascii="Times" w:hAnsi="Times"/>
          <w:i/>
        </w:rPr>
        <w:t xml:space="preserve">ithin </w:t>
      </w:r>
      <w:r w:rsidR="00AB47A6">
        <w:rPr>
          <w:rFonts w:ascii="Times" w:hAnsi="Times"/>
          <w:i/>
        </w:rPr>
        <w:t>e</w:t>
      </w:r>
      <w:r w:rsidR="007211DD" w:rsidRPr="00EF0ED6">
        <w:rPr>
          <w:rFonts w:ascii="Times" w:hAnsi="Times"/>
          <w:i/>
        </w:rPr>
        <w:t xml:space="preserve">ach </w:t>
      </w:r>
      <w:r w:rsidR="00AB47A6">
        <w:rPr>
          <w:rFonts w:ascii="Times" w:hAnsi="Times"/>
          <w:i/>
        </w:rPr>
        <w:t>I</w:t>
      </w:r>
      <w:r w:rsidR="007211DD" w:rsidRPr="00EF0ED6">
        <w:rPr>
          <w:rFonts w:ascii="Times" w:hAnsi="Times"/>
          <w:i/>
        </w:rPr>
        <w:t xml:space="preserve">mplementation </w:t>
      </w:r>
      <w:r w:rsidR="00AB47A6">
        <w:rPr>
          <w:rFonts w:ascii="Times" w:hAnsi="Times"/>
          <w:i/>
        </w:rPr>
        <w:t>S</w:t>
      </w:r>
      <w:r w:rsidR="007211DD" w:rsidRPr="00EF0ED6">
        <w:rPr>
          <w:rFonts w:ascii="Times" w:hAnsi="Times"/>
          <w:i/>
        </w:rPr>
        <w:t>tage</w:t>
      </w:r>
      <w:r w:rsidR="007211DD">
        <w:rPr>
          <w:rFonts w:ascii="Times" w:hAnsi="Times"/>
          <w:i/>
        </w:rPr>
        <w:t>.</w:t>
      </w:r>
    </w:p>
    <w:tbl>
      <w:tblPr>
        <w:tblStyle w:val="TableGrid"/>
        <w:tblW w:w="498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405"/>
        <w:gridCol w:w="5257"/>
        <w:gridCol w:w="5254"/>
      </w:tblGrid>
      <w:tr w:rsidR="004367CA" w:rsidRPr="000727DD" w14:paraId="55347D01" w14:textId="77777777" w:rsidTr="004367CA">
        <w:trPr>
          <w:trHeight w:val="443"/>
        </w:trPr>
        <w:tc>
          <w:tcPr>
            <w:tcW w:w="931" w:type="pct"/>
            <w:tcBorders>
              <w:top w:val="single" w:sz="4" w:space="0" w:color="auto"/>
              <w:bottom w:val="single" w:sz="4" w:space="0" w:color="auto"/>
            </w:tcBorders>
          </w:tcPr>
          <w:p w14:paraId="64B916CE" w14:textId="77777777" w:rsidR="00C6354D" w:rsidRPr="00EF0ED6" w:rsidRDefault="00C6354D" w:rsidP="00C8424B">
            <w:pPr>
              <w:rPr>
                <w:bCs/>
              </w:rPr>
            </w:pPr>
            <w:r w:rsidRPr="00EF0ED6">
              <w:rPr>
                <w:bCs/>
              </w:rPr>
              <w:t>Implementation Stage</w:t>
            </w:r>
          </w:p>
        </w:tc>
        <w:tc>
          <w:tcPr>
            <w:tcW w:w="2035" w:type="pct"/>
            <w:tcBorders>
              <w:top w:val="single" w:sz="4" w:space="0" w:color="auto"/>
              <w:bottom w:val="single" w:sz="4" w:space="0" w:color="auto"/>
            </w:tcBorders>
          </w:tcPr>
          <w:p w14:paraId="2BACB9E6" w14:textId="6A821F3A" w:rsidR="00C6354D" w:rsidRPr="00C6354D" w:rsidRDefault="00C6354D" w:rsidP="00C8424B">
            <w:pPr>
              <w:rPr>
                <w:bCs/>
              </w:rPr>
            </w:pPr>
            <w:r>
              <w:rPr>
                <w:bCs/>
              </w:rPr>
              <w:t xml:space="preserve">Program Barriers &amp; </w:t>
            </w:r>
            <w:r w:rsidRPr="00EF0ED6">
              <w:rPr>
                <w:bCs/>
              </w:rPr>
              <w:t>Challenges</w:t>
            </w:r>
          </w:p>
        </w:tc>
        <w:tc>
          <w:tcPr>
            <w:tcW w:w="2035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C6476F6" w14:textId="2018C95F" w:rsidR="00C6354D" w:rsidRPr="005A1D97" w:rsidRDefault="00C6354D" w:rsidP="00C8424B">
            <w:r>
              <w:rPr>
                <w:bCs/>
              </w:rPr>
              <w:t xml:space="preserve">Solutions to </w:t>
            </w:r>
            <w:r w:rsidRPr="00EF0ED6">
              <w:rPr>
                <w:bCs/>
              </w:rPr>
              <w:t>Overcom</w:t>
            </w:r>
            <w:r>
              <w:rPr>
                <w:bCs/>
              </w:rPr>
              <w:t>e</w:t>
            </w:r>
            <w:r w:rsidRPr="00EF0ED6">
              <w:rPr>
                <w:bCs/>
              </w:rPr>
              <w:t xml:space="preserve"> </w:t>
            </w:r>
            <w:r>
              <w:rPr>
                <w:bCs/>
              </w:rPr>
              <w:t xml:space="preserve">Program </w:t>
            </w:r>
            <w:r w:rsidRPr="00EF0ED6">
              <w:rPr>
                <w:bCs/>
              </w:rPr>
              <w:t>Barriers</w:t>
            </w:r>
          </w:p>
        </w:tc>
      </w:tr>
      <w:tr w:rsidR="004367CA" w:rsidRPr="000727DD" w14:paraId="347AB5C8" w14:textId="77777777" w:rsidTr="00107FB9">
        <w:trPr>
          <w:trHeight w:val="1241"/>
        </w:trPr>
        <w:tc>
          <w:tcPr>
            <w:tcW w:w="931" w:type="pct"/>
            <w:tcBorders>
              <w:top w:val="single" w:sz="4" w:space="0" w:color="auto"/>
            </w:tcBorders>
          </w:tcPr>
          <w:p w14:paraId="59AC6DB2" w14:textId="77777777" w:rsidR="00C6354D" w:rsidRPr="000727DD" w:rsidRDefault="00C6354D" w:rsidP="00C8424B">
            <w:r>
              <w:t>Exploration</w:t>
            </w:r>
          </w:p>
        </w:tc>
        <w:tc>
          <w:tcPr>
            <w:tcW w:w="2035" w:type="pct"/>
            <w:tcBorders>
              <w:top w:val="single" w:sz="4" w:space="0" w:color="auto"/>
            </w:tcBorders>
          </w:tcPr>
          <w:p w14:paraId="46F939CE" w14:textId="631A60AA" w:rsidR="00C6354D" w:rsidRPr="000727DD" w:rsidRDefault="00C6354D" w:rsidP="00C8424B">
            <w:r>
              <w:t>There was a lack of staff interest and engagement following internal educational didactics led by program champions.</w:t>
            </w:r>
          </w:p>
        </w:tc>
        <w:tc>
          <w:tcPr>
            <w:tcW w:w="2035" w:type="pct"/>
            <w:tcBorders>
              <w:top w:val="single" w:sz="4" w:space="0" w:color="auto"/>
            </w:tcBorders>
            <w:hideMark/>
          </w:tcPr>
          <w:p w14:paraId="622B5C24" w14:textId="12BA91F4" w:rsidR="00C6354D" w:rsidRPr="000727DD" w:rsidRDefault="00C6354D" w:rsidP="00C8424B">
            <w:r w:rsidRPr="000727DD">
              <w:t xml:space="preserve">Grant funding allowed the opportunity to work with </w:t>
            </w:r>
            <w:proofErr w:type="spellStart"/>
            <w:r w:rsidRPr="000727DD">
              <w:t>CETCleveland</w:t>
            </w:r>
            <w:proofErr w:type="spellEnd"/>
            <w:r w:rsidRPr="000727DD">
              <w:t xml:space="preserve">®. </w:t>
            </w:r>
            <w:r w:rsidR="0001506A">
              <w:t>Formal training by</w:t>
            </w:r>
            <w:r w:rsidRPr="000727DD">
              <w:t xml:space="preserve"> </w:t>
            </w:r>
            <w:r w:rsidR="0001506A">
              <w:t>an expert</w:t>
            </w:r>
            <w:r w:rsidRPr="000727DD">
              <w:t xml:space="preserve"> team </w:t>
            </w:r>
            <w:r w:rsidR="0001506A">
              <w:t>was intended to</w:t>
            </w:r>
            <w:r w:rsidRPr="000727DD">
              <w:t xml:space="preserve"> increase interest within the agency</w:t>
            </w:r>
            <w:r w:rsidR="0001506A">
              <w:t xml:space="preserve"> from interested clinicians</w:t>
            </w:r>
            <w:r w:rsidRPr="000727DD">
              <w:t xml:space="preserve">. </w:t>
            </w:r>
          </w:p>
        </w:tc>
      </w:tr>
      <w:tr w:rsidR="004367CA" w:rsidRPr="000727DD" w14:paraId="6F38620E" w14:textId="77777777" w:rsidTr="00107FB9">
        <w:trPr>
          <w:trHeight w:val="1161"/>
        </w:trPr>
        <w:tc>
          <w:tcPr>
            <w:tcW w:w="931" w:type="pct"/>
            <w:vMerge w:val="restart"/>
          </w:tcPr>
          <w:p w14:paraId="629C984A" w14:textId="77777777" w:rsidR="00F6434F" w:rsidRPr="000727DD" w:rsidRDefault="00F6434F" w:rsidP="00C8424B">
            <w:r>
              <w:t>Installation</w:t>
            </w:r>
          </w:p>
        </w:tc>
        <w:tc>
          <w:tcPr>
            <w:tcW w:w="2035" w:type="pct"/>
          </w:tcPr>
          <w:p w14:paraId="2C8B3889" w14:textId="2632E12D" w:rsidR="00F6434F" w:rsidRPr="000727DD" w:rsidRDefault="00F6434F" w:rsidP="00C8424B">
            <w:r w:rsidRPr="000727DD">
              <w:t xml:space="preserve">CET did not </w:t>
            </w:r>
            <w:r>
              <w:t xml:space="preserve">expand beyond the </w:t>
            </w:r>
            <w:r w:rsidR="0016145D">
              <w:t>group pilot</w:t>
            </w:r>
            <w:r w:rsidRPr="000727DD">
              <w:t>.</w:t>
            </w:r>
          </w:p>
        </w:tc>
        <w:tc>
          <w:tcPr>
            <w:tcW w:w="2035" w:type="pct"/>
            <w:hideMark/>
          </w:tcPr>
          <w:p w14:paraId="74049797" w14:textId="0C24F0C7" w:rsidR="00F6434F" w:rsidRPr="000727DD" w:rsidRDefault="0016145D" w:rsidP="00C8424B">
            <w:r>
              <w:t xml:space="preserve">Formal training was offered to clinicians </w:t>
            </w:r>
            <w:r w:rsidR="00F6434F">
              <w:t>by CET champions</w:t>
            </w:r>
            <w:r w:rsidR="00F6434F" w:rsidRPr="000727DD">
              <w:t>.</w:t>
            </w:r>
            <w:r w:rsidR="00F6434F">
              <w:t xml:space="preserve"> </w:t>
            </w:r>
            <w:r w:rsidR="00F6434F" w:rsidRPr="000727DD">
              <w:t xml:space="preserve">CET coaches </w:t>
            </w:r>
            <w:r w:rsidR="00F6434F">
              <w:t>were</w:t>
            </w:r>
            <w:r w:rsidR="00F6434F" w:rsidRPr="000727DD">
              <w:t xml:space="preserve"> trained from different teams to improve visibility and program growth. </w:t>
            </w:r>
          </w:p>
        </w:tc>
      </w:tr>
      <w:tr w:rsidR="004367CA" w:rsidRPr="000727DD" w14:paraId="0AFE1CCC" w14:textId="77777777" w:rsidTr="004367CA">
        <w:trPr>
          <w:trHeight w:val="1032"/>
        </w:trPr>
        <w:tc>
          <w:tcPr>
            <w:tcW w:w="931" w:type="pct"/>
            <w:vMerge/>
          </w:tcPr>
          <w:p w14:paraId="6116A9FF" w14:textId="77777777" w:rsidR="00F6434F" w:rsidRDefault="00F6434F" w:rsidP="00C8424B"/>
        </w:tc>
        <w:tc>
          <w:tcPr>
            <w:tcW w:w="2035" w:type="pct"/>
          </w:tcPr>
          <w:p w14:paraId="3D847FAB" w14:textId="22EA40E9" w:rsidR="00F6434F" w:rsidRPr="000727DD" w:rsidRDefault="00F6434F" w:rsidP="00C8424B">
            <w:r>
              <w:t>Groups were challenging to prepare for busy clinicians because of the structured nature of the intervention.</w:t>
            </w:r>
          </w:p>
        </w:tc>
        <w:tc>
          <w:tcPr>
            <w:tcW w:w="2035" w:type="pct"/>
          </w:tcPr>
          <w:p w14:paraId="1F228968" w14:textId="537F64B8" w:rsidR="00F6434F" w:rsidRPr="000727DD" w:rsidRDefault="00F6434F" w:rsidP="00C8424B">
            <w:proofErr w:type="spellStart"/>
            <w:r w:rsidRPr="000727DD">
              <w:t>CETCleveland</w:t>
            </w:r>
            <w:proofErr w:type="spellEnd"/>
            <w:r w:rsidRPr="000727DD">
              <w:t xml:space="preserve">® materials </w:t>
            </w:r>
            <w:r>
              <w:t xml:space="preserve">included in the training package </w:t>
            </w:r>
            <w:r w:rsidRPr="000727DD">
              <w:t>reduce</w:t>
            </w:r>
            <w:r>
              <w:t>d</w:t>
            </w:r>
            <w:r w:rsidRPr="000727DD">
              <w:t xml:space="preserve"> time spent on preparation with tools such as posters, activities, and lectures.</w:t>
            </w:r>
          </w:p>
        </w:tc>
      </w:tr>
      <w:tr w:rsidR="004367CA" w:rsidRPr="000727DD" w14:paraId="069E932C" w14:textId="77777777" w:rsidTr="004367CA">
        <w:trPr>
          <w:trHeight w:val="733"/>
        </w:trPr>
        <w:tc>
          <w:tcPr>
            <w:tcW w:w="931" w:type="pct"/>
            <w:vMerge/>
          </w:tcPr>
          <w:p w14:paraId="1304916E" w14:textId="77777777" w:rsidR="00F6434F" w:rsidRDefault="00F6434F" w:rsidP="00C8424B"/>
        </w:tc>
        <w:tc>
          <w:tcPr>
            <w:tcW w:w="2035" w:type="pct"/>
          </w:tcPr>
          <w:p w14:paraId="314BD3F9" w14:textId="16D6D507" w:rsidR="00F6434F" w:rsidRDefault="00107FB9" w:rsidP="00C8424B">
            <w:r>
              <w:t>Lack of</w:t>
            </w:r>
            <w:r w:rsidR="00F6434F">
              <w:t xml:space="preserve"> funding </w:t>
            </w:r>
            <w:r>
              <w:t>prevented purchase of suitable</w:t>
            </w:r>
            <w:r w:rsidR="00F6434F">
              <w:t xml:space="preserve"> program materials.</w:t>
            </w:r>
            <w:bookmarkStart w:id="0" w:name="_GoBack"/>
            <w:bookmarkEnd w:id="0"/>
          </w:p>
        </w:tc>
        <w:tc>
          <w:tcPr>
            <w:tcW w:w="2035" w:type="pct"/>
          </w:tcPr>
          <w:p w14:paraId="450FB4F9" w14:textId="02617351" w:rsidR="00F6434F" w:rsidRPr="000727DD" w:rsidRDefault="00F6434F" w:rsidP="00C8424B">
            <w:r>
              <w:t>Grant funding allowed funding to purchase materials for groups such as laptops.</w:t>
            </w:r>
          </w:p>
        </w:tc>
      </w:tr>
      <w:tr w:rsidR="004367CA" w:rsidRPr="000727DD" w14:paraId="6F85CD5F" w14:textId="77777777" w:rsidTr="00107FB9">
        <w:trPr>
          <w:trHeight w:val="945"/>
        </w:trPr>
        <w:tc>
          <w:tcPr>
            <w:tcW w:w="931" w:type="pct"/>
            <w:vMerge w:val="restart"/>
          </w:tcPr>
          <w:p w14:paraId="71201B20" w14:textId="278FF094" w:rsidR="0096063B" w:rsidRDefault="0096063B" w:rsidP="00C8424B">
            <w:r>
              <w:t>Initial Implementation</w:t>
            </w:r>
          </w:p>
        </w:tc>
        <w:tc>
          <w:tcPr>
            <w:tcW w:w="2035" w:type="pct"/>
          </w:tcPr>
          <w:p w14:paraId="77BD968E" w14:textId="0F3C234A" w:rsidR="0096063B" w:rsidRDefault="0096063B" w:rsidP="00C8424B">
            <w:r>
              <w:t>Technical difficulties arose during tele-observation (i.e., camera, speakers, and microphone) to support training.</w:t>
            </w:r>
          </w:p>
        </w:tc>
        <w:tc>
          <w:tcPr>
            <w:tcW w:w="2035" w:type="pct"/>
          </w:tcPr>
          <w:p w14:paraId="3F45B036" w14:textId="0C94FE92" w:rsidR="0096063B" w:rsidRPr="000727DD" w:rsidRDefault="0096063B" w:rsidP="00C8424B">
            <w:pPr>
              <w:contextualSpacing/>
            </w:pPr>
            <w:r>
              <w:t>Program staff persisted in establishing equipment and adjustments were made for training, for example conference call was used instead of video.</w:t>
            </w:r>
          </w:p>
        </w:tc>
      </w:tr>
      <w:tr w:rsidR="004367CA" w:rsidRPr="000727DD" w14:paraId="709DB62A" w14:textId="77777777" w:rsidTr="00107FB9">
        <w:trPr>
          <w:trHeight w:val="1260"/>
        </w:trPr>
        <w:tc>
          <w:tcPr>
            <w:tcW w:w="931" w:type="pct"/>
            <w:vMerge/>
          </w:tcPr>
          <w:p w14:paraId="51A3728F" w14:textId="6BB8B1F5" w:rsidR="0096063B" w:rsidRPr="000727DD" w:rsidRDefault="0096063B" w:rsidP="00C8424B"/>
        </w:tc>
        <w:tc>
          <w:tcPr>
            <w:tcW w:w="2035" w:type="pct"/>
          </w:tcPr>
          <w:p w14:paraId="066EB77D" w14:textId="504F23FB" w:rsidR="0096063B" w:rsidRPr="000727DD" w:rsidRDefault="0096063B" w:rsidP="00C8424B">
            <w:r>
              <w:t xml:space="preserve">Transportation to groups for some participants was a barrier as </w:t>
            </w:r>
            <w:r w:rsidRPr="000727DD">
              <w:t xml:space="preserve">location was not convenient for </w:t>
            </w:r>
            <w:r>
              <w:t xml:space="preserve">all </w:t>
            </w:r>
            <w:r w:rsidRPr="000727DD">
              <w:t>participants.</w:t>
            </w:r>
          </w:p>
        </w:tc>
        <w:tc>
          <w:tcPr>
            <w:tcW w:w="2035" w:type="pct"/>
            <w:hideMark/>
          </w:tcPr>
          <w:p w14:paraId="6081DA39" w14:textId="77777777" w:rsidR="0096063B" w:rsidRPr="000727DD" w:rsidRDefault="0096063B" w:rsidP="00C8424B">
            <w:r w:rsidRPr="000727DD">
              <w:t xml:space="preserve">Collaboration with professionals such as case managers has </w:t>
            </w:r>
            <w:r>
              <w:t>supported transportation</w:t>
            </w:r>
            <w:r w:rsidRPr="000727DD">
              <w:t xml:space="preserve"> and CET groups are </w:t>
            </w:r>
            <w:r>
              <w:t>now held at one central location that is near a bus line.</w:t>
            </w:r>
          </w:p>
        </w:tc>
      </w:tr>
      <w:tr w:rsidR="004367CA" w:rsidRPr="000727DD" w14:paraId="1D3470A9" w14:textId="77777777" w:rsidTr="004367CA">
        <w:trPr>
          <w:trHeight w:val="1021"/>
        </w:trPr>
        <w:tc>
          <w:tcPr>
            <w:tcW w:w="931" w:type="pct"/>
            <w:vMerge/>
          </w:tcPr>
          <w:p w14:paraId="6D6253F4" w14:textId="77777777" w:rsidR="0096063B" w:rsidRDefault="0096063B" w:rsidP="00C8424B"/>
        </w:tc>
        <w:tc>
          <w:tcPr>
            <w:tcW w:w="2035" w:type="pct"/>
          </w:tcPr>
          <w:p w14:paraId="703BAAA7" w14:textId="701E78BF" w:rsidR="0096063B" w:rsidRPr="000727DD" w:rsidRDefault="0096063B" w:rsidP="00C8424B">
            <w:r>
              <w:t xml:space="preserve">Coach dropout was an anticipated barrier and during the study period, coaches left the agency or discontinued coaching after CET training. </w:t>
            </w:r>
          </w:p>
        </w:tc>
        <w:tc>
          <w:tcPr>
            <w:tcW w:w="2035" w:type="pct"/>
          </w:tcPr>
          <w:p w14:paraId="3C0EC1FA" w14:textId="77777777" w:rsidR="0096063B" w:rsidRPr="000727DD" w:rsidRDefault="0096063B" w:rsidP="00C8424B">
            <w:r>
              <w:t>Two CET coaches became trainers to have the ability to continuously train new qualified CET coaches.</w:t>
            </w:r>
          </w:p>
        </w:tc>
      </w:tr>
      <w:tr w:rsidR="004367CA" w:rsidRPr="000727DD" w14:paraId="7B055B4C" w14:textId="77777777" w:rsidTr="00107FB9">
        <w:trPr>
          <w:trHeight w:val="73"/>
        </w:trPr>
        <w:tc>
          <w:tcPr>
            <w:tcW w:w="931" w:type="pct"/>
            <w:vMerge/>
          </w:tcPr>
          <w:p w14:paraId="7FD2B8E4" w14:textId="77777777" w:rsidR="0096063B" w:rsidRDefault="0096063B" w:rsidP="00C8424B"/>
        </w:tc>
        <w:tc>
          <w:tcPr>
            <w:tcW w:w="2035" w:type="pct"/>
          </w:tcPr>
          <w:p w14:paraId="520BF731" w14:textId="58A2A782" w:rsidR="0096063B" w:rsidRDefault="0096063B" w:rsidP="00C8424B">
            <w:r>
              <w:t>It was difficult to locate a dedicated room with adequate space for initial groups. CET was initially located in two different buildings.</w:t>
            </w:r>
          </w:p>
        </w:tc>
        <w:tc>
          <w:tcPr>
            <w:tcW w:w="2035" w:type="pct"/>
          </w:tcPr>
          <w:p w14:paraId="3016F016" w14:textId="3B197664" w:rsidR="0096063B" w:rsidRDefault="0096063B" w:rsidP="00C8424B">
            <w:r>
              <w:t>After the first cohort of groups, CET moved to one dedicated room with added space within a psychiatric program.</w:t>
            </w:r>
          </w:p>
        </w:tc>
      </w:tr>
    </w:tbl>
    <w:p w14:paraId="03594322" w14:textId="605A6E0F" w:rsidR="007E10F0" w:rsidRDefault="00107FB9"/>
    <w:sectPr w:rsidR="007E10F0" w:rsidSect="00C635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1DD"/>
    <w:rsid w:val="0001506A"/>
    <w:rsid w:val="00047D31"/>
    <w:rsid w:val="00107FB9"/>
    <w:rsid w:val="0016145D"/>
    <w:rsid w:val="003B3415"/>
    <w:rsid w:val="004367CA"/>
    <w:rsid w:val="006A3219"/>
    <w:rsid w:val="006C2A39"/>
    <w:rsid w:val="006F36B3"/>
    <w:rsid w:val="007211DD"/>
    <w:rsid w:val="0087338E"/>
    <w:rsid w:val="0096063B"/>
    <w:rsid w:val="00AB47A6"/>
    <w:rsid w:val="00AC7EC6"/>
    <w:rsid w:val="00B725D0"/>
    <w:rsid w:val="00B939E9"/>
    <w:rsid w:val="00C6354D"/>
    <w:rsid w:val="00DD444E"/>
    <w:rsid w:val="00E24124"/>
    <w:rsid w:val="00F6434F"/>
    <w:rsid w:val="00F9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27779"/>
  <w14:defaultImageDpi w14:val="32767"/>
  <w15:chartTrackingRefBased/>
  <w15:docId w15:val="{32D640F6-76D3-6048-9156-B772836E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211D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Green">
    <w:name w:val="Custom Green"/>
    <w:basedOn w:val="TableNormal"/>
    <w:uiPriority w:val="99"/>
    <w:rsid w:val="00E24124"/>
    <w:tblPr/>
    <w:tcPr>
      <w:shd w:val="clear" w:color="auto" w:fill="FFE599" w:themeFill="accent4" w:themeFillTint="66"/>
    </w:tcPr>
  </w:style>
  <w:style w:type="table" w:styleId="ListTable3-Accent1">
    <w:name w:val="List Table 3 Accent 1"/>
    <w:basedOn w:val="TableNormal"/>
    <w:uiPriority w:val="48"/>
    <w:rsid w:val="00E24124"/>
    <w:tblPr>
      <w:tblStyleRowBandSize w:val="1"/>
      <w:tblStyleColBandSize w:val="1"/>
      <w:tblBorders>
        <w:top w:val="single" w:sz="6" w:space="0" w:color="9EE1C6"/>
        <w:left w:val="single" w:sz="6" w:space="0" w:color="9EE1C6"/>
        <w:bottom w:val="single" w:sz="6" w:space="0" w:color="9EE1C6"/>
        <w:right w:val="single" w:sz="6" w:space="0" w:color="9EE1C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eGrid">
    <w:name w:val="Table Grid"/>
    <w:basedOn w:val="TableNormal"/>
    <w:uiPriority w:val="59"/>
    <w:rsid w:val="007211DD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Faith, Laura</dc:creator>
  <cp:keywords/>
  <dc:description/>
  <cp:lastModifiedBy>Faith, Laura</cp:lastModifiedBy>
  <cp:revision>12</cp:revision>
  <dcterms:created xsi:type="dcterms:W3CDTF">2021-09-13T14:40:00Z</dcterms:created>
  <dcterms:modified xsi:type="dcterms:W3CDTF">2021-10-12T13:39:00Z</dcterms:modified>
</cp:coreProperties>
</file>