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13C" w:rsidRDefault="00507732" w:rsidP="00507732">
      <w:pPr>
        <w:spacing w:after="120" w:line="480" w:lineRule="auto"/>
      </w:pPr>
      <w:r>
        <w:t>Table A</w:t>
      </w:r>
    </w:p>
    <w:p w:rsidR="00507732" w:rsidRDefault="00507732" w:rsidP="00507732">
      <w:pPr>
        <w:spacing w:after="120" w:line="480" w:lineRule="auto"/>
      </w:pPr>
      <w:r>
        <w:t>Correlations between AVH-related distress and key demographic-clinical variables for BD versus SCZ</w:t>
      </w:r>
      <w:r w:rsidR="006444A2">
        <w:t xml:space="preserve"> groups for inclusion in </w:t>
      </w:r>
      <w:r w:rsidR="00C15239">
        <w:t xml:space="preserve">subsequent </w:t>
      </w:r>
      <w:bookmarkStart w:id="0" w:name="_GoBack"/>
      <w:bookmarkEnd w:id="0"/>
      <w:r w:rsidR="006444A2">
        <w:t>hierarchical multiple regression</w:t>
      </w:r>
      <w:r w:rsidR="00C15239">
        <w:t>s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07732" w:rsidTr="006444A2">
        <w:tc>
          <w:tcPr>
            <w:tcW w:w="3005" w:type="dxa"/>
            <w:vMerge w:val="restart"/>
          </w:tcPr>
          <w:p w:rsidR="00507732" w:rsidRPr="00D174F4" w:rsidRDefault="00D174F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PSYRATS </w:t>
            </w:r>
            <w:r w:rsidR="00256DC2">
              <w:rPr>
                <w:b/>
                <w:i/>
              </w:rPr>
              <w:t>distress</w:t>
            </w:r>
          </w:p>
        </w:tc>
        <w:tc>
          <w:tcPr>
            <w:tcW w:w="6011" w:type="dxa"/>
            <w:gridSpan w:val="2"/>
          </w:tcPr>
          <w:p w:rsidR="00507732" w:rsidRPr="00507732" w:rsidRDefault="00507732" w:rsidP="00507732">
            <w:pPr>
              <w:jc w:val="center"/>
              <w:rPr>
                <w:b/>
              </w:rPr>
            </w:pPr>
            <w:r w:rsidRPr="00507732">
              <w:rPr>
                <w:b/>
              </w:rPr>
              <w:t xml:space="preserve">Statistics </w:t>
            </w:r>
            <w:r w:rsidRPr="00507732">
              <w:rPr>
                <w:b/>
                <w:i/>
              </w:rPr>
              <w:t>r</w:t>
            </w:r>
            <w:r w:rsidRPr="00507732">
              <w:rPr>
                <w:b/>
              </w:rPr>
              <w:t xml:space="preserve">, </w:t>
            </w:r>
            <w:r w:rsidRPr="00507732">
              <w:rPr>
                <w:b/>
                <w:i/>
              </w:rPr>
              <w:t>p</w:t>
            </w:r>
          </w:p>
        </w:tc>
      </w:tr>
      <w:tr w:rsidR="00507732" w:rsidTr="006444A2">
        <w:tc>
          <w:tcPr>
            <w:tcW w:w="3005" w:type="dxa"/>
            <w:vMerge/>
          </w:tcPr>
          <w:p w:rsidR="00507732" w:rsidRDefault="00507732"/>
        </w:tc>
        <w:tc>
          <w:tcPr>
            <w:tcW w:w="3005" w:type="dxa"/>
          </w:tcPr>
          <w:p w:rsidR="00507732" w:rsidRPr="00507732" w:rsidRDefault="00507732" w:rsidP="00507732">
            <w:pPr>
              <w:jc w:val="center"/>
              <w:rPr>
                <w:b/>
                <w:i/>
              </w:rPr>
            </w:pPr>
            <w:r w:rsidRPr="00507732">
              <w:rPr>
                <w:b/>
                <w:i/>
              </w:rPr>
              <w:t>BD (n=48)</w:t>
            </w:r>
          </w:p>
        </w:tc>
        <w:tc>
          <w:tcPr>
            <w:tcW w:w="3006" w:type="dxa"/>
          </w:tcPr>
          <w:p w:rsidR="00507732" w:rsidRPr="00507732" w:rsidRDefault="00507732" w:rsidP="00507732">
            <w:pPr>
              <w:jc w:val="center"/>
              <w:rPr>
                <w:b/>
                <w:i/>
              </w:rPr>
            </w:pPr>
            <w:r w:rsidRPr="00507732">
              <w:rPr>
                <w:b/>
                <w:i/>
              </w:rPr>
              <w:t>SCZ (n=50)</w:t>
            </w:r>
          </w:p>
        </w:tc>
      </w:tr>
      <w:tr w:rsidR="00507732" w:rsidTr="006444A2">
        <w:tc>
          <w:tcPr>
            <w:tcW w:w="3005" w:type="dxa"/>
          </w:tcPr>
          <w:p w:rsidR="00507732" w:rsidRDefault="00D174F4">
            <w:r>
              <w:t>Age</w:t>
            </w:r>
          </w:p>
          <w:p w:rsidR="00D174F4" w:rsidRDefault="00D174F4">
            <w:r>
              <w:t>Sex</w:t>
            </w:r>
          </w:p>
          <w:p w:rsidR="00D174F4" w:rsidRDefault="00D174F4">
            <w:r>
              <w:t>Education</w:t>
            </w:r>
          </w:p>
          <w:p w:rsidR="00D174F4" w:rsidRDefault="00D174F4">
            <w:r>
              <w:t>Depression (BDI-II or QIDS-SR)</w:t>
            </w:r>
          </w:p>
          <w:p w:rsidR="00D174F4" w:rsidRDefault="00D174F4">
            <w:r>
              <w:t>Mania</w:t>
            </w:r>
            <w:r w:rsidR="00A2653B">
              <w:t xml:space="preserve"> (YMRS or ASRMS)</w:t>
            </w:r>
          </w:p>
        </w:tc>
        <w:tc>
          <w:tcPr>
            <w:tcW w:w="3005" w:type="dxa"/>
          </w:tcPr>
          <w:p w:rsidR="00507732" w:rsidRDefault="00961715" w:rsidP="00507732">
            <w:pPr>
              <w:jc w:val="center"/>
            </w:pPr>
            <w:r>
              <w:t>.157, .293</w:t>
            </w:r>
          </w:p>
          <w:p w:rsidR="00961715" w:rsidRDefault="00961715" w:rsidP="00507732">
            <w:pPr>
              <w:jc w:val="center"/>
            </w:pPr>
            <w:r>
              <w:t>-.108, .472</w:t>
            </w:r>
          </w:p>
          <w:p w:rsidR="00961715" w:rsidRDefault="00961715" w:rsidP="00507732">
            <w:pPr>
              <w:jc w:val="center"/>
            </w:pPr>
            <w:r>
              <w:t>-.299, .046</w:t>
            </w:r>
          </w:p>
          <w:p w:rsidR="00961715" w:rsidRPr="00961715" w:rsidRDefault="00961715" w:rsidP="00507732">
            <w:pPr>
              <w:jc w:val="center"/>
              <w:rPr>
                <w:b/>
              </w:rPr>
            </w:pPr>
            <w:r>
              <w:rPr>
                <w:b/>
              </w:rPr>
              <w:t>.401</w:t>
            </w:r>
            <w:r w:rsidRPr="00961715">
              <w:rPr>
                <w:b/>
              </w:rPr>
              <w:t>, .005</w:t>
            </w:r>
          </w:p>
          <w:p w:rsidR="00961715" w:rsidRPr="00A2653B" w:rsidRDefault="00A2653B" w:rsidP="00A2653B">
            <w:pPr>
              <w:jc w:val="center"/>
              <w:rPr>
                <w:b/>
              </w:rPr>
            </w:pPr>
            <w:r>
              <w:rPr>
                <w:b/>
              </w:rPr>
              <w:t>.445, .002</w:t>
            </w:r>
          </w:p>
        </w:tc>
        <w:tc>
          <w:tcPr>
            <w:tcW w:w="3006" w:type="dxa"/>
          </w:tcPr>
          <w:p w:rsidR="00507732" w:rsidRDefault="00B84587" w:rsidP="00507732">
            <w:pPr>
              <w:jc w:val="center"/>
            </w:pPr>
            <w:r>
              <w:t>.047, .750</w:t>
            </w:r>
          </w:p>
          <w:p w:rsidR="00B84587" w:rsidRDefault="00152E86" w:rsidP="00507732">
            <w:pPr>
              <w:jc w:val="center"/>
            </w:pPr>
            <w:r>
              <w:t>.183, .214</w:t>
            </w:r>
          </w:p>
          <w:p w:rsidR="00B84587" w:rsidRDefault="00B84587" w:rsidP="00507732">
            <w:pPr>
              <w:jc w:val="center"/>
            </w:pPr>
            <w:r>
              <w:t>-.183, .239</w:t>
            </w:r>
          </w:p>
          <w:p w:rsidR="00B84587" w:rsidRDefault="00B84587" w:rsidP="00507732">
            <w:pPr>
              <w:jc w:val="center"/>
            </w:pPr>
            <w:r>
              <w:t>.228, .123</w:t>
            </w:r>
          </w:p>
          <w:p w:rsidR="00B84587" w:rsidRPr="00A2653B" w:rsidRDefault="00152E86" w:rsidP="00A2653B">
            <w:pPr>
              <w:jc w:val="center"/>
            </w:pPr>
            <w:r>
              <w:t>.258, .080</w:t>
            </w:r>
          </w:p>
        </w:tc>
      </w:tr>
    </w:tbl>
    <w:p w:rsidR="00961715" w:rsidRDefault="00507732" w:rsidP="00961715">
      <w:pPr>
        <w:spacing w:after="0" w:line="240" w:lineRule="auto"/>
      </w:pPr>
      <w:r w:rsidRPr="00507732">
        <w:rPr>
          <w:i/>
        </w:rPr>
        <w:t>Note.</w:t>
      </w:r>
      <w:r>
        <w:t xml:space="preserve"> </w:t>
      </w:r>
      <w:bookmarkStart w:id="1" w:name="_Hlk111804976"/>
      <w:r w:rsidR="00CA4B1B" w:rsidRPr="00D174F4">
        <w:t>AVH=Auditory verbal hallucinations</w:t>
      </w:r>
      <w:bookmarkEnd w:id="1"/>
      <w:r w:rsidR="00CA4B1B">
        <w:t xml:space="preserve">; </w:t>
      </w:r>
      <w:r w:rsidR="00256DC2" w:rsidRPr="00D174F4">
        <w:t xml:space="preserve">PSYRATS= </w:t>
      </w:r>
      <w:r w:rsidR="00256DC2">
        <w:t>Psychotic Symptoms Rating Scale</w:t>
      </w:r>
      <w:r w:rsidR="00256DC2">
        <w:t xml:space="preserve">; </w:t>
      </w:r>
      <w:r>
        <w:t>BD=bipolar disorder; SCZ=schizophrenia</w:t>
      </w:r>
      <w:r w:rsidR="00D174F4" w:rsidRPr="00D174F4">
        <w:t>; BDI-II=Beck Depression Inventory; QIDS-SR=Quick Inventory of Depressive Symptomatology Self-Rated; YMRS=Young Mania Rating Scale; ASRMS=Altman Self-Rating</w:t>
      </w:r>
      <w:r w:rsidR="006444A2">
        <w:t xml:space="preserve"> Mania Scale</w:t>
      </w:r>
      <w:r>
        <w:t>. Pearson’s correlations presented for continuous variables and Spearman’s correlations presented for categorical variables.</w:t>
      </w:r>
      <w:r w:rsidR="00961715">
        <w:t xml:space="preserve"> Owing to multiple comparisons, a stringent </w:t>
      </w:r>
      <w:r w:rsidR="00961715">
        <w:rPr>
          <w:rFonts w:cstheme="minorHAnsi"/>
        </w:rPr>
        <w:t>α</w:t>
      </w:r>
      <w:r w:rsidR="00961715">
        <w:t>&lt;.01 was employed for detecting statistical significance.</w:t>
      </w:r>
    </w:p>
    <w:sectPr w:rsidR="009617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732"/>
    <w:rsid w:val="00152E86"/>
    <w:rsid w:val="00256DC2"/>
    <w:rsid w:val="00507732"/>
    <w:rsid w:val="005A313C"/>
    <w:rsid w:val="006444A2"/>
    <w:rsid w:val="00961715"/>
    <w:rsid w:val="00A2653B"/>
    <w:rsid w:val="00B84587"/>
    <w:rsid w:val="00C15239"/>
    <w:rsid w:val="00CA4B1B"/>
    <w:rsid w:val="00D1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3B82A"/>
  <w15:chartTrackingRefBased/>
  <w15:docId w15:val="{AB4C3311-1020-419C-9850-0F7CC8D9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77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Swinburne University of Techonology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Lin Toh</dc:creator>
  <cp:keywords/>
  <dc:description/>
  <cp:lastModifiedBy>Wei Lin Toh</cp:lastModifiedBy>
  <cp:revision>8</cp:revision>
  <dcterms:created xsi:type="dcterms:W3CDTF">2022-08-19T02:26:00Z</dcterms:created>
  <dcterms:modified xsi:type="dcterms:W3CDTF">2022-08-19T02:54:00Z</dcterms:modified>
</cp:coreProperties>
</file>