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86A8A" w14:textId="16C00436" w:rsidR="00715718" w:rsidRDefault="00715718" w:rsidP="00715718">
      <w:pPr>
        <w:spacing w:after="120" w:line="480" w:lineRule="auto"/>
      </w:pPr>
      <w:r>
        <w:t xml:space="preserve">Table </w:t>
      </w:r>
      <w:r w:rsidR="00177519">
        <w:t>B</w:t>
      </w:r>
    </w:p>
    <w:p w14:paraId="4CCC2026" w14:textId="426AFA5C" w:rsidR="00715718" w:rsidRPr="005A4A8B" w:rsidRDefault="00715718" w:rsidP="00715718">
      <w:pPr>
        <w:spacing w:after="120" w:line="480" w:lineRule="auto"/>
        <w:rPr>
          <w:i/>
        </w:rPr>
      </w:pPr>
      <w:r w:rsidRPr="005A4A8B">
        <w:rPr>
          <w:i/>
        </w:rPr>
        <w:t xml:space="preserve">Group-wise comparisons of </w:t>
      </w:r>
      <w:r w:rsidR="00177519">
        <w:rPr>
          <w:i/>
        </w:rPr>
        <w:t xml:space="preserve">BAVQ-R based on Strauss et al. (2018) revised factor </w:t>
      </w:r>
      <w:proofErr w:type="gramStart"/>
      <w:r w:rsidR="00177519">
        <w:rPr>
          <w:i/>
        </w:rPr>
        <w:t>structure</w:t>
      </w:r>
      <w:proofErr w:type="gramEnd"/>
    </w:p>
    <w:tbl>
      <w:tblPr>
        <w:tblStyle w:val="TableGrid"/>
        <w:tblW w:w="0" w:type="auto"/>
        <w:tblInd w:w="-147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418"/>
        <w:gridCol w:w="1417"/>
        <w:gridCol w:w="992"/>
        <w:gridCol w:w="1418"/>
        <w:gridCol w:w="957"/>
      </w:tblGrid>
      <w:tr w:rsidR="00715718" w14:paraId="0AB04034" w14:textId="77777777" w:rsidTr="00937406">
        <w:tc>
          <w:tcPr>
            <w:tcW w:w="3119" w:type="dxa"/>
          </w:tcPr>
          <w:p w14:paraId="4DFA40EC" w14:textId="77777777" w:rsidR="00715718" w:rsidRDefault="00715718" w:rsidP="00937406"/>
        </w:tc>
        <w:tc>
          <w:tcPr>
            <w:tcW w:w="2835" w:type="dxa"/>
            <w:gridSpan w:val="2"/>
          </w:tcPr>
          <w:p w14:paraId="149985E3" w14:textId="77777777" w:rsidR="00715718" w:rsidRDefault="00715718" w:rsidP="00937406">
            <w:pPr>
              <w:jc w:val="center"/>
              <w:rPr>
                <w:b/>
              </w:rPr>
            </w:pPr>
            <w:r w:rsidRPr="008E045E">
              <w:rPr>
                <w:b/>
              </w:rPr>
              <w:t xml:space="preserve">Means </w:t>
            </w:r>
            <w:r w:rsidRPr="008E045E">
              <w:rPr>
                <w:rFonts w:cstheme="minorHAnsi"/>
                <w:b/>
              </w:rPr>
              <w:t xml:space="preserve">± </w:t>
            </w:r>
            <w:r w:rsidRPr="008E045E">
              <w:rPr>
                <w:b/>
              </w:rPr>
              <w:t xml:space="preserve">standard deviations </w:t>
            </w:r>
          </w:p>
          <w:p w14:paraId="60B21B5F" w14:textId="77777777" w:rsidR="00715718" w:rsidRPr="008E045E" w:rsidRDefault="00715718" w:rsidP="00937406">
            <w:pPr>
              <w:jc w:val="center"/>
              <w:rPr>
                <w:b/>
              </w:rPr>
            </w:pPr>
            <w:r w:rsidRPr="008E045E">
              <w:rPr>
                <w:b/>
              </w:rPr>
              <w:t>or percentages</w:t>
            </w:r>
          </w:p>
        </w:tc>
        <w:tc>
          <w:tcPr>
            <w:tcW w:w="3367" w:type="dxa"/>
            <w:gridSpan w:val="3"/>
          </w:tcPr>
          <w:p w14:paraId="2BD0F769" w14:textId="77777777" w:rsidR="00715718" w:rsidRPr="008E045E" w:rsidRDefault="00715718" w:rsidP="00937406">
            <w:pPr>
              <w:jc w:val="center"/>
              <w:rPr>
                <w:b/>
              </w:rPr>
            </w:pPr>
            <w:r w:rsidRPr="008E045E">
              <w:rPr>
                <w:b/>
              </w:rPr>
              <w:t>Statistics</w:t>
            </w:r>
          </w:p>
        </w:tc>
      </w:tr>
      <w:tr w:rsidR="00715718" w14:paraId="6CFA4061" w14:textId="77777777" w:rsidTr="00937406">
        <w:tc>
          <w:tcPr>
            <w:tcW w:w="3119" w:type="dxa"/>
          </w:tcPr>
          <w:p w14:paraId="269BC231" w14:textId="77777777" w:rsidR="00715718" w:rsidRDefault="00715718" w:rsidP="00937406"/>
        </w:tc>
        <w:tc>
          <w:tcPr>
            <w:tcW w:w="1418" w:type="dxa"/>
          </w:tcPr>
          <w:p w14:paraId="4075873A" w14:textId="77777777" w:rsidR="00715718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 xml:space="preserve">BD </w:t>
            </w:r>
          </w:p>
          <w:p w14:paraId="77D18319" w14:textId="77777777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(n=48)</w:t>
            </w:r>
          </w:p>
        </w:tc>
        <w:tc>
          <w:tcPr>
            <w:tcW w:w="1417" w:type="dxa"/>
          </w:tcPr>
          <w:p w14:paraId="3B9F5DC7" w14:textId="77777777" w:rsidR="00715718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 xml:space="preserve">SCZ </w:t>
            </w:r>
          </w:p>
          <w:p w14:paraId="6BDD7355" w14:textId="77777777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(n=50)</w:t>
            </w:r>
          </w:p>
        </w:tc>
        <w:tc>
          <w:tcPr>
            <w:tcW w:w="992" w:type="dxa"/>
          </w:tcPr>
          <w:p w14:paraId="299E6E21" w14:textId="77777777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Test statistic</w:t>
            </w:r>
          </w:p>
        </w:tc>
        <w:tc>
          <w:tcPr>
            <w:tcW w:w="1418" w:type="dxa"/>
          </w:tcPr>
          <w:p w14:paraId="3DF3B158" w14:textId="77777777" w:rsidR="00715718" w:rsidRPr="008E045E" w:rsidRDefault="00715718" w:rsidP="0093740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Significance (p)</w:t>
            </w:r>
          </w:p>
        </w:tc>
        <w:tc>
          <w:tcPr>
            <w:tcW w:w="957" w:type="dxa"/>
          </w:tcPr>
          <w:p w14:paraId="48E75024" w14:textId="77777777" w:rsidR="00715718" w:rsidRPr="008E045E" w:rsidRDefault="00715718" w:rsidP="00937406">
            <w:pPr>
              <w:jc w:val="center"/>
              <w:rPr>
                <w:b/>
                <w:i/>
              </w:rPr>
            </w:pPr>
            <w:r w:rsidRPr="008E045E">
              <w:rPr>
                <w:b/>
                <w:i/>
              </w:rPr>
              <w:t>Effect size</w:t>
            </w:r>
          </w:p>
        </w:tc>
      </w:tr>
      <w:tr w:rsidR="00715718" w14:paraId="21F7D125" w14:textId="77777777" w:rsidTr="00937406">
        <w:tc>
          <w:tcPr>
            <w:tcW w:w="3119" w:type="dxa"/>
          </w:tcPr>
          <w:p w14:paraId="6AD3778F" w14:textId="77777777" w:rsidR="00715718" w:rsidRPr="00337C17" w:rsidRDefault="00715718" w:rsidP="00937406">
            <w:pPr>
              <w:rPr>
                <w:b/>
              </w:rPr>
            </w:pPr>
            <w:r>
              <w:rPr>
                <w:b/>
              </w:rPr>
              <w:t>Hallucinations (AVH)</w:t>
            </w:r>
          </w:p>
          <w:p w14:paraId="4D9E943F" w14:textId="77777777" w:rsidR="00715718" w:rsidRDefault="00715718" w:rsidP="00937406">
            <w:r>
              <w:t>Beliefs about voices (BAVQ-R)</w:t>
            </w:r>
          </w:p>
          <w:p w14:paraId="57AA12EC" w14:textId="55257CE4" w:rsidR="00715718" w:rsidRDefault="00715718" w:rsidP="00937406">
            <w:r>
              <w:t xml:space="preserve">   </w:t>
            </w:r>
            <w:r w:rsidR="00E178E1">
              <w:t>Persecutory</w:t>
            </w:r>
          </w:p>
          <w:p w14:paraId="756698C9" w14:textId="16BB9090" w:rsidR="00715718" w:rsidRDefault="00715718" w:rsidP="00937406">
            <w:r>
              <w:t xml:space="preserve">   Benevolence</w:t>
            </w:r>
          </w:p>
          <w:p w14:paraId="7C006096" w14:textId="77777777" w:rsidR="00715718" w:rsidRDefault="00715718" w:rsidP="00937406">
            <w:r>
              <w:t xml:space="preserve">   Engagement</w:t>
            </w:r>
          </w:p>
          <w:p w14:paraId="47A65B45" w14:textId="6DB4D2BA" w:rsidR="00715718" w:rsidRPr="00EF4949" w:rsidRDefault="00715718" w:rsidP="00937406">
            <w:r>
              <w:t xml:space="preserve">   Resistance</w:t>
            </w:r>
          </w:p>
        </w:tc>
        <w:tc>
          <w:tcPr>
            <w:tcW w:w="1418" w:type="dxa"/>
          </w:tcPr>
          <w:p w14:paraId="3B581E56" w14:textId="77777777" w:rsidR="00715718" w:rsidRDefault="00715718" w:rsidP="00937406">
            <w:pPr>
              <w:jc w:val="center"/>
            </w:pPr>
          </w:p>
          <w:p w14:paraId="3E90A927" w14:textId="74F503DB" w:rsidR="00715718" w:rsidRDefault="00177519" w:rsidP="00937406">
            <w:pPr>
              <w:jc w:val="center"/>
            </w:pPr>
            <w:r>
              <w:t>35</w:t>
            </w:r>
            <w:r w:rsidR="00715718">
              <w:t>.</w:t>
            </w:r>
            <w:r>
              <w:t>7</w:t>
            </w:r>
            <w:r w:rsidR="00715718">
              <w:rPr>
                <w:rFonts w:cstheme="minorHAnsi"/>
              </w:rPr>
              <w:t>±1</w:t>
            </w:r>
            <w:r>
              <w:rPr>
                <w:rFonts w:cstheme="minorHAnsi"/>
              </w:rPr>
              <w:t>3.8</w:t>
            </w:r>
          </w:p>
          <w:p w14:paraId="4EB603D3" w14:textId="2C4D9C46" w:rsidR="00715718" w:rsidRDefault="00177519" w:rsidP="00937406">
            <w:pPr>
              <w:jc w:val="center"/>
            </w:pPr>
            <w:r>
              <w:t>9.2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7.1</w:t>
            </w:r>
          </w:p>
          <w:p w14:paraId="37BD9A82" w14:textId="609EBE0E" w:rsidR="00715718" w:rsidRDefault="00177519" w:rsidP="00937406">
            <w:pPr>
              <w:jc w:val="center"/>
            </w:pPr>
            <w:r>
              <w:t>5.7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4.3</w:t>
            </w:r>
          </w:p>
          <w:p w14:paraId="640B0ABB" w14:textId="01570CBE" w:rsidR="00715718" w:rsidRDefault="00177519" w:rsidP="00937406">
            <w:pPr>
              <w:jc w:val="center"/>
            </w:pPr>
            <w:r>
              <w:rPr>
                <w:rFonts w:cstheme="minorHAnsi"/>
              </w:rPr>
              <w:t>6.0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5.1</w:t>
            </w:r>
          </w:p>
          <w:p w14:paraId="0F7A46F3" w14:textId="70B6778E" w:rsidR="00715718" w:rsidRDefault="00177519" w:rsidP="00E178E1">
            <w:pPr>
              <w:jc w:val="center"/>
            </w:pPr>
            <w:r>
              <w:t>14.8</w:t>
            </w:r>
            <w:r w:rsidR="00715718">
              <w:rPr>
                <w:rFonts w:cstheme="minorHAnsi"/>
              </w:rPr>
              <w:t>±7.7</w:t>
            </w:r>
          </w:p>
        </w:tc>
        <w:tc>
          <w:tcPr>
            <w:tcW w:w="1417" w:type="dxa"/>
          </w:tcPr>
          <w:p w14:paraId="31CC8244" w14:textId="77777777" w:rsidR="00715718" w:rsidRDefault="00715718" w:rsidP="00937406">
            <w:pPr>
              <w:jc w:val="center"/>
            </w:pPr>
          </w:p>
          <w:p w14:paraId="0DAE3316" w14:textId="3F2E04D4" w:rsidR="00715718" w:rsidRDefault="00177519" w:rsidP="00937406">
            <w:pPr>
              <w:jc w:val="center"/>
            </w:pPr>
            <w:r>
              <w:t>35.0</w:t>
            </w:r>
            <w:r w:rsidR="00715718">
              <w:rPr>
                <w:rFonts w:cstheme="minorHAnsi"/>
              </w:rPr>
              <w:t>±1</w:t>
            </w:r>
            <w:r>
              <w:rPr>
                <w:rFonts w:cstheme="minorHAnsi"/>
              </w:rPr>
              <w:t>5.2</w:t>
            </w:r>
          </w:p>
          <w:p w14:paraId="6EEA984C" w14:textId="748148A3" w:rsidR="00715718" w:rsidRDefault="00177519" w:rsidP="00937406">
            <w:pPr>
              <w:jc w:val="center"/>
            </w:pPr>
            <w:r>
              <w:t>9.1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7.2</w:t>
            </w:r>
          </w:p>
          <w:p w14:paraId="38E19C7D" w14:textId="79D2261D" w:rsidR="00715718" w:rsidRDefault="00177519" w:rsidP="00937406">
            <w:pPr>
              <w:jc w:val="center"/>
            </w:pPr>
            <w:r>
              <w:t>4.7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4.9</w:t>
            </w:r>
          </w:p>
          <w:p w14:paraId="3FAA2C34" w14:textId="11AB5B17" w:rsidR="00715718" w:rsidRDefault="00177519" w:rsidP="00937406">
            <w:pPr>
              <w:jc w:val="center"/>
            </w:pPr>
            <w:r>
              <w:t>5.5</w:t>
            </w:r>
            <w:r w:rsidR="00715718">
              <w:rPr>
                <w:rFonts w:cstheme="minorHAnsi"/>
              </w:rPr>
              <w:t>±</w:t>
            </w:r>
            <w:r>
              <w:rPr>
                <w:rFonts w:cstheme="minorHAnsi"/>
              </w:rPr>
              <w:t>5.3</w:t>
            </w:r>
          </w:p>
          <w:p w14:paraId="3442A02E" w14:textId="45D52F32" w:rsidR="00715718" w:rsidRDefault="00715718" w:rsidP="00E178E1">
            <w:pPr>
              <w:jc w:val="center"/>
            </w:pPr>
            <w:r>
              <w:t>14.</w:t>
            </w:r>
            <w:r w:rsidR="00177519">
              <w:t>8</w:t>
            </w:r>
            <w:r>
              <w:rPr>
                <w:rFonts w:cstheme="minorHAnsi"/>
              </w:rPr>
              <w:t>±7.</w:t>
            </w:r>
            <w:r w:rsidR="00177519">
              <w:rPr>
                <w:rFonts w:cstheme="minorHAnsi"/>
              </w:rPr>
              <w:t>5</w:t>
            </w:r>
          </w:p>
        </w:tc>
        <w:tc>
          <w:tcPr>
            <w:tcW w:w="992" w:type="dxa"/>
          </w:tcPr>
          <w:p w14:paraId="356BE23B" w14:textId="77777777" w:rsidR="00715718" w:rsidRDefault="00715718" w:rsidP="00937406">
            <w:pPr>
              <w:jc w:val="center"/>
            </w:pPr>
          </w:p>
          <w:p w14:paraId="06D2BA91" w14:textId="3F09A485" w:rsidR="00715718" w:rsidRDefault="00715718" w:rsidP="00937406">
            <w:pPr>
              <w:jc w:val="center"/>
            </w:pPr>
            <w:r w:rsidRPr="008B3B88">
              <w:rPr>
                <w:i/>
              </w:rPr>
              <w:t>F</w:t>
            </w:r>
            <w:r>
              <w:t>=</w:t>
            </w:r>
            <w:r w:rsidR="00177519">
              <w:t>0.06</w:t>
            </w:r>
          </w:p>
          <w:p w14:paraId="5D4C0AF1" w14:textId="7631F531" w:rsidR="00715718" w:rsidRDefault="00715718" w:rsidP="00937406">
            <w:pPr>
              <w:jc w:val="center"/>
            </w:pPr>
            <w:r w:rsidRPr="008B3B88">
              <w:rPr>
                <w:i/>
              </w:rPr>
              <w:t>F</w:t>
            </w:r>
            <w:r w:rsidR="009A0EAE">
              <w:t>&lt;</w:t>
            </w:r>
            <w:r>
              <w:t>0.0</w:t>
            </w:r>
            <w:r w:rsidR="009A0EAE">
              <w:t>1</w:t>
            </w:r>
          </w:p>
          <w:p w14:paraId="494C9737" w14:textId="339DA7FE" w:rsidR="00715718" w:rsidRDefault="00715718" w:rsidP="00937406">
            <w:pPr>
              <w:jc w:val="center"/>
            </w:pPr>
            <w:r w:rsidRPr="008B3B88">
              <w:rPr>
                <w:i/>
              </w:rPr>
              <w:t>F</w:t>
            </w:r>
            <w:r>
              <w:t>=1.</w:t>
            </w:r>
            <w:r w:rsidR="00177519">
              <w:t>2</w:t>
            </w:r>
          </w:p>
          <w:p w14:paraId="57D9D18F" w14:textId="0E0C1A79" w:rsidR="00715718" w:rsidRDefault="00715718" w:rsidP="00937406">
            <w:pPr>
              <w:jc w:val="center"/>
            </w:pPr>
            <w:r w:rsidRPr="008B3B88">
              <w:rPr>
                <w:i/>
              </w:rPr>
              <w:t>F</w:t>
            </w:r>
            <w:r>
              <w:t>=0.</w:t>
            </w:r>
            <w:r w:rsidR="00177519">
              <w:t>2</w:t>
            </w:r>
          </w:p>
          <w:p w14:paraId="55E1942E" w14:textId="710E47EF" w:rsidR="00715718" w:rsidRDefault="00715718" w:rsidP="00E178E1">
            <w:pPr>
              <w:jc w:val="center"/>
            </w:pPr>
            <w:r w:rsidRPr="008B3B88">
              <w:rPr>
                <w:i/>
              </w:rPr>
              <w:t>F</w:t>
            </w:r>
            <w:r w:rsidR="00177519">
              <w:t>&lt;</w:t>
            </w:r>
            <w:r>
              <w:t>0</w:t>
            </w:r>
            <w:r w:rsidR="00177519">
              <w:t>.0</w:t>
            </w:r>
            <w:r w:rsidR="009A0EAE">
              <w:t>1</w:t>
            </w:r>
          </w:p>
        </w:tc>
        <w:tc>
          <w:tcPr>
            <w:tcW w:w="1418" w:type="dxa"/>
          </w:tcPr>
          <w:p w14:paraId="7AB55206" w14:textId="77777777" w:rsidR="00715718" w:rsidRDefault="00715718" w:rsidP="00937406">
            <w:pPr>
              <w:jc w:val="center"/>
            </w:pPr>
          </w:p>
          <w:p w14:paraId="1918BA33" w14:textId="3527F0B1" w:rsidR="00715718" w:rsidRDefault="00715718" w:rsidP="00937406">
            <w:pPr>
              <w:jc w:val="center"/>
            </w:pPr>
            <w:r>
              <w:t>.</w:t>
            </w:r>
            <w:r w:rsidR="00177519">
              <w:t>805</w:t>
            </w:r>
          </w:p>
          <w:p w14:paraId="64AC007B" w14:textId="4EF561D7" w:rsidR="00715718" w:rsidRDefault="00715718" w:rsidP="00937406">
            <w:pPr>
              <w:jc w:val="center"/>
            </w:pPr>
            <w:r>
              <w:t>.</w:t>
            </w:r>
            <w:r w:rsidR="00177519">
              <w:t>949</w:t>
            </w:r>
          </w:p>
          <w:p w14:paraId="359B533D" w14:textId="3FD26982" w:rsidR="00715718" w:rsidRDefault="00715718" w:rsidP="00937406">
            <w:pPr>
              <w:jc w:val="center"/>
            </w:pPr>
            <w:r>
              <w:t>.2</w:t>
            </w:r>
            <w:r w:rsidR="00177519">
              <w:t>79</w:t>
            </w:r>
          </w:p>
          <w:p w14:paraId="649A9273" w14:textId="41A1AD01" w:rsidR="00715718" w:rsidRDefault="00715718" w:rsidP="00937406">
            <w:pPr>
              <w:jc w:val="center"/>
            </w:pPr>
            <w:r>
              <w:t>.</w:t>
            </w:r>
            <w:r w:rsidR="00177519">
              <w:t>659</w:t>
            </w:r>
          </w:p>
          <w:p w14:paraId="24A537AE" w14:textId="25932013" w:rsidR="00715718" w:rsidRDefault="00715718" w:rsidP="00E178E1">
            <w:pPr>
              <w:jc w:val="center"/>
            </w:pPr>
            <w:r>
              <w:t>.</w:t>
            </w:r>
            <w:r w:rsidR="00177519">
              <w:t>996</w:t>
            </w:r>
          </w:p>
        </w:tc>
        <w:tc>
          <w:tcPr>
            <w:tcW w:w="957" w:type="dxa"/>
          </w:tcPr>
          <w:p w14:paraId="704854E3" w14:textId="77777777" w:rsidR="00715718" w:rsidRDefault="00715718" w:rsidP="00937406">
            <w:pPr>
              <w:jc w:val="center"/>
            </w:pPr>
          </w:p>
          <w:p w14:paraId="21ED7BDB" w14:textId="2491E6B2" w:rsidR="00715718" w:rsidRDefault="00715718" w:rsidP="00937406">
            <w:pPr>
              <w:jc w:val="center"/>
            </w:pPr>
            <w:r>
              <w:rPr>
                <w:rFonts w:cstheme="minorHAnsi"/>
              </w:rPr>
              <w:t>η</w:t>
            </w:r>
            <w:r w:rsidRPr="008B3B88">
              <w:rPr>
                <w:vertAlign w:val="superscript"/>
              </w:rPr>
              <w:t>2</w:t>
            </w:r>
            <w:r>
              <w:t>=.0</w:t>
            </w:r>
            <w:r w:rsidR="00177519">
              <w:t>01</w:t>
            </w:r>
          </w:p>
          <w:p w14:paraId="2EB54FE9" w14:textId="77777777" w:rsidR="00715718" w:rsidRDefault="00715718" w:rsidP="00937406">
            <w:pPr>
              <w:jc w:val="center"/>
            </w:pPr>
            <w:r>
              <w:rPr>
                <w:rFonts w:cstheme="minorHAnsi"/>
              </w:rPr>
              <w:t>η</w:t>
            </w:r>
            <w:r w:rsidRPr="008B3B88">
              <w:rPr>
                <w:vertAlign w:val="superscript"/>
              </w:rPr>
              <w:t>2</w:t>
            </w:r>
            <w:r>
              <w:t>&lt;.001</w:t>
            </w:r>
          </w:p>
          <w:p w14:paraId="7CC75ED4" w14:textId="1E815BA7" w:rsidR="00715718" w:rsidRDefault="00715718" w:rsidP="00937406">
            <w:pPr>
              <w:jc w:val="center"/>
            </w:pPr>
            <w:r>
              <w:rPr>
                <w:rFonts w:cstheme="minorHAnsi"/>
              </w:rPr>
              <w:t>η</w:t>
            </w:r>
            <w:r w:rsidRPr="008B3B88">
              <w:rPr>
                <w:vertAlign w:val="superscript"/>
              </w:rPr>
              <w:t>2</w:t>
            </w:r>
            <w:r>
              <w:t>=.01</w:t>
            </w:r>
            <w:r w:rsidR="009A0EAE">
              <w:t>2</w:t>
            </w:r>
          </w:p>
          <w:p w14:paraId="6AADD347" w14:textId="2DFB2E99" w:rsidR="00715718" w:rsidRDefault="00715718" w:rsidP="00937406">
            <w:pPr>
              <w:jc w:val="center"/>
            </w:pPr>
            <w:r>
              <w:rPr>
                <w:rFonts w:cstheme="minorHAnsi"/>
              </w:rPr>
              <w:t>η</w:t>
            </w:r>
            <w:r w:rsidRPr="008B3B88">
              <w:rPr>
                <w:vertAlign w:val="superscript"/>
              </w:rPr>
              <w:t>2</w:t>
            </w:r>
            <w:r>
              <w:t>=.0</w:t>
            </w:r>
            <w:r w:rsidR="009A0EAE">
              <w:t>02</w:t>
            </w:r>
          </w:p>
          <w:p w14:paraId="4AA7C9DC" w14:textId="218064AE" w:rsidR="00715718" w:rsidRDefault="00715718" w:rsidP="00E178E1">
            <w:pPr>
              <w:jc w:val="center"/>
            </w:pPr>
            <w:r>
              <w:rPr>
                <w:rFonts w:cstheme="minorHAnsi"/>
              </w:rPr>
              <w:t>η</w:t>
            </w:r>
            <w:r w:rsidRPr="008B3B88">
              <w:rPr>
                <w:vertAlign w:val="superscript"/>
              </w:rPr>
              <w:t>2</w:t>
            </w:r>
            <w:r w:rsidR="009A0EAE">
              <w:t>&lt;</w:t>
            </w:r>
            <w:r>
              <w:t>.001</w:t>
            </w:r>
          </w:p>
        </w:tc>
      </w:tr>
    </w:tbl>
    <w:p w14:paraId="3B1F3236" w14:textId="2E89132F" w:rsidR="00715718" w:rsidRDefault="00715718" w:rsidP="00715718">
      <w:pPr>
        <w:spacing w:after="0" w:line="240" w:lineRule="auto"/>
      </w:pPr>
      <w:r w:rsidRPr="00A0343C">
        <w:rPr>
          <w:i/>
        </w:rPr>
        <w:t xml:space="preserve">Note. </w:t>
      </w:r>
      <w:bookmarkStart w:id="0" w:name="_Hlk111804629"/>
      <w:r>
        <w:t>AVH=Auditory verbal hallucinations; BD=bipolar disorder; SCZ=schizophrenia</w:t>
      </w:r>
      <w:bookmarkEnd w:id="0"/>
      <w:r w:rsidR="00E178E1">
        <w:t xml:space="preserve">; </w:t>
      </w:r>
      <w:r>
        <w:t>BAVQ-R Beliefs about Voices Questionnaire-Revised</w:t>
      </w:r>
      <w:r>
        <w:rPr>
          <w:rStyle w:val="Hyperlink"/>
          <w:rFonts w:cstheme="minorHAnsi"/>
          <w:iCs/>
          <w:color w:val="auto"/>
          <w:u w:val="none"/>
        </w:rPr>
        <w:t>.</w:t>
      </w:r>
    </w:p>
    <w:sectPr w:rsidR="00715718" w:rsidSect="00C269E3">
      <w:pgSz w:w="11906" w:h="16838"/>
      <w:pgMar w:top="1247" w:right="1361" w:bottom="1247" w:left="136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9E3"/>
    <w:rsid w:val="00177519"/>
    <w:rsid w:val="00546D0E"/>
    <w:rsid w:val="007136C6"/>
    <w:rsid w:val="00715718"/>
    <w:rsid w:val="007D58AB"/>
    <w:rsid w:val="009419F4"/>
    <w:rsid w:val="009A0EAE"/>
    <w:rsid w:val="00C269E3"/>
    <w:rsid w:val="00C626D7"/>
    <w:rsid w:val="00DD3322"/>
    <w:rsid w:val="00DE5B69"/>
    <w:rsid w:val="00E1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40039"/>
  <w15:chartTrackingRefBased/>
  <w15:docId w15:val="{18339981-440C-45A1-969F-69873341D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69E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26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Swinburne University of Techonology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Lin Toh</dc:creator>
  <cp:keywords/>
  <dc:description/>
  <cp:lastModifiedBy>Wei Lin Toh</cp:lastModifiedBy>
  <cp:revision>4</cp:revision>
  <dcterms:created xsi:type="dcterms:W3CDTF">2023-05-19T04:00:00Z</dcterms:created>
  <dcterms:modified xsi:type="dcterms:W3CDTF">2023-05-19T04:13:00Z</dcterms:modified>
</cp:coreProperties>
</file>