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B0639" w14:textId="0CB6B744" w:rsidR="001305B1" w:rsidRDefault="001305B1" w:rsidP="001305B1">
      <w:pPr>
        <w:pStyle w:val="Titre2"/>
        <w:numPr>
          <w:ilvl w:val="0"/>
          <w:numId w:val="0"/>
        </w:numPr>
        <w:jc w:val="center"/>
      </w:pPr>
      <w:r>
        <w:t>Supplementary material for “</w:t>
      </w:r>
      <w:r w:rsidR="005D0A75">
        <w:t xml:space="preserve">Rethinking the cognitive mechanisms </w:t>
      </w:r>
      <w:r w:rsidR="00722119">
        <w:t>underlying pantomime of tool use: evidence from Alzheimer’s disease and semantic dementia</w:t>
      </w:r>
      <w:r>
        <w:t>”</w:t>
      </w:r>
    </w:p>
    <w:p w14:paraId="3BD10838" w14:textId="77777777" w:rsidR="00F3794E" w:rsidRDefault="00F3794E" w:rsidP="00F3794E"/>
    <w:p w14:paraId="7227EAE5" w14:textId="777A5AA3" w:rsidR="00F3794E" w:rsidRPr="005E2F35" w:rsidRDefault="00F3794E" w:rsidP="00F3794E">
      <w:pPr>
        <w:ind w:firstLine="708"/>
        <w:rPr>
          <w:rFonts w:cs="Times New Roman"/>
          <w:lang w:val="en-US"/>
        </w:rPr>
      </w:pPr>
      <w:r>
        <w:rPr>
          <w:rFonts w:cs="Times New Roman"/>
          <w:lang w:val="en-US"/>
        </w:rPr>
        <w:t xml:space="preserve">To validate our method, 71 control participants took part in the four different tasks described above. Then, we matched our 30 AD patients with 30 new control subjects who were not part of the </w:t>
      </w:r>
      <w:proofErr w:type="gramStart"/>
      <w:r>
        <w:rPr>
          <w:rFonts w:cs="Times New Roman"/>
          <w:lang w:val="en-US"/>
        </w:rPr>
        <w:t>71 abovementioned</w:t>
      </w:r>
      <w:proofErr w:type="gramEnd"/>
      <w:r>
        <w:rPr>
          <w:rFonts w:cs="Times New Roman"/>
          <w:lang w:val="en-US"/>
        </w:rPr>
        <w:t xml:space="preserve"> participants. T</w:t>
      </w:r>
      <w:r w:rsidRPr="001C3AE7">
        <w:rPr>
          <w:rFonts w:cs="Times New Roman"/>
          <w:lang w:val="en-US"/>
        </w:rPr>
        <w:t xml:space="preserve">he distribution of scores of PTU is displayed in </w:t>
      </w:r>
      <w:r w:rsidRPr="001C3AE7">
        <w:rPr>
          <w:rFonts w:cs="Times New Roman"/>
          <w:b/>
          <w:lang w:val="en-US"/>
        </w:rPr>
        <w:t>Fig.1</w:t>
      </w:r>
      <w:r w:rsidRPr="001C3AE7">
        <w:rPr>
          <w:rFonts w:cs="Times New Roman"/>
          <w:lang w:val="en-US"/>
        </w:rPr>
        <w:t xml:space="preserve">. An accuracy-based scoring system </w:t>
      </w:r>
      <w:r w:rsidRPr="001C3AE7">
        <w:rPr>
          <w:rFonts w:cs="Times New Roman"/>
          <w:lang w:val="en-US"/>
        </w:rPr>
        <w:fldChar w:fldCharType="begin" w:fldLock="1"/>
      </w:r>
      <w:r w:rsidRPr="001C3AE7">
        <w:rPr>
          <w:rFonts w:cs="Times New Roman"/>
          <w:lang w:val="en-US"/>
        </w:rPr>
        <w:instrText>ADDIN CSL_CITATION { "citationItems" : [ { "id" : "ITEM-1", "itemData" : { "DOI" : "10.1016/j.cortex.2013.02.011", "ISSN" : "00109452", "PMID" : "23537602", "abstract" : "Various distinct cognitive processes such as semantic memory, executive planning or technical reasoning have been shown to support tool use. The aim of this study is to investigate the relationship between these processes. To do so, a large apraxia battery was submitted to 16 patients with left brain-damage (LBD) and aphasia and 19 healthy controls. The battery included: classical apraxia tests (Pantomime of Tool Use and Single Tool Use), familiar and novel tool use tests (Tool-Object Pairs and Sequential Mechanical Problem-Solving), semantic memory tests (Recognition of tool utilization gestures and Functional and Categorical Associations) as well as the Tower Of London. The Sequential Mechanical Problem-Solving task is a new task which permits the evaluation of pre-planning in unusual tool use situations. In this task as well as in the Tool-Object Pairs task, participants solved a tool use problem in a Choice and a No-Choice condition to examine the effect of tool selection. Globally, left brain damaged patients were impaired as compared to controls. We found high correlations in left brain damaged patients between performances on classical apraxia tests, familiar and novel tool use tests and Functional and Categorical Associations but no significant association between these performances and Tower Of London or Recognition of tool utilization gestures. Furthermore, the two conditions (Choice and No-Choice) of Tool-Object Pairs and Sequential Mechanical Problem-Solving were associated. In sum, all tasks involving tool use are strongly associated in LBD patients. Moreover, the ability to solve sequential mechanical problems does not depend on executive planning. Also, tool use appears to be associated with knowledge about object function but not with knowledge about tool manipulation. Taken together, these findings indicate that technical reasoning and, to a lesser extent, semantic memory may both play an important role in tool use. \u00a9 2013 Elsevier Ltd.", "author" : [ { "dropping-particle" : "", "family" : "Jarry", "given" : "Christophe", "non-dropping-particle" : "", "parse-names" : false, "suffix" : "" }, { "dropping-particle" : "", "family" : "Osiurak", "given" : "Fran\u00e7ois", "non-dropping-particle" : "", "parse-names" : false, "suffix" : "" }, { "dropping-particle" : "", "family" : "Delafuys", "given" : "David", "non-dropping-particle" : "", "parse-names" : false, "suffix" : "" }, { "dropping-particle" : "", "family" : "Chauvir\u00e9", "given" : "Val\u00e9rie", "non-dropping-particle" : "", "parse-names" : false, "suffix" : "" }, { "dropping-particle" : "", "family" : "Etcharry-Bouyx", "given" : "Fr\u00e9d\u00e9rique", "non-dropping-particle" : "", "parse-names" : false, "suffix" : "" }, { "dropping-particle" : "", "family" : "Gall", "given" : "Didier", "non-dropping-particle" : "Le", "parse-names" : false, "suffix" : "" } ], "container-title" : "Cortex", "id" : "ITEM-1", "issue" : "9", "issued" : { "date-parts" : [ [ "2013" ] ] }, "page" : "2322-2333", "title" : "Apraxia of tool use: More evidence for the technical reasoning hypothesis", "type" : "article-journal", "volume" : "49" }, "uris" : [ "http://www.mendeley.com/documents/?uuid=c5f93c67-2d56-44e3-82f3-cae18060c4ce" ] } ], "mendeley" : { "formattedCitation" : "(Jarry et al., 2013)", "plainTextFormattedCitation" : "(Jarry et al., 2013)", "previouslyFormattedCitation" : "(Jarry et al., 2013)" }, "properties" : { "noteIndex" : 0 }, "schema" : "https://github.com/citation-style-language/schema/raw/master/csl-citation.json" }</w:instrText>
      </w:r>
      <w:r w:rsidRPr="001C3AE7">
        <w:rPr>
          <w:rFonts w:cs="Times New Roman"/>
          <w:lang w:val="en-US"/>
        </w:rPr>
        <w:fldChar w:fldCharType="separate"/>
      </w:r>
      <w:r w:rsidRPr="001C3AE7">
        <w:rPr>
          <w:rFonts w:cs="Times New Roman"/>
          <w:noProof/>
          <w:lang w:val="en-US"/>
        </w:rPr>
        <w:t>(Jarry et al., 2013)</w:t>
      </w:r>
      <w:r w:rsidRPr="001C3AE7">
        <w:rPr>
          <w:rFonts w:cs="Times New Roman"/>
          <w:lang w:val="en-US"/>
        </w:rPr>
        <w:fldChar w:fldCharType="end"/>
      </w:r>
      <w:r w:rsidRPr="001C3AE7">
        <w:rPr>
          <w:rFonts w:cs="Times New Roman"/>
          <w:lang w:val="en-US"/>
        </w:rPr>
        <w:t xml:space="preserve"> gave strong ceiling effect and the scores were obviously not normally distributed</w:t>
      </w:r>
      <w:r>
        <w:rPr>
          <w:rFonts w:cs="Times New Roman"/>
          <w:lang w:val="en-US"/>
        </w:rPr>
        <w:t>, whether for the 71 control participants or for the 30 control participants</w:t>
      </w:r>
      <w:r w:rsidRPr="001C3AE7">
        <w:rPr>
          <w:rFonts w:cs="Times New Roman"/>
          <w:lang w:val="en-US"/>
        </w:rPr>
        <w:t xml:space="preserve"> (</w:t>
      </w:r>
      <w:r w:rsidRPr="008E0218">
        <w:rPr>
          <w:rFonts w:cs="Times New Roman"/>
          <w:i/>
          <w:lang w:val="en-US"/>
        </w:rPr>
        <w:t>W</w:t>
      </w:r>
      <w:r>
        <w:rPr>
          <w:rFonts w:cs="Times New Roman"/>
          <w:lang w:val="en-US"/>
        </w:rPr>
        <w:t xml:space="preserve"> = .92, </w:t>
      </w:r>
      <w:r w:rsidRPr="008E0218">
        <w:rPr>
          <w:rFonts w:cs="Times New Roman"/>
          <w:i/>
          <w:lang w:val="en-US"/>
        </w:rPr>
        <w:t>p</w:t>
      </w:r>
      <w:r>
        <w:rPr>
          <w:rFonts w:cs="Times New Roman"/>
          <w:lang w:val="en-US"/>
        </w:rPr>
        <w:t xml:space="preserve">&lt; .001 and </w:t>
      </w:r>
      <w:r w:rsidRPr="001C3AE7">
        <w:rPr>
          <w:rFonts w:cs="Times New Roman"/>
          <w:i/>
          <w:lang w:val="en-US"/>
        </w:rPr>
        <w:t>W</w:t>
      </w:r>
      <w:r w:rsidRPr="001C3AE7">
        <w:rPr>
          <w:rFonts w:cs="Times New Roman"/>
          <w:lang w:val="en-US"/>
        </w:rPr>
        <w:t xml:space="preserve"> = .90, </w:t>
      </w:r>
      <w:r w:rsidRPr="001C3AE7">
        <w:rPr>
          <w:rFonts w:cs="Times New Roman"/>
          <w:i/>
          <w:lang w:val="en-US"/>
        </w:rPr>
        <w:t>p</w:t>
      </w:r>
      <w:r w:rsidRPr="001C3AE7">
        <w:rPr>
          <w:rFonts w:cs="Times New Roman"/>
          <w:lang w:val="en-US"/>
        </w:rPr>
        <w:t>&lt; .05,</w:t>
      </w:r>
      <w:r>
        <w:rPr>
          <w:rFonts w:cs="Times New Roman"/>
          <w:lang w:val="en-US"/>
        </w:rPr>
        <w:t xml:space="preserve"> respectively; </w:t>
      </w:r>
      <w:r w:rsidRPr="001C3AE7">
        <w:rPr>
          <w:rFonts w:cs="Times New Roman"/>
          <w:b/>
          <w:lang w:val="en-US"/>
        </w:rPr>
        <w:t>Fig.1a</w:t>
      </w:r>
      <w:r w:rsidRPr="001C3AE7">
        <w:rPr>
          <w:rFonts w:cs="Times New Roman"/>
          <w:lang w:val="en-US"/>
        </w:rPr>
        <w:t>). After transformation of the data, scores were normally distributed</w:t>
      </w:r>
      <w:r>
        <w:rPr>
          <w:rFonts w:cs="Times New Roman"/>
          <w:lang w:val="en-US"/>
        </w:rPr>
        <w:t xml:space="preserve"> in both groups</w:t>
      </w:r>
      <w:r w:rsidRPr="001C3AE7">
        <w:rPr>
          <w:rFonts w:cs="Times New Roman"/>
          <w:lang w:val="en-US"/>
        </w:rPr>
        <w:t xml:space="preserve"> (</w:t>
      </w:r>
      <w:r w:rsidRPr="008E0218">
        <w:rPr>
          <w:rFonts w:cs="Times New Roman"/>
          <w:i/>
          <w:lang w:val="en-US"/>
        </w:rPr>
        <w:t>W</w:t>
      </w:r>
      <w:r>
        <w:rPr>
          <w:rFonts w:cs="Times New Roman"/>
          <w:lang w:val="en-US"/>
        </w:rPr>
        <w:t xml:space="preserve"> = .98, </w:t>
      </w:r>
      <w:r w:rsidRPr="008E0218">
        <w:rPr>
          <w:rFonts w:cs="Times New Roman"/>
          <w:i/>
          <w:lang w:val="en-US"/>
        </w:rPr>
        <w:t>p</w:t>
      </w:r>
      <w:r>
        <w:rPr>
          <w:rFonts w:cs="Times New Roman"/>
          <w:lang w:val="en-US"/>
        </w:rPr>
        <w:t xml:space="preserve"> = .30 and </w:t>
      </w:r>
      <w:r w:rsidRPr="001C3AE7">
        <w:rPr>
          <w:rFonts w:cs="Times New Roman"/>
          <w:i/>
          <w:lang w:val="en-US"/>
        </w:rPr>
        <w:t>W</w:t>
      </w:r>
      <w:r w:rsidRPr="001C3AE7">
        <w:rPr>
          <w:rFonts w:cs="Times New Roman"/>
          <w:lang w:val="en-US"/>
        </w:rPr>
        <w:t xml:space="preserve"> = .97, </w:t>
      </w:r>
      <w:r w:rsidRPr="001C3AE7">
        <w:rPr>
          <w:rFonts w:cs="Times New Roman"/>
          <w:i/>
          <w:lang w:val="en-US"/>
        </w:rPr>
        <w:t>p</w:t>
      </w:r>
      <w:r w:rsidRPr="001C3AE7">
        <w:rPr>
          <w:rFonts w:cs="Times New Roman"/>
          <w:lang w:val="en-US"/>
        </w:rPr>
        <w:t xml:space="preserve"> = .49</w:t>
      </w:r>
      <w:r>
        <w:rPr>
          <w:rFonts w:cs="Times New Roman"/>
          <w:lang w:val="en-US"/>
        </w:rPr>
        <w:t>;</w:t>
      </w:r>
      <w:r w:rsidRPr="001C3AE7">
        <w:rPr>
          <w:rFonts w:cs="Times New Roman"/>
          <w:lang w:val="en-US"/>
        </w:rPr>
        <w:t xml:space="preserve"> </w:t>
      </w:r>
      <w:r w:rsidRPr="001C3AE7">
        <w:rPr>
          <w:rFonts w:cs="Times New Roman"/>
          <w:b/>
          <w:lang w:val="en-US"/>
        </w:rPr>
        <w:t>Fig.1b</w:t>
      </w:r>
      <w:r w:rsidRPr="001C3AE7">
        <w:rPr>
          <w:rFonts w:cs="Times New Roman"/>
          <w:lang w:val="en-US"/>
        </w:rPr>
        <w:t xml:space="preserve">). </w:t>
      </w:r>
      <w:r>
        <w:rPr>
          <w:rFonts w:cs="Times New Roman"/>
          <w:lang w:val="en-US"/>
        </w:rPr>
        <w:t>Moreover, a Kolmogorov-Smirnov test showed that these two samples were not different from each other, suggesting that they came from the same distribution (</w:t>
      </w:r>
      <w:r>
        <w:rPr>
          <w:rFonts w:cs="Times New Roman"/>
          <w:i/>
          <w:lang w:val="en-US"/>
        </w:rPr>
        <w:t>D</w:t>
      </w:r>
      <w:r>
        <w:rPr>
          <w:rFonts w:cs="Times New Roman"/>
          <w:lang w:val="en-US"/>
        </w:rPr>
        <w:t xml:space="preserve"> = .16, </w:t>
      </w:r>
      <w:r>
        <w:rPr>
          <w:rFonts w:cs="Times New Roman"/>
          <w:i/>
          <w:lang w:val="en-US"/>
        </w:rPr>
        <w:t>p</w:t>
      </w:r>
      <w:r>
        <w:rPr>
          <w:rFonts w:cs="Times New Roman"/>
          <w:lang w:val="en-US"/>
        </w:rPr>
        <w:t xml:space="preserve"> = .65). This data transformation showed similar results concerning MPS, RTM and FM tasks.</w:t>
      </w:r>
    </w:p>
    <w:p w14:paraId="5D352C66" w14:textId="1372E341" w:rsidR="00F3794E" w:rsidRDefault="00F3794E" w:rsidP="00F3794E">
      <w:pPr>
        <w:ind w:firstLine="0"/>
      </w:pPr>
      <w:r>
        <w:rPr>
          <w:noProof/>
          <w:lang w:eastAsia="fr-FR"/>
        </w:rPr>
        <w:drawing>
          <wp:inline distT="0" distB="0" distL="0" distR="0" wp14:anchorId="3984EC2C" wp14:editId="3B6534FB">
            <wp:extent cx="5726174" cy="3016800"/>
            <wp:effectExtent l="0" t="0" r="0" b="6350"/>
            <wp:docPr id="11" name="Image 11" descr="Macintosh HD:Users:mathieulesourd:Desktop:Graphique Normalisation:Figure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mathieulesourd:Desktop:Graphique Normalisation:Figure 1.jpeg"/>
                    <pic:cNvPicPr>
                      <a:picLocks noChangeAspect="1" noChangeArrowheads="1"/>
                    </pic:cNvPicPr>
                  </pic:nvPicPr>
                  <pic:blipFill rotWithShape="1">
                    <a:blip r:embed="rId8">
                      <a:extLst>
                        <a:ext uri="{28A0092B-C50C-407E-A947-70E740481C1C}">
                          <a14:useLocalDpi xmlns:a14="http://schemas.microsoft.com/office/drawing/2010/main" val="0"/>
                        </a:ext>
                      </a:extLst>
                    </a:blip>
                    <a:srcRect t="1" b="29798"/>
                    <a:stretch/>
                  </pic:blipFill>
                  <pic:spPr bwMode="auto">
                    <a:xfrm>
                      <a:off x="0" y="0"/>
                      <a:ext cx="5746115" cy="3027306"/>
                    </a:xfrm>
                    <a:prstGeom prst="rect">
                      <a:avLst/>
                    </a:prstGeom>
                    <a:noFill/>
                    <a:ln>
                      <a:noFill/>
                    </a:ln>
                    <a:extLst>
                      <a:ext uri="{53640926-AAD7-44d8-BBD7-CCE9431645EC}">
                        <a14:shadowObscured xmlns:a14="http://schemas.microsoft.com/office/drawing/2010/main"/>
                      </a:ext>
                    </a:extLst>
                  </pic:spPr>
                </pic:pic>
              </a:graphicData>
            </a:graphic>
          </wp:inline>
        </w:drawing>
      </w:r>
    </w:p>
    <w:p w14:paraId="50410EB8" w14:textId="760BCD40" w:rsidR="00F3794E" w:rsidRDefault="00F3794E" w:rsidP="00F3794E">
      <w:pPr>
        <w:spacing w:line="360" w:lineRule="auto"/>
        <w:ind w:firstLine="0"/>
        <w:rPr>
          <w:rFonts w:cs="Times New Roman"/>
          <w:lang w:val="en-US"/>
        </w:rPr>
      </w:pPr>
      <w:r w:rsidRPr="00877CBE">
        <w:rPr>
          <w:rFonts w:cs="Times New Roman"/>
          <w:b/>
          <w:lang w:val="en-US"/>
        </w:rPr>
        <w:lastRenderedPageBreak/>
        <w:t>Figure 1.</w:t>
      </w:r>
      <w:r>
        <w:rPr>
          <w:rFonts w:cs="Times New Roman"/>
          <w:b/>
          <w:lang w:val="en-US"/>
        </w:rPr>
        <w:t xml:space="preserve"> </w:t>
      </w:r>
      <w:r w:rsidRPr="00AB5760">
        <w:rPr>
          <w:rFonts w:cs="Times New Roman"/>
          <w:lang w:val="en-US"/>
        </w:rPr>
        <w:t xml:space="preserve">Frequency distribution of scores for </w:t>
      </w:r>
      <w:r>
        <w:rPr>
          <w:rFonts w:cs="Times New Roman"/>
          <w:lang w:val="en-US"/>
        </w:rPr>
        <w:t>the Pantomime of tool use</w:t>
      </w:r>
      <w:r w:rsidRPr="00AB5760">
        <w:rPr>
          <w:rFonts w:cs="Times New Roman"/>
          <w:lang w:val="en-US"/>
        </w:rPr>
        <w:t xml:space="preserve"> task </w:t>
      </w:r>
      <w:r>
        <w:rPr>
          <w:rFonts w:cs="Times New Roman"/>
          <w:lang w:val="en-US"/>
        </w:rPr>
        <w:t>(PTU</w:t>
      </w:r>
      <w:r w:rsidRPr="00AB5760">
        <w:rPr>
          <w:rFonts w:cs="Times New Roman"/>
          <w:lang w:val="en-US"/>
        </w:rPr>
        <w:t>) obtained using two different scoring systems. a) Accuracy-based scoring</w:t>
      </w:r>
      <w:r>
        <w:rPr>
          <w:rFonts w:cs="Times New Roman"/>
          <w:lang w:val="en-US"/>
        </w:rPr>
        <w:t xml:space="preserve"> system</w:t>
      </w:r>
      <w:r w:rsidRPr="00AB5760">
        <w:rPr>
          <w:rFonts w:cs="Times New Roman"/>
          <w:lang w:val="en-US"/>
        </w:rPr>
        <w:t xml:space="preserve"> (see </w:t>
      </w:r>
      <w:proofErr w:type="spellStart"/>
      <w:r w:rsidRPr="00AB5760">
        <w:rPr>
          <w:rFonts w:cs="Times New Roman"/>
          <w:lang w:val="en-US"/>
        </w:rPr>
        <w:t>Jarry</w:t>
      </w:r>
      <w:proofErr w:type="spellEnd"/>
      <w:r w:rsidRPr="00AB5760">
        <w:rPr>
          <w:rFonts w:cs="Times New Roman"/>
          <w:lang w:val="en-US"/>
        </w:rPr>
        <w:t xml:space="preserve"> et al., 2013). b) Time-based scoring system </w:t>
      </w:r>
      <w:r w:rsidRPr="00AB5760">
        <w:rPr>
          <w:rFonts w:cs="Times New Roman"/>
          <w:lang w:val="en-US"/>
        </w:rPr>
        <w:fldChar w:fldCharType="begin" w:fldLock="1"/>
      </w:r>
      <w:r>
        <w:rPr>
          <w:rFonts w:cs="Times New Roman"/>
          <w:lang w:val="en-US"/>
        </w:rPr>
        <w:instrText>ADDIN CSL_CITATION { "citationItems" : [ { "id" : "ITEM-1", "itemData" : { "DOI" : "10.1037/neu0000241", "ISSN" : "1931-1559", "author" : [ { "dropping-particle" : "", "family" : "Lesourd", "given" : "Mathieu", "non-dropping-particle" : "", "parse-names" : false, "suffix" : "" }, { "dropping-particle" : "", "family" : "Baumard", "given" : "Josselin", "non-dropping-particle" : "", "parse-names" : false, "suffix" : "" }, { "dropping-particle" : "", "family" : "Jarry", "given" : "Christophe", "non-dropping-particle" : "", "parse-names" : false, "suffix" : "" }, { "dropping-particle" : "", "family" : "Etcharry-Bouyx", "given" : "Fr\u00c3\u00a9d\u00c3\u00a9rique", "non-dropping-particle" : "", "parse-names" : false, "suffix" : "" }, { "dropping-particle" : "", "family" : "Belliard", "given" : "Serge", "non-dropping-particle" : "", "parse-names" : false, "suffix" : "" }, { "dropping-particle" : "", "family" : "Moreaud", "given" : "Olivier", "non-dropping-particle" : "", "parse-names" : false, "suffix" : "" }, { "dropping-particle" : "", "family" : "Croisile", "given" : "Bernard", "non-dropping-particle" : "", "parse-names" : false, "suffix" : "" }, { "dropping-particle" : "", "family" : "Chauvir\u00c3\u00a9", "given" : "Val\u00c3\u00a9rie", "non-dropping-particle" : "", "parse-names" : false, "suffix" : "" }, { "dropping-particle" : "", "family" : "Granjon", "given" : "Marine", "non-dropping-particle" : "", "parse-names" : false, "suffix" : "" }, { "dropping-particle" : "", "family" : "Gall", "given" : "Didier", "non-dropping-particle" : "Le", "parse-names" : false, "suffix" : "" }, { "dropping-particle" : "", "family" : "Osiurak", "given" : "Fran\u00c3\u00a7ois", "non-dropping-particle" : "", "parse-names" : false, "suffix" : "" }, { "dropping-particle" : "", "family" : "Chauvir\u00e9", "given" : "Val\u00e9rie", "non-dropping-particle" : "", "parse-names" : false, "suffix" : "" }, { "dropping-particle" : "", "family" : "Granjon", "given" : "Marine", "non-dropping-particle" : "", "parse-names" : false, "suffix" : "" }, { "dropping-particle" : "", "family" : "Gall", "given" : "Didier", "non-dropping-particle" : "Le", "parse-names" : false, "suffix" : "" }, { "dropping-particle" : "", "family" : "Osiurak", "given" : "Fran\u00c3\u00a7ois", "non-dropping-particle" : "", "parse-names" : false, "suffix" : "" } ], "container-title" : "Neuropsychology", "id" : "ITEM-1", "issue" : "6", "issued" : { "date-parts" : [ [ "2015" ] ] }, "title" : "Mechanical Problem-Solving Strategies in Alzheimer's Disease and Semantic Dementia.", "type" : "article-journal", "volume" : "29" }, "uris" : [ "http://www.mendeley.com/documents/?uuid=0598e3ec-e375-4337-bd28-fee4035dc1be" ] } ], "mendeley" : { "formattedCitation" : "(Lesourd et al., 2015)", "plainTextFormattedCitation" : "(Lesourd et al., 2015)", "previouslyFormattedCitation" : "(Lesourd et al., 2015)" }, "properties" : { "noteIndex" : 0 }, "schema" : "https://github.com/citation-style-language/schema/raw/master/csl-citation.json" }</w:instrText>
      </w:r>
      <w:r w:rsidRPr="00AB5760">
        <w:rPr>
          <w:rFonts w:cs="Times New Roman"/>
          <w:lang w:val="en-US"/>
        </w:rPr>
        <w:fldChar w:fldCharType="separate"/>
      </w:r>
      <w:r w:rsidRPr="00AB5760">
        <w:rPr>
          <w:rFonts w:cs="Times New Roman"/>
          <w:noProof/>
          <w:lang w:val="en-US"/>
        </w:rPr>
        <w:t>(Lesourd et al., 2015)</w:t>
      </w:r>
      <w:r w:rsidRPr="00AB5760">
        <w:rPr>
          <w:rFonts w:cs="Times New Roman"/>
          <w:lang w:val="en-US"/>
        </w:rPr>
        <w:fldChar w:fldCharType="end"/>
      </w:r>
      <w:r>
        <w:rPr>
          <w:rFonts w:cs="Times New Roman"/>
          <w:lang w:val="en-US"/>
        </w:rPr>
        <w:t>.</w:t>
      </w:r>
    </w:p>
    <w:p w14:paraId="2C9036E4" w14:textId="77777777" w:rsidR="00F3794E" w:rsidRDefault="00F3794E" w:rsidP="00F3794E">
      <w:pPr>
        <w:spacing w:line="360" w:lineRule="auto"/>
        <w:ind w:firstLine="0"/>
        <w:rPr>
          <w:rFonts w:cs="Times New Roman"/>
          <w:lang w:val="en-US"/>
        </w:rPr>
      </w:pPr>
    </w:p>
    <w:p w14:paraId="7E05CF4D" w14:textId="77777777" w:rsidR="00F3794E" w:rsidRDefault="00F3794E" w:rsidP="00F3794E">
      <w:pPr>
        <w:spacing w:line="360" w:lineRule="auto"/>
        <w:ind w:firstLine="0"/>
        <w:rPr>
          <w:rFonts w:cs="Times New Roman"/>
          <w:lang w:val="en-US"/>
        </w:rPr>
      </w:pPr>
    </w:p>
    <w:p w14:paraId="2CEC3567" w14:textId="77777777" w:rsidR="009706CC" w:rsidRDefault="00F3794E" w:rsidP="003C593C">
      <w:pPr>
        <w:ind w:firstLine="1560"/>
        <w:jc w:val="left"/>
        <w:rPr>
          <w:rFonts w:cs="Times New Roman"/>
          <w:lang w:val="en-US"/>
        </w:rPr>
      </w:pPr>
      <w:r>
        <w:rPr>
          <w:rFonts w:cs="Times New Roman"/>
          <w:noProof/>
          <w:lang w:eastAsia="fr-FR"/>
        </w:rPr>
        <w:drawing>
          <wp:inline distT="0" distB="0" distL="0" distR="0" wp14:anchorId="405D17EC" wp14:editId="55721E9E">
            <wp:extent cx="3398551" cy="3021641"/>
            <wp:effectExtent l="0" t="0" r="5080" b="127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8551" cy="3021641"/>
                    </a:xfrm>
                    <a:prstGeom prst="rect">
                      <a:avLst/>
                    </a:prstGeom>
                    <a:noFill/>
                    <a:ln>
                      <a:noFill/>
                    </a:ln>
                  </pic:spPr>
                </pic:pic>
              </a:graphicData>
            </a:graphic>
          </wp:inline>
        </w:drawing>
      </w:r>
      <w:r w:rsidR="009706CC" w:rsidRPr="009706CC">
        <w:rPr>
          <w:rFonts w:cs="Times New Roman"/>
          <w:lang w:val="en-US"/>
        </w:rPr>
        <w:t xml:space="preserve"> </w:t>
      </w:r>
    </w:p>
    <w:p w14:paraId="59514897" w14:textId="77777777" w:rsidR="009706CC" w:rsidRDefault="009706CC" w:rsidP="009706CC">
      <w:pPr>
        <w:ind w:firstLine="708"/>
        <w:jc w:val="left"/>
        <w:rPr>
          <w:rFonts w:cs="Times New Roman"/>
          <w:lang w:val="en-US"/>
        </w:rPr>
      </w:pPr>
    </w:p>
    <w:p w14:paraId="51965EE4" w14:textId="7CC98070" w:rsidR="009706CC" w:rsidRPr="00A70F6B" w:rsidRDefault="009706CC" w:rsidP="009706CC">
      <w:pPr>
        <w:ind w:firstLine="708"/>
        <w:jc w:val="left"/>
        <w:rPr>
          <w:rFonts w:cs="Times New Roman"/>
          <w:lang w:val="en-US"/>
        </w:rPr>
      </w:pPr>
      <w:r w:rsidRPr="00A70F6B">
        <w:rPr>
          <w:rFonts w:cs="Times New Roman"/>
          <w:lang w:val="en-US"/>
        </w:rPr>
        <w:t xml:space="preserve">In </w:t>
      </w:r>
      <w:r>
        <w:rPr>
          <w:rFonts w:cs="Times New Roman"/>
          <w:lang w:val="en-US"/>
        </w:rPr>
        <w:t>the PTU task</w:t>
      </w:r>
      <w:r w:rsidRPr="00A70F6B">
        <w:rPr>
          <w:rFonts w:cs="Times New Roman"/>
          <w:lang w:val="en-US"/>
        </w:rPr>
        <w:t xml:space="preserve">, each item was scored on a 10 point-scale relative to the completion time of the item so the maximum score </w:t>
      </w:r>
      <w:r>
        <w:rPr>
          <w:rFonts w:cs="Times New Roman"/>
          <w:lang w:val="en-US"/>
        </w:rPr>
        <w:t>was 100. If a production (i.e., BPO or spatiotemporal) error was made, only 1 point was given and if a conception (i.e., content or perplexity) error was made, no point was allocated</w:t>
      </w:r>
      <w:r w:rsidRPr="00A70F6B">
        <w:rPr>
          <w:rFonts w:cs="Times New Roman"/>
          <w:lang w:val="en-US"/>
        </w:rPr>
        <w:t>. By summing the 10 scores obtained for each item, the maximum score was 100.</w:t>
      </w:r>
    </w:p>
    <w:p w14:paraId="33969A93" w14:textId="783EA9D6" w:rsidR="00F3794E" w:rsidRDefault="00F3794E" w:rsidP="00F3794E">
      <w:pPr>
        <w:spacing w:line="360" w:lineRule="auto"/>
        <w:ind w:firstLine="1843"/>
        <w:rPr>
          <w:rFonts w:cs="Times New Roman"/>
          <w:lang w:val="en-US"/>
        </w:rPr>
      </w:pPr>
    </w:p>
    <w:p w14:paraId="17067406" w14:textId="77777777" w:rsidR="00F3794E" w:rsidRDefault="00F3794E">
      <w:pPr>
        <w:spacing w:line="240" w:lineRule="auto"/>
        <w:ind w:firstLine="0"/>
        <w:jc w:val="left"/>
        <w:rPr>
          <w:rFonts w:cs="Times New Roman"/>
          <w:lang w:val="en-US"/>
        </w:rPr>
      </w:pPr>
      <w:r>
        <w:rPr>
          <w:rFonts w:cs="Times New Roman"/>
          <w:lang w:val="en-US"/>
        </w:rPr>
        <w:br w:type="page"/>
      </w:r>
    </w:p>
    <w:p w14:paraId="7E55918F" w14:textId="5D0D6290" w:rsidR="00F33BEB" w:rsidRDefault="00EE430F" w:rsidP="00887A50">
      <w:pPr>
        <w:ind w:firstLine="0"/>
        <w:rPr>
          <w:rFonts w:cs="Times New Roman"/>
          <w:b/>
          <w:iCs/>
          <w:lang w:val="en-US"/>
        </w:rPr>
      </w:pPr>
      <w:r>
        <w:rPr>
          <w:rFonts w:cs="Times New Roman"/>
          <w:b/>
          <w:iCs/>
          <w:noProof/>
          <w:lang w:eastAsia="fr-FR"/>
        </w:rPr>
        <w:drawing>
          <wp:inline distT="0" distB="0" distL="0" distR="0" wp14:anchorId="2EE45DB8" wp14:editId="38CD2ED1">
            <wp:extent cx="5726952" cy="2941200"/>
            <wp:effectExtent l="0" t="0" r="0" b="5715"/>
            <wp:docPr id="14" name="Image 14" descr="Macintosh HD:Users:mathieulesourd:Desktop:Figure 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mathieulesourd:Desktop:Figure SM.tiff"/>
                    <pic:cNvPicPr>
                      <a:picLocks noChangeAspect="1" noChangeArrowheads="1"/>
                    </pic:cNvPicPr>
                  </pic:nvPicPr>
                  <pic:blipFill rotWithShape="1">
                    <a:blip r:embed="rId10">
                      <a:extLst>
                        <a:ext uri="{28A0092B-C50C-407E-A947-70E740481C1C}">
                          <a14:useLocalDpi xmlns:a14="http://schemas.microsoft.com/office/drawing/2010/main" val="0"/>
                        </a:ext>
                      </a:extLst>
                    </a:blip>
                    <a:srcRect t="2" b="31497"/>
                    <a:stretch/>
                  </pic:blipFill>
                  <pic:spPr bwMode="auto">
                    <a:xfrm>
                      <a:off x="0" y="0"/>
                      <a:ext cx="5748655" cy="2952346"/>
                    </a:xfrm>
                    <a:prstGeom prst="rect">
                      <a:avLst/>
                    </a:prstGeom>
                    <a:noFill/>
                    <a:ln>
                      <a:noFill/>
                    </a:ln>
                    <a:extLst>
                      <a:ext uri="{53640926-AAD7-44d8-BBD7-CCE9431645EC}">
                        <a14:shadowObscured xmlns:a14="http://schemas.microsoft.com/office/drawing/2010/main"/>
                      </a:ext>
                    </a:extLst>
                  </pic:spPr>
                </pic:pic>
              </a:graphicData>
            </a:graphic>
          </wp:inline>
        </w:drawing>
      </w:r>
    </w:p>
    <w:p w14:paraId="27EE5C3E" w14:textId="50BF0E19" w:rsidR="00F33BEB" w:rsidRDefault="00F33BEB" w:rsidP="00F3794E">
      <w:pPr>
        <w:spacing w:line="360" w:lineRule="auto"/>
        <w:ind w:firstLine="0"/>
        <w:rPr>
          <w:rFonts w:cs="Times New Roman"/>
          <w:lang w:val="en-US"/>
        </w:rPr>
      </w:pPr>
      <w:r w:rsidRPr="001D7DDE">
        <w:rPr>
          <w:rFonts w:cs="Times New Roman"/>
          <w:b/>
          <w:iCs/>
          <w:lang w:val="en-US"/>
        </w:rPr>
        <w:t xml:space="preserve">Fig. </w:t>
      </w:r>
      <w:r w:rsidR="00F3794E">
        <w:rPr>
          <w:rFonts w:cs="Times New Roman"/>
          <w:b/>
          <w:iCs/>
          <w:lang w:val="en-US"/>
        </w:rPr>
        <w:t>2</w:t>
      </w:r>
      <w:r w:rsidRPr="001D7DDE">
        <w:rPr>
          <w:rFonts w:cs="Times New Roman"/>
          <w:lang w:val="en-US"/>
        </w:rPr>
        <w:t xml:space="preserve"> </w:t>
      </w:r>
      <w:r w:rsidRPr="001D7DDE">
        <w:rPr>
          <w:rFonts w:cs="Times New Roman"/>
          <w:iCs/>
          <w:lang w:val="en-US"/>
        </w:rPr>
        <w:t>Frequency distribution of scores for Mechanical</w:t>
      </w:r>
      <w:r>
        <w:rPr>
          <w:rFonts w:cs="Times New Roman"/>
          <w:iCs/>
          <w:lang w:val="en-US"/>
        </w:rPr>
        <w:t xml:space="preserve"> Problem-Solving task in the no </w:t>
      </w:r>
      <w:r w:rsidRPr="001D7DDE">
        <w:rPr>
          <w:rFonts w:cs="Times New Roman"/>
          <w:iCs/>
          <w:lang w:val="en-US"/>
        </w:rPr>
        <w:t xml:space="preserve">choice condition (MPS-NC) obtained using two different scoring systems. a) Accuracy-based scoring (see </w:t>
      </w:r>
      <w:proofErr w:type="spellStart"/>
      <w:r w:rsidRPr="001D7DDE">
        <w:rPr>
          <w:rFonts w:cs="Times New Roman"/>
          <w:iCs/>
          <w:lang w:val="en-US"/>
        </w:rPr>
        <w:t>Jarry</w:t>
      </w:r>
      <w:proofErr w:type="spellEnd"/>
      <w:r w:rsidRPr="001D7DDE">
        <w:rPr>
          <w:rFonts w:cs="Times New Roman"/>
          <w:iCs/>
          <w:lang w:val="en-US"/>
        </w:rPr>
        <w:t xml:space="preserve"> et al., 2013: </w:t>
      </w:r>
      <w:r w:rsidRPr="001D7DDE">
        <w:rPr>
          <w:rFonts w:cs="Times New Roman"/>
          <w:lang w:val="en-US"/>
        </w:rPr>
        <w:t>the scores were not</w:t>
      </w:r>
      <w:r w:rsidR="00887A50">
        <w:rPr>
          <w:rFonts w:cs="Times New Roman"/>
          <w:lang w:val="en-US"/>
        </w:rPr>
        <w:t xml:space="preserve"> normally distributed for the 71</w:t>
      </w:r>
      <w:r w:rsidRPr="001D7DDE">
        <w:rPr>
          <w:rFonts w:cs="Times New Roman"/>
          <w:lang w:val="en-US"/>
        </w:rPr>
        <w:t xml:space="preserve"> con</w:t>
      </w:r>
      <w:r w:rsidR="00887A50">
        <w:rPr>
          <w:rFonts w:cs="Times New Roman"/>
          <w:lang w:val="en-US"/>
        </w:rPr>
        <w:t>trol participants and for the 30</w:t>
      </w:r>
      <w:r w:rsidRPr="001D7DDE">
        <w:rPr>
          <w:rFonts w:cs="Times New Roman"/>
          <w:lang w:val="en-US"/>
        </w:rPr>
        <w:t xml:space="preserve"> control participant</w:t>
      </w:r>
      <w:r>
        <w:rPr>
          <w:rFonts w:cs="Times New Roman"/>
          <w:lang w:val="en-US"/>
        </w:rPr>
        <w:t>s (</w:t>
      </w:r>
      <w:r w:rsidRPr="00924550">
        <w:rPr>
          <w:rFonts w:cs="Times New Roman"/>
          <w:i/>
          <w:lang w:val="en-US"/>
        </w:rPr>
        <w:t>W</w:t>
      </w:r>
      <w:r>
        <w:rPr>
          <w:rFonts w:cs="Times New Roman"/>
          <w:lang w:val="en-US"/>
        </w:rPr>
        <w:t xml:space="preserve"> = .37, </w:t>
      </w:r>
      <w:r w:rsidRPr="00924550">
        <w:rPr>
          <w:rFonts w:cs="Times New Roman"/>
          <w:i/>
          <w:lang w:val="en-US"/>
        </w:rPr>
        <w:t>p</w:t>
      </w:r>
      <w:r>
        <w:rPr>
          <w:rFonts w:cs="Times New Roman"/>
          <w:lang w:val="en-US"/>
        </w:rPr>
        <w:t xml:space="preserve"> &lt; .</w:t>
      </w:r>
      <w:r w:rsidR="00887A50">
        <w:rPr>
          <w:rFonts w:cs="Times New Roman"/>
          <w:lang w:val="en-US"/>
        </w:rPr>
        <w:t>0</w:t>
      </w:r>
      <w:r>
        <w:rPr>
          <w:rFonts w:cs="Times New Roman"/>
          <w:lang w:val="en-US"/>
        </w:rPr>
        <w:t xml:space="preserve">01 and </w:t>
      </w:r>
      <w:r w:rsidRPr="00924550">
        <w:rPr>
          <w:rFonts w:cs="Times New Roman"/>
          <w:i/>
          <w:lang w:val="en-US"/>
        </w:rPr>
        <w:t>W</w:t>
      </w:r>
      <w:r w:rsidR="00887A50">
        <w:rPr>
          <w:rFonts w:cs="Times New Roman"/>
          <w:lang w:val="en-US"/>
        </w:rPr>
        <w:t xml:space="preserve"> = .56</w:t>
      </w:r>
      <w:r>
        <w:rPr>
          <w:rFonts w:cs="Times New Roman"/>
          <w:lang w:val="en-US"/>
        </w:rPr>
        <w:t>,</w:t>
      </w:r>
      <w:r w:rsidRPr="001D7DDE">
        <w:rPr>
          <w:rFonts w:cs="Times New Roman"/>
          <w:lang w:val="en-US"/>
        </w:rPr>
        <w:t xml:space="preserve"> </w:t>
      </w:r>
      <w:r w:rsidRPr="00924550">
        <w:rPr>
          <w:rFonts w:cs="Times New Roman"/>
          <w:i/>
          <w:lang w:val="en-US"/>
        </w:rPr>
        <w:t>p</w:t>
      </w:r>
      <w:r w:rsidRPr="001D7DDE">
        <w:rPr>
          <w:rFonts w:cs="Times New Roman"/>
          <w:lang w:val="en-US"/>
        </w:rPr>
        <w:t xml:space="preserve"> &lt; .</w:t>
      </w:r>
      <w:r w:rsidR="00887A50">
        <w:rPr>
          <w:rFonts w:cs="Times New Roman"/>
          <w:lang w:val="en-US"/>
        </w:rPr>
        <w:t>0</w:t>
      </w:r>
      <w:r w:rsidRPr="001D7DDE">
        <w:rPr>
          <w:rFonts w:cs="Times New Roman"/>
          <w:lang w:val="en-US"/>
        </w:rPr>
        <w:t xml:space="preserve">01, respectively). </w:t>
      </w:r>
      <w:r w:rsidR="00CD67BF">
        <w:rPr>
          <w:rFonts w:cs="Times New Roman"/>
          <w:iCs/>
          <w:lang w:val="en-US"/>
        </w:rPr>
        <w:t>b</w:t>
      </w:r>
      <w:r w:rsidRPr="001D7DDE">
        <w:rPr>
          <w:rFonts w:cs="Times New Roman"/>
          <w:iCs/>
          <w:lang w:val="en-US"/>
        </w:rPr>
        <w:t>) Time-based scoring system:</w:t>
      </w:r>
      <w:r w:rsidRPr="001D7DDE">
        <w:rPr>
          <w:rFonts w:cs="Times New Roman"/>
          <w:lang w:val="en-US"/>
        </w:rPr>
        <w:t xml:space="preserve"> After transformation of the data, the distributions of scores were</w:t>
      </w:r>
      <w:r w:rsidR="00887A50">
        <w:rPr>
          <w:rFonts w:cs="Times New Roman"/>
          <w:lang w:val="en-US"/>
        </w:rPr>
        <w:t xml:space="preserve"> normally distributed for the 71</w:t>
      </w:r>
      <w:r w:rsidRPr="001D7DDE">
        <w:rPr>
          <w:rFonts w:cs="Times New Roman"/>
          <w:lang w:val="en-US"/>
        </w:rPr>
        <w:t xml:space="preserve"> control participants and for the 3</w:t>
      </w:r>
      <w:r w:rsidR="00887A50">
        <w:rPr>
          <w:rFonts w:cs="Times New Roman"/>
          <w:lang w:val="en-US"/>
        </w:rPr>
        <w:t>0</w:t>
      </w:r>
      <w:r>
        <w:rPr>
          <w:rFonts w:cs="Times New Roman"/>
          <w:lang w:val="en-US"/>
        </w:rPr>
        <w:t xml:space="preserve"> control participants (</w:t>
      </w:r>
      <w:r w:rsidRPr="00924550">
        <w:rPr>
          <w:rFonts w:cs="Times New Roman"/>
          <w:i/>
          <w:lang w:val="en-US"/>
        </w:rPr>
        <w:t>W</w:t>
      </w:r>
      <w:r>
        <w:rPr>
          <w:rFonts w:cs="Times New Roman"/>
          <w:lang w:val="en-US"/>
        </w:rPr>
        <w:t xml:space="preserve"> = .98, </w:t>
      </w:r>
      <w:r w:rsidRPr="00924550">
        <w:rPr>
          <w:rFonts w:cs="Times New Roman"/>
          <w:i/>
          <w:lang w:val="en-US"/>
        </w:rPr>
        <w:t>p</w:t>
      </w:r>
      <w:r>
        <w:rPr>
          <w:rFonts w:cs="Times New Roman"/>
          <w:lang w:val="en-US"/>
        </w:rPr>
        <w:t xml:space="preserve"> = .42 and </w:t>
      </w:r>
      <w:r w:rsidRPr="00924550">
        <w:rPr>
          <w:rFonts w:cs="Times New Roman"/>
          <w:i/>
          <w:lang w:val="en-US"/>
        </w:rPr>
        <w:t>W</w:t>
      </w:r>
      <w:r>
        <w:rPr>
          <w:rFonts w:cs="Times New Roman"/>
          <w:lang w:val="en-US"/>
        </w:rPr>
        <w:t xml:space="preserve"> = .98,</w:t>
      </w:r>
      <w:r w:rsidRPr="001D7DDE">
        <w:rPr>
          <w:rFonts w:cs="Times New Roman"/>
          <w:lang w:val="en-US"/>
        </w:rPr>
        <w:t xml:space="preserve"> </w:t>
      </w:r>
      <w:r w:rsidRPr="00924550">
        <w:rPr>
          <w:rFonts w:cs="Times New Roman"/>
          <w:i/>
          <w:lang w:val="en-US"/>
        </w:rPr>
        <w:t>p</w:t>
      </w:r>
      <w:r w:rsidR="00887A50">
        <w:rPr>
          <w:rFonts w:cs="Times New Roman"/>
          <w:lang w:val="en-US"/>
        </w:rPr>
        <w:t xml:space="preserve"> = .79</w:t>
      </w:r>
      <w:r w:rsidRPr="001D7DDE">
        <w:rPr>
          <w:rFonts w:cs="Times New Roman"/>
          <w:lang w:val="en-US"/>
        </w:rPr>
        <w:t>, respectively). A Kolmogorov-Smirnov test showed that these two samples were not different from each other, suggesting that they came from</w:t>
      </w:r>
      <w:r>
        <w:rPr>
          <w:rFonts w:cs="Times New Roman"/>
          <w:lang w:val="en-US"/>
        </w:rPr>
        <w:t xml:space="preserve"> the same distribution (</w:t>
      </w:r>
      <w:r w:rsidRPr="00924550">
        <w:rPr>
          <w:rFonts w:cs="Times New Roman"/>
          <w:i/>
          <w:lang w:val="en-US"/>
        </w:rPr>
        <w:t>D</w:t>
      </w:r>
      <w:r w:rsidR="00887A50">
        <w:rPr>
          <w:rFonts w:cs="Times New Roman"/>
          <w:lang w:val="en-US"/>
        </w:rPr>
        <w:t xml:space="preserve"> = .10</w:t>
      </w:r>
      <w:r>
        <w:rPr>
          <w:rFonts w:cs="Times New Roman"/>
          <w:lang w:val="en-US"/>
        </w:rPr>
        <w:t>,</w:t>
      </w:r>
      <w:r w:rsidRPr="001D7DDE">
        <w:rPr>
          <w:rFonts w:cs="Times New Roman"/>
          <w:lang w:val="en-US"/>
        </w:rPr>
        <w:t xml:space="preserve"> </w:t>
      </w:r>
      <w:r w:rsidRPr="00924550">
        <w:rPr>
          <w:rFonts w:cs="Times New Roman"/>
          <w:i/>
          <w:lang w:val="en-US"/>
        </w:rPr>
        <w:t>p</w:t>
      </w:r>
      <w:r w:rsidR="00887A50">
        <w:rPr>
          <w:rFonts w:cs="Times New Roman"/>
          <w:lang w:val="en-US"/>
        </w:rPr>
        <w:t xml:space="preserve"> = .99</w:t>
      </w:r>
      <w:r w:rsidRPr="001D7DDE">
        <w:rPr>
          <w:rFonts w:cs="Times New Roman"/>
          <w:lang w:val="en-US"/>
        </w:rPr>
        <w:t>).</w:t>
      </w:r>
    </w:p>
    <w:p w14:paraId="7590F9CB" w14:textId="77777777" w:rsidR="00027164" w:rsidRDefault="00027164"/>
    <w:p w14:paraId="44CEE9BB" w14:textId="4C002873" w:rsidR="00610EFD" w:rsidRDefault="00F3794E" w:rsidP="00610EFD">
      <w:pPr>
        <w:ind w:firstLine="1843"/>
      </w:pPr>
      <w:r>
        <w:rPr>
          <w:noProof/>
          <w:lang w:eastAsia="fr-FR"/>
        </w:rPr>
        <w:drawing>
          <wp:inline distT="0" distB="0" distL="0" distR="0" wp14:anchorId="2C2E94B4" wp14:editId="58DF3A20">
            <wp:extent cx="3398551" cy="1611901"/>
            <wp:effectExtent l="0" t="0" r="5080" b="0"/>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8766" cy="1612003"/>
                    </a:xfrm>
                    <a:prstGeom prst="rect">
                      <a:avLst/>
                    </a:prstGeom>
                    <a:noFill/>
                    <a:ln>
                      <a:noFill/>
                    </a:ln>
                  </pic:spPr>
                </pic:pic>
              </a:graphicData>
            </a:graphic>
          </wp:inline>
        </w:drawing>
      </w:r>
    </w:p>
    <w:p w14:paraId="39871FDB" w14:textId="77777777" w:rsidR="009706CC" w:rsidRDefault="009706CC" w:rsidP="00610EFD">
      <w:pPr>
        <w:ind w:firstLine="1843"/>
      </w:pPr>
    </w:p>
    <w:p w14:paraId="19F2974F" w14:textId="0AA365DA" w:rsidR="009706CC" w:rsidRDefault="009706CC" w:rsidP="009706CC">
      <w:pPr>
        <w:ind w:firstLine="708"/>
      </w:pPr>
      <w:r w:rsidRPr="00A70F6B">
        <w:rPr>
          <w:rFonts w:cs="Times New Roman"/>
          <w:lang w:val="en-US"/>
        </w:rPr>
        <w:t xml:space="preserve">In </w:t>
      </w:r>
      <w:r>
        <w:rPr>
          <w:rFonts w:cs="Times New Roman"/>
          <w:lang w:val="en-US"/>
        </w:rPr>
        <w:t xml:space="preserve">the </w:t>
      </w:r>
      <w:r w:rsidRPr="00A70F6B">
        <w:rPr>
          <w:rFonts w:cs="Times New Roman"/>
          <w:lang w:val="en-US"/>
        </w:rPr>
        <w:t>MPS</w:t>
      </w:r>
      <w:r>
        <w:rPr>
          <w:rFonts w:cs="Times New Roman"/>
          <w:lang w:val="en-US"/>
        </w:rPr>
        <w:t xml:space="preserve"> task</w:t>
      </w:r>
      <w:r w:rsidRPr="00A70F6B">
        <w:rPr>
          <w:rFonts w:cs="Times New Roman"/>
          <w:lang w:val="en-US"/>
        </w:rPr>
        <w:t>, each box was rated on a 10 point-scale relative to the time of completion of the item. For completion time beyond C</w:t>
      </w:r>
      <w:r w:rsidRPr="00A70F6B">
        <w:rPr>
          <w:rFonts w:cs="Times New Roman"/>
          <w:vertAlign w:val="subscript"/>
          <w:lang w:val="en-US"/>
        </w:rPr>
        <w:t>95</w:t>
      </w:r>
      <w:r w:rsidRPr="00A70F6B">
        <w:rPr>
          <w:rFonts w:cs="Times New Roman"/>
          <w:lang w:val="en-US"/>
        </w:rPr>
        <w:t>, 3 points were accorded. Only 2 points were attributed if a critical action was performed but the target was still in the box at the end of the 3 minutes (e.g., Box 1: The target was pushed down with one rod from the “chimney” but was still in the box). Only 1 point was given if the participant touched the target with a rod but no critical action was performed during the 3 minutes (e.g., Box 1: the participant touched the red wooden cube with rod A but did not push down the target from the “chimney”). In the other cases, no point was allowed. By summing the three scores obtained for each box, the maximum score was 30.</w:t>
      </w:r>
    </w:p>
    <w:p w14:paraId="0E5FBEBC" w14:textId="77777777" w:rsidR="00610EFD" w:rsidRDefault="00610EFD">
      <w:pPr>
        <w:spacing w:line="240" w:lineRule="auto"/>
        <w:ind w:firstLine="0"/>
        <w:jc w:val="left"/>
      </w:pPr>
      <w:r>
        <w:br w:type="page"/>
      </w:r>
    </w:p>
    <w:p w14:paraId="1CC54B01" w14:textId="789902BA" w:rsidR="00887A50" w:rsidRDefault="00CD67BF" w:rsidP="00CD67BF">
      <w:pPr>
        <w:ind w:firstLine="0"/>
      </w:pPr>
      <w:r>
        <w:rPr>
          <w:noProof/>
          <w:lang w:eastAsia="fr-FR"/>
        </w:rPr>
        <w:drawing>
          <wp:inline distT="0" distB="0" distL="0" distR="0" wp14:anchorId="0D55A3B2" wp14:editId="2795B19B">
            <wp:extent cx="5726952" cy="2941200"/>
            <wp:effectExtent l="0" t="0" r="0" b="5715"/>
            <wp:docPr id="5" name="Image 5" descr="Macintosh HD:Users:mathieulesourd:Desktop:Graphique Normalisation:Figure 2 S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mathieulesourd:Desktop:Graphique Normalisation:Figure 2 SM.jpeg"/>
                    <pic:cNvPicPr>
                      <a:picLocks noChangeAspect="1" noChangeArrowheads="1"/>
                    </pic:cNvPicPr>
                  </pic:nvPicPr>
                  <pic:blipFill rotWithShape="1">
                    <a:blip r:embed="rId12">
                      <a:extLst>
                        <a:ext uri="{28A0092B-C50C-407E-A947-70E740481C1C}">
                          <a14:useLocalDpi xmlns:a14="http://schemas.microsoft.com/office/drawing/2010/main" val="0"/>
                        </a:ext>
                      </a:extLst>
                    </a:blip>
                    <a:srcRect t="2" b="31497"/>
                    <a:stretch/>
                  </pic:blipFill>
                  <pic:spPr bwMode="auto">
                    <a:xfrm>
                      <a:off x="0" y="0"/>
                      <a:ext cx="5748655" cy="2952346"/>
                    </a:xfrm>
                    <a:prstGeom prst="rect">
                      <a:avLst/>
                    </a:prstGeom>
                    <a:noFill/>
                    <a:ln>
                      <a:noFill/>
                    </a:ln>
                    <a:extLst>
                      <a:ext uri="{53640926-AAD7-44d8-BBD7-CCE9431645EC}">
                        <a14:shadowObscured xmlns:a14="http://schemas.microsoft.com/office/drawing/2010/main"/>
                      </a:ext>
                    </a:extLst>
                  </pic:spPr>
                </pic:pic>
              </a:graphicData>
            </a:graphic>
          </wp:inline>
        </w:drawing>
      </w:r>
    </w:p>
    <w:p w14:paraId="6F225910" w14:textId="69DCE4BF" w:rsidR="00CD67BF" w:rsidRDefault="00CD67BF" w:rsidP="009706CC">
      <w:pPr>
        <w:spacing w:line="360" w:lineRule="auto"/>
        <w:rPr>
          <w:rFonts w:cs="Times New Roman"/>
          <w:lang w:val="en-US"/>
        </w:rPr>
      </w:pPr>
      <w:r w:rsidRPr="001D7DDE">
        <w:rPr>
          <w:rFonts w:cs="Times New Roman"/>
          <w:b/>
          <w:iCs/>
          <w:lang w:val="en-US"/>
        </w:rPr>
        <w:t xml:space="preserve">Fig. </w:t>
      </w:r>
      <w:r w:rsidR="00F3794E">
        <w:rPr>
          <w:rFonts w:cs="Times New Roman"/>
          <w:b/>
          <w:iCs/>
          <w:lang w:val="en-US"/>
        </w:rPr>
        <w:t>3</w:t>
      </w:r>
      <w:r w:rsidRPr="001D7DDE">
        <w:rPr>
          <w:rFonts w:cs="Times New Roman"/>
          <w:lang w:val="en-US"/>
        </w:rPr>
        <w:t xml:space="preserve"> </w:t>
      </w:r>
      <w:r w:rsidRPr="001D7DDE">
        <w:rPr>
          <w:rFonts w:cs="Times New Roman"/>
          <w:iCs/>
          <w:lang w:val="en-US"/>
        </w:rPr>
        <w:t xml:space="preserve">Frequency distribution of scores for </w:t>
      </w:r>
      <w:r>
        <w:rPr>
          <w:rFonts w:cs="Times New Roman"/>
          <w:iCs/>
          <w:lang w:val="en-US"/>
        </w:rPr>
        <w:t>Recognition of Tool Manipulation</w:t>
      </w:r>
      <w:r w:rsidRPr="001D7DDE">
        <w:rPr>
          <w:rFonts w:cs="Times New Roman"/>
          <w:iCs/>
          <w:lang w:val="en-US"/>
        </w:rPr>
        <w:t xml:space="preserve"> (</w:t>
      </w:r>
      <w:r>
        <w:rPr>
          <w:rFonts w:cs="Times New Roman"/>
          <w:iCs/>
          <w:lang w:val="en-US"/>
        </w:rPr>
        <w:t>RTM</w:t>
      </w:r>
      <w:r w:rsidRPr="001D7DDE">
        <w:rPr>
          <w:rFonts w:cs="Times New Roman"/>
          <w:iCs/>
          <w:lang w:val="en-US"/>
        </w:rPr>
        <w:t xml:space="preserve">) obtained using two different scoring systems. a) Accuracy-based scoring (see </w:t>
      </w:r>
      <w:proofErr w:type="spellStart"/>
      <w:r w:rsidRPr="001D7DDE">
        <w:rPr>
          <w:rFonts w:cs="Times New Roman"/>
          <w:iCs/>
          <w:lang w:val="en-US"/>
        </w:rPr>
        <w:t>Jarry</w:t>
      </w:r>
      <w:proofErr w:type="spellEnd"/>
      <w:r w:rsidRPr="001D7DDE">
        <w:rPr>
          <w:rFonts w:cs="Times New Roman"/>
          <w:iCs/>
          <w:lang w:val="en-US"/>
        </w:rPr>
        <w:t xml:space="preserve"> et al., 2013: </w:t>
      </w:r>
      <w:r w:rsidRPr="001D7DDE">
        <w:rPr>
          <w:rFonts w:cs="Times New Roman"/>
          <w:lang w:val="en-US"/>
        </w:rPr>
        <w:t>the scores were not</w:t>
      </w:r>
      <w:r>
        <w:rPr>
          <w:rFonts w:cs="Times New Roman"/>
          <w:lang w:val="en-US"/>
        </w:rPr>
        <w:t xml:space="preserve"> normally distributed for the 71</w:t>
      </w:r>
      <w:r w:rsidRPr="001D7DDE">
        <w:rPr>
          <w:rFonts w:cs="Times New Roman"/>
          <w:lang w:val="en-US"/>
        </w:rPr>
        <w:t xml:space="preserve"> con</w:t>
      </w:r>
      <w:r>
        <w:rPr>
          <w:rFonts w:cs="Times New Roman"/>
          <w:lang w:val="en-US"/>
        </w:rPr>
        <w:t>trol participants and for the 30</w:t>
      </w:r>
      <w:r w:rsidRPr="001D7DDE">
        <w:rPr>
          <w:rFonts w:cs="Times New Roman"/>
          <w:lang w:val="en-US"/>
        </w:rPr>
        <w:t xml:space="preserve"> control participant</w:t>
      </w:r>
      <w:r>
        <w:rPr>
          <w:rFonts w:cs="Times New Roman"/>
          <w:lang w:val="en-US"/>
        </w:rPr>
        <w:t>s (</w:t>
      </w:r>
      <w:r w:rsidRPr="00924550">
        <w:rPr>
          <w:rFonts w:cs="Times New Roman"/>
          <w:i/>
          <w:lang w:val="en-US"/>
        </w:rPr>
        <w:t>W</w:t>
      </w:r>
      <w:r>
        <w:rPr>
          <w:rFonts w:cs="Times New Roman"/>
          <w:lang w:val="en-US"/>
        </w:rPr>
        <w:t xml:space="preserve"> = .69, </w:t>
      </w:r>
      <w:r w:rsidRPr="00924550">
        <w:rPr>
          <w:rFonts w:cs="Times New Roman"/>
          <w:i/>
          <w:lang w:val="en-US"/>
        </w:rPr>
        <w:t>p</w:t>
      </w:r>
      <w:r>
        <w:rPr>
          <w:rFonts w:cs="Times New Roman"/>
          <w:lang w:val="en-US"/>
        </w:rPr>
        <w:t xml:space="preserve"> &lt; .001 and </w:t>
      </w:r>
      <w:r w:rsidRPr="00924550">
        <w:rPr>
          <w:rFonts w:cs="Times New Roman"/>
          <w:i/>
          <w:lang w:val="en-US"/>
        </w:rPr>
        <w:t>W</w:t>
      </w:r>
      <w:r>
        <w:rPr>
          <w:rFonts w:cs="Times New Roman"/>
          <w:lang w:val="en-US"/>
        </w:rPr>
        <w:t xml:space="preserve"> = .84,</w:t>
      </w:r>
      <w:r w:rsidRPr="001D7DDE">
        <w:rPr>
          <w:rFonts w:cs="Times New Roman"/>
          <w:lang w:val="en-US"/>
        </w:rPr>
        <w:t xml:space="preserve"> </w:t>
      </w:r>
      <w:r w:rsidRPr="00924550">
        <w:rPr>
          <w:rFonts w:cs="Times New Roman"/>
          <w:i/>
          <w:lang w:val="en-US"/>
        </w:rPr>
        <w:t>p</w:t>
      </w:r>
      <w:r w:rsidRPr="001D7DDE">
        <w:rPr>
          <w:rFonts w:cs="Times New Roman"/>
          <w:lang w:val="en-US"/>
        </w:rPr>
        <w:t xml:space="preserve"> &lt; .</w:t>
      </w:r>
      <w:r>
        <w:rPr>
          <w:rFonts w:cs="Times New Roman"/>
          <w:lang w:val="en-US"/>
        </w:rPr>
        <w:t>0</w:t>
      </w:r>
      <w:r w:rsidRPr="001D7DDE">
        <w:rPr>
          <w:rFonts w:cs="Times New Roman"/>
          <w:lang w:val="en-US"/>
        </w:rPr>
        <w:t xml:space="preserve">01, respectively). </w:t>
      </w:r>
      <w:r>
        <w:rPr>
          <w:rFonts w:cs="Times New Roman"/>
          <w:iCs/>
          <w:lang w:val="en-US"/>
        </w:rPr>
        <w:t>b</w:t>
      </w:r>
      <w:r w:rsidRPr="001D7DDE">
        <w:rPr>
          <w:rFonts w:cs="Times New Roman"/>
          <w:iCs/>
          <w:lang w:val="en-US"/>
        </w:rPr>
        <w:t>) Time-based scoring system:</w:t>
      </w:r>
      <w:r w:rsidRPr="001D7DDE">
        <w:rPr>
          <w:rFonts w:cs="Times New Roman"/>
          <w:lang w:val="en-US"/>
        </w:rPr>
        <w:t xml:space="preserve"> After transformation of the data, the distributions of scores were</w:t>
      </w:r>
      <w:r>
        <w:rPr>
          <w:rFonts w:cs="Times New Roman"/>
          <w:lang w:val="en-US"/>
        </w:rPr>
        <w:t xml:space="preserve"> normally distributed for the 71</w:t>
      </w:r>
      <w:r w:rsidRPr="001D7DDE">
        <w:rPr>
          <w:rFonts w:cs="Times New Roman"/>
          <w:lang w:val="en-US"/>
        </w:rPr>
        <w:t xml:space="preserve"> control participants and for the 3</w:t>
      </w:r>
      <w:r>
        <w:rPr>
          <w:rFonts w:cs="Times New Roman"/>
          <w:lang w:val="en-US"/>
        </w:rPr>
        <w:t>0 control participants (</w:t>
      </w:r>
      <w:r w:rsidRPr="00924550">
        <w:rPr>
          <w:rFonts w:cs="Times New Roman"/>
          <w:i/>
          <w:lang w:val="en-US"/>
        </w:rPr>
        <w:t>W</w:t>
      </w:r>
      <w:r>
        <w:rPr>
          <w:rFonts w:cs="Times New Roman"/>
          <w:lang w:val="en-US"/>
        </w:rPr>
        <w:t xml:space="preserve"> = .97, </w:t>
      </w:r>
      <w:r w:rsidRPr="00924550">
        <w:rPr>
          <w:rFonts w:cs="Times New Roman"/>
          <w:i/>
          <w:lang w:val="en-US"/>
        </w:rPr>
        <w:t>p</w:t>
      </w:r>
      <w:r>
        <w:rPr>
          <w:rFonts w:cs="Times New Roman"/>
          <w:lang w:val="en-US"/>
        </w:rPr>
        <w:t xml:space="preserve"> = .13 and </w:t>
      </w:r>
      <w:r w:rsidRPr="00924550">
        <w:rPr>
          <w:rFonts w:cs="Times New Roman"/>
          <w:i/>
          <w:lang w:val="en-US"/>
        </w:rPr>
        <w:t>W</w:t>
      </w:r>
      <w:r>
        <w:rPr>
          <w:rFonts w:cs="Times New Roman"/>
          <w:lang w:val="en-US"/>
        </w:rPr>
        <w:t xml:space="preserve"> = .97,</w:t>
      </w:r>
      <w:r w:rsidRPr="001D7DDE">
        <w:rPr>
          <w:rFonts w:cs="Times New Roman"/>
          <w:lang w:val="en-US"/>
        </w:rPr>
        <w:t xml:space="preserve"> </w:t>
      </w:r>
      <w:r w:rsidRPr="00924550">
        <w:rPr>
          <w:rFonts w:cs="Times New Roman"/>
          <w:i/>
          <w:lang w:val="en-US"/>
        </w:rPr>
        <w:t>p</w:t>
      </w:r>
      <w:r>
        <w:rPr>
          <w:rFonts w:cs="Times New Roman"/>
          <w:lang w:val="en-US"/>
        </w:rPr>
        <w:t xml:space="preserve"> = .65</w:t>
      </w:r>
      <w:r w:rsidRPr="001D7DDE">
        <w:rPr>
          <w:rFonts w:cs="Times New Roman"/>
          <w:lang w:val="en-US"/>
        </w:rPr>
        <w:t>, respectively). A Kolmogorov-Smirnov test showed that these two samples were not different from each other, suggesting that they came from</w:t>
      </w:r>
      <w:r>
        <w:rPr>
          <w:rFonts w:cs="Times New Roman"/>
          <w:lang w:val="en-US"/>
        </w:rPr>
        <w:t xml:space="preserve"> the same distribution (</w:t>
      </w:r>
      <w:r w:rsidRPr="00924550">
        <w:rPr>
          <w:rFonts w:cs="Times New Roman"/>
          <w:i/>
          <w:lang w:val="en-US"/>
        </w:rPr>
        <w:t>D</w:t>
      </w:r>
      <w:r>
        <w:rPr>
          <w:rFonts w:cs="Times New Roman"/>
          <w:lang w:val="en-US"/>
        </w:rPr>
        <w:t xml:space="preserve"> = .22,</w:t>
      </w:r>
      <w:r w:rsidRPr="001D7DDE">
        <w:rPr>
          <w:rFonts w:cs="Times New Roman"/>
          <w:lang w:val="en-US"/>
        </w:rPr>
        <w:t xml:space="preserve"> </w:t>
      </w:r>
      <w:r w:rsidRPr="00924550">
        <w:rPr>
          <w:rFonts w:cs="Times New Roman"/>
          <w:i/>
          <w:lang w:val="en-US"/>
        </w:rPr>
        <w:t>p</w:t>
      </w:r>
      <w:r>
        <w:rPr>
          <w:rFonts w:cs="Times New Roman"/>
          <w:lang w:val="en-US"/>
        </w:rPr>
        <w:t xml:space="preserve"> = .25</w:t>
      </w:r>
      <w:r w:rsidRPr="001D7DDE">
        <w:rPr>
          <w:rFonts w:cs="Times New Roman"/>
          <w:lang w:val="en-US"/>
        </w:rPr>
        <w:t>).</w:t>
      </w:r>
    </w:p>
    <w:p w14:paraId="759EFB79" w14:textId="77777777" w:rsidR="00CD67BF" w:rsidRDefault="00CD67BF" w:rsidP="00CD67BF">
      <w:pPr>
        <w:ind w:firstLine="0"/>
      </w:pPr>
    </w:p>
    <w:p w14:paraId="374B117C" w14:textId="7EB2CA71" w:rsidR="00E260FB" w:rsidRDefault="00F3794E" w:rsidP="00E260FB">
      <w:pPr>
        <w:ind w:left="1985" w:firstLine="0"/>
      </w:pPr>
      <w:r>
        <w:rPr>
          <w:noProof/>
          <w:lang w:eastAsia="fr-FR"/>
        </w:rPr>
        <w:drawing>
          <wp:inline distT="0" distB="0" distL="0" distR="0" wp14:anchorId="0E6342A2" wp14:editId="70BA908E">
            <wp:extent cx="3217874" cy="2861002"/>
            <wp:effectExtent l="0" t="0" r="8255" b="9525"/>
            <wp:docPr id="1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17874" cy="2861002"/>
                    </a:xfrm>
                    <a:prstGeom prst="rect">
                      <a:avLst/>
                    </a:prstGeom>
                    <a:noFill/>
                    <a:ln>
                      <a:noFill/>
                    </a:ln>
                  </pic:spPr>
                </pic:pic>
              </a:graphicData>
            </a:graphic>
          </wp:inline>
        </w:drawing>
      </w:r>
    </w:p>
    <w:p w14:paraId="0BA0A452" w14:textId="77777777" w:rsidR="009706CC" w:rsidRDefault="009706CC" w:rsidP="00E260FB">
      <w:pPr>
        <w:ind w:left="1985" w:firstLine="0"/>
      </w:pPr>
    </w:p>
    <w:p w14:paraId="42408918" w14:textId="77777777" w:rsidR="009706CC" w:rsidRPr="00A70F6B" w:rsidRDefault="009706CC" w:rsidP="009706CC">
      <w:pPr>
        <w:ind w:firstLine="708"/>
        <w:jc w:val="left"/>
        <w:rPr>
          <w:rFonts w:cs="Times New Roman"/>
          <w:lang w:val="en-US"/>
        </w:rPr>
      </w:pPr>
      <w:r>
        <w:rPr>
          <w:rFonts w:cs="Times New Roman"/>
          <w:lang w:val="en-US"/>
        </w:rPr>
        <w:t>For both FM and RTM tasks</w:t>
      </w:r>
      <w:r w:rsidRPr="00A70F6B">
        <w:rPr>
          <w:rFonts w:cs="Times New Roman"/>
          <w:lang w:val="en-US"/>
        </w:rPr>
        <w:t>, each item was rated on a 10 point-scale relative to the response time of the participant for the item. For response time beyond C</w:t>
      </w:r>
      <w:r w:rsidRPr="00A70F6B">
        <w:rPr>
          <w:rFonts w:cs="Times New Roman"/>
          <w:vertAlign w:val="subscript"/>
          <w:lang w:val="en-US"/>
        </w:rPr>
        <w:t>95</w:t>
      </w:r>
      <w:r w:rsidRPr="00A70F6B">
        <w:rPr>
          <w:rFonts w:cs="Times New Roman"/>
          <w:lang w:val="en-US"/>
        </w:rPr>
        <w:t>, only 1 point was attributed if the participant gave the correct answer. If the participant gave a wrong answer, whatever the response time, no point was allowed. By summing the ten scores obtained for each item, the maximum score was 100.</w:t>
      </w:r>
    </w:p>
    <w:p w14:paraId="2CCCA772" w14:textId="77777777" w:rsidR="009706CC" w:rsidRDefault="009706CC" w:rsidP="00E260FB">
      <w:pPr>
        <w:ind w:left="1985" w:firstLine="0"/>
      </w:pPr>
    </w:p>
    <w:p w14:paraId="77416F49" w14:textId="77777777" w:rsidR="00E260FB" w:rsidRDefault="00E260FB">
      <w:pPr>
        <w:spacing w:line="240" w:lineRule="auto"/>
        <w:ind w:firstLine="0"/>
        <w:jc w:val="left"/>
      </w:pPr>
      <w:r>
        <w:br w:type="page"/>
      </w:r>
    </w:p>
    <w:p w14:paraId="6F200090" w14:textId="72F45438" w:rsidR="00E260FB" w:rsidRDefault="00EE430F" w:rsidP="00E260FB">
      <w:pPr>
        <w:ind w:firstLine="0"/>
      </w:pPr>
      <w:r>
        <w:rPr>
          <w:noProof/>
          <w:lang w:eastAsia="fr-FR"/>
        </w:rPr>
        <w:drawing>
          <wp:inline distT="0" distB="0" distL="0" distR="0" wp14:anchorId="054CEED4" wp14:editId="3DA09F2A">
            <wp:extent cx="5726952" cy="2941200"/>
            <wp:effectExtent l="0" t="0" r="0" b="5715"/>
            <wp:docPr id="15" name="Image 15" descr="Macintosh HD:Users:mathieulesourd:Cirrus:Workspace:2016 Pantomime in dementia:Ecriture:Graphique Normalisation:Figure FM 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mathieulesourd:Cirrus:Workspace:2016 Pantomime in dementia:Ecriture:Graphique Normalisation:Figure FM SM.tiff"/>
                    <pic:cNvPicPr>
                      <a:picLocks noChangeAspect="1" noChangeArrowheads="1"/>
                    </pic:cNvPicPr>
                  </pic:nvPicPr>
                  <pic:blipFill rotWithShape="1">
                    <a:blip r:embed="rId14">
                      <a:extLst>
                        <a:ext uri="{28A0092B-C50C-407E-A947-70E740481C1C}">
                          <a14:useLocalDpi xmlns:a14="http://schemas.microsoft.com/office/drawing/2010/main" val="0"/>
                        </a:ext>
                      </a:extLst>
                    </a:blip>
                    <a:srcRect t="2" b="31497"/>
                    <a:stretch/>
                  </pic:blipFill>
                  <pic:spPr bwMode="auto">
                    <a:xfrm>
                      <a:off x="0" y="0"/>
                      <a:ext cx="5748655" cy="2952346"/>
                    </a:xfrm>
                    <a:prstGeom prst="rect">
                      <a:avLst/>
                    </a:prstGeom>
                    <a:noFill/>
                    <a:ln>
                      <a:noFill/>
                    </a:ln>
                    <a:extLst>
                      <a:ext uri="{53640926-AAD7-44d8-BBD7-CCE9431645EC}">
                        <a14:shadowObscured xmlns:a14="http://schemas.microsoft.com/office/drawing/2010/main"/>
                      </a:ext>
                    </a:extLst>
                  </pic:spPr>
                </pic:pic>
              </a:graphicData>
            </a:graphic>
          </wp:inline>
        </w:drawing>
      </w:r>
    </w:p>
    <w:p w14:paraId="62A62156" w14:textId="270BE11B" w:rsidR="00E260FB" w:rsidRDefault="00E260FB" w:rsidP="009706CC">
      <w:pPr>
        <w:spacing w:line="360" w:lineRule="auto"/>
        <w:ind w:firstLine="0"/>
        <w:rPr>
          <w:rFonts w:cs="Times New Roman"/>
          <w:lang w:val="en-US"/>
        </w:rPr>
      </w:pPr>
      <w:r w:rsidRPr="001D7DDE">
        <w:rPr>
          <w:rFonts w:cs="Times New Roman"/>
          <w:b/>
          <w:iCs/>
          <w:lang w:val="en-US"/>
        </w:rPr>
        <w:t xml:space="preserve">Fig. </w:t>
      </w:r>
      <w:r w:rsidR="00F3794E">
        <w:rPr>
          <w:rFonts w:cs="Times New Roman"/>
          <w:b/>
          <w:iCs/>
          <w:lang w:val="en-US"/>
        </w:rPr>
        <w:t>4</w:t>
      </w:r>
      <w:r w:rsidRPr="001D7DDE">
        <w:rPr>
          <w:rFonts w:cs="Times New Roman"/>
          <w:lang w:val="en-US"/>
        </w:rPr>
        <w:t xml:space="preserve"> </w:t>
      </w:r>
      <w:r w:rsidRPr="001D7DDE">
        <w:rPr>
          <w:rFonts w:cs="Times New Roman"/>
          <w:iCs/>
          <w:lang w:val="en-US"/>
        </w:rPr>
        <w:t xml:space="preserve">Frequency distribution of scores for </w:t>
      </w:r>
      <w:r>
        <w:rPr>
          <w:rFonts w:cs="Times New Roman"/>
          <w:iCs/>
          <w:lang w:val="en-US"/>
        </w:rPr>
        <w:t xml:space="preserve">Functional </w:t>
      </w:r>
      <w:r w:rsidR="00EE430F">
        <w:rPr>
          <w:rFonts w:cs="Times New Roman"/>
          <w:iCs/>
          <w:lang w:val="en-US"/>
        </w:rPr>
        <w:t>Matching</w:t>
      </w:r>
      <w:r w:rsidRPr="001D7DDE">
        <w:rPr>
          <w:rFonts w:cs="Times New Roman"/>
          <w:iCs/>
          <w:lang w:val="en-US"/>
        </w:rPr>
        <w:t xml:space="preserve"> (</w:t>
      </w:r>
      <w:r w:rsidR="00EE430F">
        <w:rPr>
          <w:rFonts w:cs="Times New Roman"/>
          <w:iCs/>
          <w:lang w:val="en-US"/>
        </w:rPr>
        <w:t>FM</w:t>
      </w:r>
      <w:r w:rsidRPr="001D7DDE">
        <w:rPr>
          <w:rFonts w:cs="Times New Roman"/>
          <w:iCs/>
          <w:lang w:val="en-US"/>
        </w:rPr>
        <w:t xml:space="preserve">) obtained using two different scoring systems. a) Accuracy-based scoring (see </w:t>
      </w:r>
      <w:proofErr w:type="spellStart"/>
      <w:r w:rsidRPr="001D7DDE">
        <w:rPr>
          <w:rFonts w:cs="Times New Roman"/>
          <w:iCs/>
          <w:lang w:val="en-US"/>
        </w:rPr>
        <w:t>Jarry</w:t>
      </w:r>
      <w:proofErr w:type="spellEnd"/>
      <w:r w:rsidRPr="001D7DDE">
        <w:rPr>
          <w:rFonts w:cs="Times New Roman"/>
          <w:iCs/>
          <w:lang w:val="en-US"/>
        </w:rPr>
        <w:t xml:space="preserve"> et al., 2013: </w:t>
      </w:r>
      <w:r w:rsidRPr="001D7DDE">
        <w:rPr>
          <w:rFonts w:cs="Times New Roman"/>
          <w:lang w:val="en-US"/>
        </w:rPr>
        <w:t>the scores were not</w:t>
      </w:r>
      <w:r>
        <w:rPr>
          <w:rFonts w:cs="Times New Roman"/>
          <w:lang w:val="en-US"/>
        </w:rPr>
        <w:t xml:space="preserve"> normally distributed for the 71</w:t>
      </w:r>
      <w:r w:rsidRPr="001D7DDE">
        <w:rPr>
          <w:rFonts w:cs="Times New Roman"/>
          <w:lang w:val="en-US"/>
        </w:rPr>
        <w:t xml:space="preserve"> con</w:t>
      </w:r>
      <w:r>
        <w:rPr>
          <w:rFonts w:cs="Times New Roman"/>
          <w:lang w:val="en-US"/>
        </w:rPr>
        <w:t>trol participants and for the 30</w:t>
      </w:r>
      <w:r w:rsidRPr="001D7DDE">
        <w:rPr>
          <w:rFonts w:cs="Times New Roman"/>
          <w:lang w:val="en-US"/>
        </w:rPr>
        <w:t xml:space="preserve"> control participant</w:t>
      </w:r>
      <w:r>
        <w:rPr>
          <w:rFonts w:cs="Times New Roman"/>
          <w:lang w:val="en-US"/>
        </w:rPr>
        <w:t>s (</w:t>
      </w:r>
      <w:r w:rsidRPr="00924550">
        <w:rPr>
          <w:rFonts w:cs="Times New Roman"/>
          <w:i/>
          <w:lang w:val="en-US"/>
        </w:rPr>
        <w:t>W</w:t>
      </w:r>
      <w:r>
        <w:rPr>
          <w:rFonts w:cs="Times New Roman"/>
          <w:lang w:val="en-US"/>
        </w:rPr>
        <w:t xml:space="preserve"> = .77, </w:t>
      </w:r>
      <w:r w:rsidRPr="00924550">
        <w:rPr>
          <w:rFonts w:cs="Times New Roman"/>
          <w:i/>
          <w:lang w:val="en-US"/>
        </w:rPr>
        <w:t>p</w:t>
      </w:r>
      <w:r>
        <w:rPr>
          <w:rFonts w:cs="Times New Roman"/>
          <w:lang w:val="en-US"/>
        </w:rPr>
        <w:t xml:space="preserve"> &lt; .001 and </w:t>
      </w:r>
      <w:r w:rsidRPr="00924550">
        <w:rPr>
          <w:rFonts w:cs="Times New Roman"/>
          <w:i/>
          <w:lang w:val="en-US"/>
        </w:rPr>
        <w:t>W</w:t>
      </w:r>
      <w:r>
        <w:rPr>
          <w:rFonts w:cs="Times New Roman"/>
          <w:lang w:val="en-US"/>
        </w:rPr>
        <w:t xml:space="preserve"> = .81,</w:t>
      </w:r>
      <w:r w:rsidRPr="001D7DDE">
        <w:rPr>
          <w:rFonts w:cs="Times New Roman"/>
          <w:lang w:val="en-US"/>
        </w:rPr>
        <w:t xml:space="preserve"> </w:t>
      </w:r>
      <w:r w:rsidRPr="00924550">
        <w:rPr>
          <w:rFonts w:cs="Times New Roman"/>
          <w:i/>
          <w:lang w:val="en-US"/>
        </w:rPr>
        <w:t>p</w:t>
      </w:r>
      <w:r w:rsidRPr="001D7DDE">
        <w:rPr>
          <w:rFonts w:cs="Times New Roman"/>
          <w:lang w:val="en-US"/>
        </w:rPr>
        <w:t xml:space="preserve"> &lt; .</w:t>
      </w:r>
      <w:r>
        <w:rPr>
          <w:rFonts w:cs="Times New Roman"/>
          <w:lang w:val="en-US"/>
        </w:rPr>
        <w:t>0</w:t>
      </w:r>
      <w:r w:rsidRPr="001D7DDE">
        <w:rPr>
          <w:rFonts w:cs="Times New Roman"/>
          <w:lang w:val="en-US"/>
        </w:rPr>
        <w:t xml:space="preserve">01, respectively). </w:t>
      </w:r>
      <w:r>
        <w:rPr>
          <w:rFonts w:cs="Times New Roman"/>
          <w:iCs/>
          <w:lang w:val="en-US"/>
        </w:rPr>
        <w:t>b</w:t>
      </w:r>
      <w:r w:rsidRPr="001D7DDE">
        <w:rPr>
          <w:rFonts w:cs="Times New Roman"/>
          <w:iCs/>
          <w:lang w:val="en-US"/>
        </w:rPr>
        <w:t>) Time-based scoring system:</w:t>
      </w:r>
      <w:r w:rsidRPr="001D7DDE">
        <w:rPr>
          <w:rFonts w:cs="Times New Roman"/>
          <w:lang w:val="en-US"/>
        </w:rPr>
        <w:t xml:space="preserve"> After transformation of the data, the distributions of scores were</w:t>
      </w:r>
      <w:r>
        <w:rPr>
          <w:rFonts w:cs="Times New Roman"/>
          <w:lang w:val="en-US"/>
        </w:rPr>
        <w:t xml:space="preserve"> normally distributed for the 71</w:t>
      </w:r>
      <w:r w:rsidRPr="001D7DDE">
        <w:rPr>
          <w:rFonts w:cs="Times New Roman"/>
          <w:lang w:val="en-US"/>
        </w:rPr>
        <w:t xml:space="preserve"> control participants and for the 3</w:t>
      </w:r>
      <w:r>
        <w:rPr>
          <w:rFonts w:cs="Times New Roman"/>
          <w:lang w:val="en-US"/>
        </w:rPr>
        <w:t>0 control participants (</w:t>
      </w:r>
      <w:r w:rsidRPr="00924550">
        <w:rPr>
          <w:rFonts w:cs="Times New Roman"/>
          <w:i/>
          <w:lang w:val="en-US"/>
        </w:rPr>
        <w:t>W</w:t>
      </w:r>
      <w:r>
        <w:rPr>
          <w:rFonts w:cs="Times New Roman"/>
          <w:lang w:val="en-US"/>
        </w:rPr>
        <w:t xml:space="preserve"> = .97, </w:t>
      </w:r>
      <w:r w:rsidRPr="00924550">
        <w:rPr>
          <w:rFonts w:cs="Times New Roman"/>
          <w:i/>
          <w:lang w:val="en-US"/>
        </w:rPr>
        <w:t>p</w:t>
      </w:r>
      <w:r>
        <w:rPr>
          <w:rFonts w:cs="Times New Roman"/>
          <w:lang w:val="en-US"/>
        </w:rPr>
        <w:t xml:space="preserve"> = .13 and </w:t>
      </w:r>
      <w:r w:rsidRPr="00924550">
        <w:rPr>
          <w:rFonts w:cs="Times New Roman"/>
          <w:i/>
          <w:lang w:val="en-US"/>
        </w:rPr>
        <w:t>W</w:t>
      </w:r>
      <w:r>
        <w:rPr>
          <w:rFonts w:cs="Times New Roman"/>
          <w:lang w:val="en-US"/>
        </w:rPr>
        <w:t xml:space="preserve"> = .94,</w:t>
      </w:r>
      <w:r w:rsidRPr="001D7DDE">
        <w:rPr>
          <w:rFonts w:cs="Times New Roman"/>
          <w:lang w:val="en-US"/>
        </w:rPr>
        <w:t xml:space="preserve"> </w:t>
      </w:r>
      <w:r w:rsidRPr="00924550">
        <w:rPr>
          <w:rFonts w:cs="Times New Roman"/>
          <w:i/>
          <w:lang w:val="en-US"/>
        </w:rPr>
        <w:t>p</w:t>
      </w:r>
      <w:r>
        <w:rPr>
          <w:rFonts w:cs="Times New Roman"/>
          <w:lang w:val="en-US"/>
        </w:rPr>
        <w:t xml:space="preserve"> = .09</w:t>
      </w:r>
      <w:r w:rsidRPr="001D7DDE">
        <w:rPr>
          <w:rFonts w:cs="Times New Roman"/>
          <w:lang w:val="en-US"/>
        </w:rPr>
        <w:t>, respectively). A Kolmogorov-Smirnov test showed that these two samples were not different from each other, suggesting that they came from</w:t>
      </w:r>
      <w:r>
        <w:rPr>
          <w:rFonts w:cs="Times New Roman"/>
          <w:lang w:val="en-US"/>
        </w:rPr>
        <w:t xml:space="preserve"> the same distribution (</w:t>
      </w:r>
      <w:r w:rsidRPr="00924550">
        <w:rPr>
          <w:rFonts w:cs="Times New Roman"/>
          <w:i/>
          <w:lang w:val="en-US"/>
        </w:rPr>
        <w:t>D</w:t>
      </w:r>
      <w:r>
        <w:rPr>
          <w:rFonts w:cs="Times New Roman"/>
          <w:lang w:val="en-US"/>
        </w:rPr>
        <w:t xml:space="preserve"> = .17,</w:t>
      </w:r>
      <w:r w:rsidRPr="001D7DDE">
        <w:rPr>
          <w:rFonts w:cs="Times New Roman"/>
          <w:lang w:val="en-US"/>
        </w:rPr>
        <w:t xml:space="preserve"> </w:t>
      </w:r>
      <w:r w:rsidRPr="00924550">
        <w:rPr>
          <w:rFonts w:cs="Times New Roman"/>
          <w:i/>
          <w:lang w:val="en-US"/>
        </w:rPr>
        <w:t>p</w:t>
      </w:r>
      <w:r>
        <w:rPr>
          <w:rFonts w:cs="Times New Roman"/>
          <w:lang w:val="en-US"/>
        </w:rPr>
        <w:t xml:space="preserve"> = .58</w:t>
      </w:r>
      <w:r w:rsidRPr="001D7DDE">
        <w:rPr>
          <w:rFonts w:cs="Times New Roman"/>
          <w:lang w:val="en-US"/>
        </w:rPr>
        <w:t>).</w:t>
      </w:r>
    </w:p>
    <w:p w14:paraId="1CE7C6B2" w14:textId="77777777" w:rsidR="007F7447" w:rsidRDefault="007F7447" w:rsidP="00E260FB">
      <w:pPr>
        <w:spacing w:line="240" w:lineRule="auto"/>
        <w:ind w:firstLine="0"/>
        <w:rPr>
          <w:rFonts w:cs="Times New Roman"/>
          <w:lang w:val="en-US"/>
        </w:rPr>
      </w:pPr>
    </w:p>
    <w:p w14:paraId="05851B0B" w14:textId="77777777" w:rsidR="00F3794E" w:rsidRDefault="00F3794E" w:rsidP="00E260FB">
      <w:pPr>
        <w:spacing w:line="240" w:lineRule="auto"/>
        <w:ind w:firstLine="0"/>
        <w:rPr>
          <w:rFonts w:cs="Times New Roman"/>
          <w:lang w:val="en-US"/>
        </w:rPr>
      </w:pPr>
    </w:p>
    <w:p w14:paraId="02BE4E25" w14:textId="10652602" w:rsidR="009B4433" w:rsidRDefault="00F3794E" w:rsidP="00F3794E">
      <w:pPr>
        <w:spacing w:line="240" w:lineRule="auto"/>
        <w:ind w:left="1560" w:firstLine="0"/>
      </w:pPr>
      <w:r>
        <w:rPr>
          <w:noProof/>
          <w:lang w:eastAsia="fr-FR"/>
        </w:rPr>
        <w:drawing>
          <wp:inline distT="0" distB="0" distL="0" distR="0" wp14:anchorId="32E132FF" wp14:editId="1E8C4022">
            <wp:extent cx="3394025" cy="3017617"/>
            <wp:effectExtent l="0" t="0" r="10160" b="5080"/>
            <wp:docPr id="1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94025" cy="3017617"/>
                    </a:xfrm>
                    <a:prstGeom prst="rect">
                      <a:avLst/>
                    </a:prstGeom>
                    <a:noFill/>
                    <a:ln>
                      <a:noFill/>
                    </a:ln>
                  </pic:spPr>
                </pic:pic>
              </a:graphicData>
            </a:graphic>
          </wp:inline>
        </w:drawing>
      </w:r>
    </w:p>
    <w:p w14:paraId="136FE44F" w14:textId="77777777" w:rsidR="009B4433" w:rsidRDefault="009B4433">
      <w:pPr>
        <w:spacing w:line="240" w:lineRule="auto"/>
        <w:ind w:firstLine="0"/>
        <w:jc w:val="left"/>
      </w:pPr>
      <w:r>
        <w:br w:type="page"/>
      </w:r>
    </w:p>
    <w:p w14:paraId="7F3821A9" w14:textId="77777777" w:rsidR="009B4433" w:rsidRDefault="009B4433" w:rsidP="009B4433">
      <w:pPr>
        <w:spacing w:line="240" w:lineRule="auto"/>
        <w:ind w:left="142" w:firstLine="0"/>
      </w:pPr>
    </w:p>
    <w:p w14:paraId="27704CEE" w14:textId="77777777" w:rsidR="009B4433" w:rsidRDefault="009B4433" w:rsidP="009B4433">
      <w:pPr>
        <w:spacing w:line="240" w:lineRule="auto"/>
        <w:ind w:left="142" w:firstLine="0"/>
      </w:pPr>
    </w:p>
    <w:p w14:paraId="1A440CAC" w14:textId="77777777" w:rsidR="009B4433" w:rsidRDefault="009B4433" w:rsidP="009B4433">
      <w:pPr>
        <w:spacing w:line="240" w:lineRule="auto"/>
        <w:ind w:left="142" w:firstLine="0"/>
      </w:pPr>
    </w:p>
    <w:p w14:paraId="145B5F56" w14:textId="3062B3C5" w:rsidR="007F7447" w:rsidRDefault="009B4433" w:rsidP="009B4433">
      <w:pPr>
        <w:spacing w:line="240" w:lineRule="auto"/>
        <w:ind w:left="142" w:firstLine="0"/>
      </w:pPr>
      <w:r>
        <w:rPr>
          <w:noProof/>
          <w:lang w:eastAsia="fr-FR"/>
        </w:rPr>
        <w:drawing>
          <wp:inline distT="0" distB="0" distL="0" distR="0" wp14:anchorId="77A9844F" wp14:editId="01B45BF3">
            <wp:extent cx="5756910" cy="4035435"/>
            <wp:effectExtent l="0" t="0" r="889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6910" cy="4035435"/>
                    </a:xfrm>
                    <a:prstGeom prst="rect">
                      <a:avLst/>
                    </a:prstGeom>
                    <a:noFill/>
                    <a:ln>
                      <a:noFill/>
                    </a:ln>
                  </pic:spPr>
                </pic:pic>
              </a:graphicData>
            </a:graphic>
          </wp:inline>
        </w:drawing>
      </w:r>
    </w:p>
    <w:p w14:paraId="117F0BE5" w14:textId="53B2E45F" w:rsidR="00CD76CF" w:rsidRDefault="00CD76CF" w:rsidP="00602D04">
      <w:pPr>
        <w:spacing w:line="240" w:lineRule="auto"/>
        <w:ind w:firstLine="0"/>
      </w:pPr>
      <w:bookmarkStart w:id="0" w:name="_GoBack"/>
      <w:bookmarkEnd w:id="0"/>
    </w:p>
    <w:sectPr w:rsidR="00CD76CF" w:rsidSect="001D2DF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76A9B" w14:textId="77777777" w:rsidR="00CD76CF" w:rsidRDefault="00CD76CF" w:rsidP="001305B1">
      <w:pPr>
        <w:spacing w:line="240" w:lineRule="auto"/>
      </w:pPr>
      <w:r>
        <w:separator/>
      </w:r>
    </w:p>
  </w:endnote>
  <w:endnote w:type="continuationSeparator" w:id="0">
    <w:p w14:paraId="5CCF7AC0" w14:textId="77777777" w:rsidR="00CD76CF" w:rsidRDefault="00CD76CF" w:rsidP="001305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CC87C" w14:textId="77777777" w:rsidR="00CD76CF" w:rsidRDefault="00CD76CF" w:rsidP="001305B1">
      <w:pPr>
        <w:spacing w:line="240" w:lineRule="auto"/>
      </w:pPr>
      <w:r>
        <w:separator/>
      </w:r>
    </w:p>
  </w:footnote>
  <w:footnote w:type="continuationSeparator" w:id="0">
    <w:p w14:paraId="55F093FD" w14:textId="77777777" w:rsidR="00CD76CF" w:rsidRDefault="00CD76CF" w:rsidP="001305B1">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A038C"/>
    <w:multiLevelType w:val="multilevel"/>
    <w:tmpl w:val="97FAB882"/>
    <w:lvl w:ilvl="0">
      <w:start w:val="1"/>
      <w:numFmt w:val="none"/>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5B1"/>
    <w:rsid w:val="00027164"/>
    <w:rsid w:val="001305B1"/>
    <w:rsid w:val="001D2DF5"/>
    <w:rsid w:val="003C593C"/>
    <w:rsid w:val="005D0A75"/>
    <w:rsid w:val="00602D04"/>
    <w:rsid w:val="00610EFD"/>
    <w:rsid w:val="00722119"/>
    <w:rsid w:val="007F7447"/>
    <w:rsid w:val="00887A50"/>
    <w:rsid w:val="009706CC"/>
    <w:rsid w:val="009B4433"/>
    <w:rsid w:val="00B23D12"/>
    <w:rsid w:val="00B95A9B"/>
    <w:rsid w:val="00C04CCF"/>
    <w:rsid w:val="00CD67BF"/>
    <w:rsid w:val="00CD76CF"/>
    <w:rsid w:val="00D536D2"/>
    <w:rsid w:val="00E260FB"/>
    <w:rsid w:val="00EE430F"/>
    <w:rsid w:val="00F33BEB"/>
    <w:rsid w:val="00F3794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6658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5B1"/>
    <w:pPr>
      <w:spacing w:line="480" w:lineRule="auto"/>
      <w:ind w:firstLine="709"/>
      <w:jc w:val="both"/>
    </w:pPr>
    <w:rPr>
      <w:rFonts w:ascii="Times New Roman" w:eastAsia="MS Mincho" w:hAnsi="Times New Roman" w:cs="Cambria"/>
      <w:lang w:eastAsia="ja-JP"/>
    </w:rPr>
  </w:style>
  <w:style w:type="paragraph" w:styleId="Titre2">
    <w:name w:val="heading 2"/>
    <w:basedOn w:val="Normal"/>
    <w:next w:val="Corpsdetexte"/>
    <w:link w:val="Titre2Car"/>
    <w:uiPriority w:val="99"/>
    <w:qFormat/>
    <w:rsid w:val="001305B1"/>
    <w:pPr>
      <w:keepNext/>
      <w:numPr>
        <w:ilvl w:val="1"/>
        <w:numId w:val="1"/>
      </w:numPr>
      <w:tabs>
        <w:tab w:val="left" w:pos="708"/>
      </w:tabs>
      <w:suppressAutoHyphens/>
      <w:spacing w:before="240"/>
      <w:ind w:left="578" w:firstLine="0"/>
      <w:outlineLvl w:val="1"/>
    </w:pPr>
    <w:rPr>
      <w:rFonts w:cs="Times New Roman"/>
      <w:b/>
      <w:bCs/>
      <w:lang w:val="en-US" w:eastAsia="ar-SA"/>
    </w:rPr>
  </w:style>
  <w:style w:type="paragraph" w:styleId="Titre3">
    <w:name w:val="heading 3"/>
    <w:basedOn w:val="Normal"/>
    <w:next w:val="Corpsdetexte"/>
    <w:link w:val="Titre3Car"/>
    <w:uiPriority w:val="99"/>
    <w:qFormat/>
    <w:rsid w:val="001305B1"/>
    <w:pPr>
      <w:keepNext/>
      <w:numPr>
        <w:ilvl w:val="2"/>
        <w:numId w:val="1"/>
      </w:numPr>
      <w:suppressAutoHyphens/>
      <w:spacing w:before="240" w:after="60"/>
      <w:ind w:firstLine="0"/>
      <w:outlineLvl w:val="2"/>
    </w:pPr>
    <w:rPr>
      <w:rFonts w:cs="Times New Roman"/>
      <w:i/>
      <w:iCs/>
      <w:smallCap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1305B1"/>
    <w:rPr>
      <w:rFonts w:ascii="Times New Roman" w:eastAsia="MS Mincho" w:hAnsi="Times New Roman" w:cs="Times New Roman"/>
      <w:b/>
      <w:bCs/>
      <w:lang w:val="en-US" w:eastAsia="ar-SA"/>
    </w:rPr>
  </w:style>
  <w:style w:type="character" w:customStyle="1" w:styleId="Titre3Car">
    <w:name w:val="Titre 3 Car"/>
    <w:basedOn w:val="Policepardfaut"/>
    <w:link w:val="Titre3"/>
    <w:uiPriority w:val="99"/>
    <w:rsid w:val="001305B1"/>
    <w:rPr>
      <w:rFonts w:ascii="Times New Roman" w:eastAsia="MS Mincho" w:hAnsi="Times New Roman" w:cs="Times New Roman"/>
      <w:i/>
      <w:iCs/>
      <w:smallCaps/>
    </w:rPr>
  </w:style>
  <w:style w:type="character" w:styleId="Marquenotebasdepage">
    <w:name w:val="footnote reference"/>
    <w:basedOn w:val="Policepardfaut"/>
    <w:uiPriority w:val="99"/>
    <w:semiHidden/>
    <w:rsid w:val="001305B1"/>
    <w:rPr>
      <w:vertAlign w:val="superscript"/>
    </w:rPr>
  </w:style>
  <w:style w:type="paragraph" w:styleId="Notedebasdepage">
    <w:name w:val="footnote text"/>
    <w:basedOn w:val="Normal"/>
    <w:link w:val="NotedebasdepageCar"/>
    <w:uiPriority w:val="99"/>
    <w:semiHidden/>
    <w:rsid w:val="001305B1"/>
    <w:pPr>
      <w:tabs>
        <w:tab w:val="left" w:pos="708"/>
      </w:tabs>
      <w:suppressAutoHyphens/>
      <w:ind w:firstLine="567"/>
    </w:pPr>
    <w:rPr>
      <w:rFonts w:cs="Times New Roman"/>
      <w:sz w:val="20"/>
      <w:szCs w:val="20"/>
      <w:lang w:eastAsia="fr-FR"/>
    </w:rPr>
  </w:style>
  <w:style w:type="character" w:customStyle="1" w:styleId="NotedebasdepageCar">
    <w:name w:val="Note de bas de page Car"/>
    <w:basedOn w:val="Policepardfaut"/>
    <w:link w:val="Notedebasdepage"/>
    <w:uiPriority w:val="99"/>
    <w:semiHidden/>
    <w:rsid w:val="001305B1"/>
    <w:rPr>
      <w:rFonts w:ascii="Times New Roman" w:eastAsia="MS Mincho" w:hAnsi="Times New Roman" w:cs="Times New Roman"/>
      <w:sz w:val="20"/>
      <w:szCs w:val="20"/>
    </w:rPr>
  </w:style>
  <w:style w:type="paragraph" w:styleId="Corpsdetexte">
    <w:name w:val="Body Text"/>
    <w:basedOn w:val="Normal"/>
    <w:link w:val="CorpsdetexteCar"/>
    <w:uiPriority w:val="99"/>
    <w:semiHidden/>
    <w:unhideWhenUsed/>
    <w:rsid w:val="001305B1"/>
    <w:pPr>
      <w:spacing w:after="120"/>
    </w:pPr>
  </w:style>
  <w:style w:type="character" w:customStyle="1" w:styleId="CorpsdetexteCar">
    <w:name w:val="Corps de texte Car"/>
    <w:basedOn w:val="Policepardfaut"/>
    <w:link w:val="Corpsdetexte"/>
    <w:uiPriority w:val="99"/>
    <w:semiHidden/>
    <w:rsid w:val="001305B1"/>
    <w:rPr>
      <w:rFonts w:ascii="Times New Roman" w:eastAsia="MS Mincho" w:hAnsi="Times New Roman" w:cs="Cambria"/>
      <w:lang w:eastAsia="ja-JP"/>
    </w:rPr>
  </w:style>
  <w:style w:type="paragraph" w:styleId="Textedebulles">
    <w:name w:val="Balloon Text"/>
    <w:basedOn w:val="Normal"/>
    <w:link w:val="TextedebullesCar"/>
    <w:uiPriority w:val="99"/>
    <w:semiHidden/>
    <w:unhideWhenUsed/>
    <w:rsid w:val="001305B1"/>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305B1"/>
    <w:rPr>
      <w:rFonts w:ascii="Lucida Grande" w:eastAsia="MS Mincho" w:hAnsi="Lucida Grande" w:cs="Lucida Grande"/>
      <w:sz w:val="18"/>
      <w:szCs w:val="18"/>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5B1"/>
    <w:pPr>
      <w:spacing w:line="480" w:lineRule="auto"/>
      <w:ind w:firstLine="709"/>
      <w:jc w:val="both"/>
    </w:pPr>
    <w:rPr>
      <w:rFonts w:ascii="Times New Roman" w:eastAsia="MS Mincho" w:hAnsi="Times New Roman" w:cs="Cambria"/>
      <w:lang w:eastAsia="ja-JP"/>
    </w:rPr>
  </w:style>
  <w:style w:type="paragraph" w:styleId="Titre2">
    <w:name w:val="heading 2"/>
    <w:basedOn w:val="Normal"/>
    <w:next w:val="Corpsdetexte"/>
    <w:link w:val="Titre2Car"/>
    <w:uiPriority w:val="99"/>
    <w:qFormat/>
    <w:rsid w:val="001305B1"/>
    <w:pPr>
      <w:keepNext/>
      <w:numPr>
        <w:ilvl w:val="1"/>
        <w:numId w:val="1"/>
      </w:numPr>
      <w:tabs>
        <w:tab w:val="left" w:pos="708"/>
      </w:tabs>
      <w:suppressAutoHyphens/>
      <w:spacing w:before="240"/>
      <w:ind w:left="578" w:firstLine="0"/>
      <w:outlineLvl w:val="1"/>
    </w:pPr>
    <w:rPr>
      <w:rFonts w:cs="Times New Roman"/>
      <w:b/>
      <w:bCs/>
      <w:lang w:val="en-US" w:eastAsia="ar-SA"/>
    </w:rPr>
  </w:style>
  <w:style w:type="paragraph" w:styleId="Titre3">
    <w:name w:val="heading 3"/>
    <w:basedOn w:val="Normal"/>
    <w:next w:val="Corpsdetexte"/>
    <w:link w:val="Titre3Car"/>
    <w:uiPriority w:val="99"/>
    <w:qFormat/>
    <w:rsid w:val="001305B1"/>
    <w:pPr>
      <w:keepNext/>
      <w:numPr>
        <w:ilvl w:val="2"/>
        <w:numId w:val="1"/>
      </w:numPr>
      <w:suppressAutoHyphens/>
      <w:spacing w:before="240" w:after="60"/>
      <w:ind w:firstLine="0"/>
      <w:outlineLvl w:val="2"/>
    </w:pPr>
    <w:rPr>
      <w:rFonts w:cs="Times New Roman"/>
      <w:i/>
      <w:iCs/>
      <w:smallCap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1305B1"/>
    <w:rPr>
      <w:rFonts w:ascii="Times New Roman" w:eastAsia="MS Mincho" w:hAnsi="Times New Roman" w:cs="Times New Roman"/>
      <w:b/>
      <w:bCs/>
      <w:lang w:val="en-US" w:eastAsia="ar-SA"/>
    </w:rPr>
  </w:style>
  <w:style w:type="character" w:customStyle="1" w:styleId="Titre3Car">
    <w:name w:val="Titre 3 Car"/>
    <w:basedOn w:val="Policepardfaut"/>
    <w:link w:val="Titre3"/>
    <w:uiPriority w:val="99"/>
    <w:rsid w:val="001305B1"/>
    <w:rPr>
      <w:rFonts w:ascii="Times New Roman" w:eastAsia="MS Mincho" w:hAnsi="Times New Roman" w:cs="Times New Roman"/>
      <w:i/>
      <w:iCs/>
      <w:smallCaps/>
    </w:rPr>
  </w:style>
  <w:style w:type="character" w:styleId="Marquenotebasdepage">
    <w:name w:val="footnote reference"/>
    <w:basedOn w:val="Policepardfaut"/>
    <w:uiPriority w:val="99"/>
    <w:semiHidden/>
    <w:rsid w:val="001305B1"/>
    <w:rPr>
      <w:vertAlign w:val="superscript"/>
    </w:rPr>
  </w:style>
  <w:style w:type="paragraph" w:styleId="Notedebasdepage">
    <w:name w:val="footnote text"/>
    <w:basedOn w:val="Normal"/>
    <w:link w:val="NotedebasdepageCar"/>
    <w:uiPriority w:val="99"/>
    <w:semiHidden/>
    <w:rsid w:val="001305B1"/>
    <w:pPr>
      <w:tabs>
        <w:tab w:val="left" w:pos="708"/>
      </w:tabs>
      <w:suppressAutoHyphens/>
      <w:ind w:firstLine="567"/>
    </w:pPr>
    <w:rPr>
      <w:rFonts w:cs="Times New Roman"/>
      <w:sz w:val="20"/>
      <w:szCs w:val="20"/>
      <w:lang w:eastAsia="fr-FR"/>
    </w:rPr>
  </w:style>
  <w:style w:type="character" w:customStyle="1" w:styleId="NotedebasdepageCar">
    <w:name w:val="Note de bas de page Car"/>
    <w:basedOn w:val="Policepardfaut"/>
    <w:link w:val="Notedebasdepage"/>
    <w:uiPriority w:val="99"/>
    <w:semiHidden/>
    <w:rsid w:val="001305B1"/>
    <w:rPr>
      <w:rFonts w:ascii="Times New Roman" w:eastAsia="MS Mincho" w:hAnsi="Times New Roman" w:cs="Times New Roman"/>
      <w:sz w:val="20"/>
      <w:szCs w:val="20"/>
    </w:rPr>
  </w:style>
  <w:style w:type="paragraph" w:styleId="Corpsdetexte">
    <w:name w:val="Body Text"/>
    <w:basedOn w:val="Normal"/>
    <w:link w:val="CorpsdetexteCar"/>
    <w:uiPriority w:val="99"/>
    <w:semiHidden/>
    <w:unhideWhenUsed/>
    <w:rsid w:val="001305B1"/>
    <w:pPr>
      <w:spacing w:after="120"/>
    </w:pPr>
  </w:style>
  <w:style w:type="character" w:customStyle="1" w:styleId="CorpsdetexteCar">
    <w:name w:val="Corps de texte Car"/>
    <w:basedOn w:val="Policepardfaut"/>
    <w:link w:val="Corpsdetexte"/>
    <w:uiPriority w:val="99"/>
    <w:semiHidden/>
    <w:rsid w:val="001305B1"/>
    <w:rPr>
      <w:rFonts w:ascii="Times New Roman" w:eastAsia="MS Mincho" w:hAnsi="Times New Roman" w:cs="Cambria"/>
      <w:lang w:eastAsia="ja-JP"/>
    </w:rPr>
  </w:style>
  <w:style w:type="paragraph" w:styleId="Textedebulles">
    <w:name w:val="Balloon Text"/>
    <w:basedOn w:val="Normal"/>
    <w:link w:val="TextedebullesCar"/>
    <w:uiPriority w:val="99"/>
    <w:semiHidden/>
    <w:unhideWhenUsed/>
    <w:rsid w:val="001305B1"/>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305B1"/>
    <w:rPr>
      <w:rFonts w:ascii="Lucida Grande" w:eastAsia="MS Mincho" w:hAnsi="Lucida Grande" w:cs="Lucida Grande"/>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emf"/><Relationship Id="rId12" Type="http://schemas.openxmlformats.org/officeDocument/2006/relationships/image" Target="media/image5.jpeg"/><Relationship Id="rId13" Type="http://schemas.openxmlformats.org/officeDocument/2006/relationships/image" Target="media/image6.emf"/><Relationship Id="rId14" Type="http://schemas.openxmlformats.org/officeDocument/2006/relationships/image" Target="media/image7.png"/><Relationship Id="rId15" Type="http://schemas.openxmlformats.org/officeDocument/2006/relationships/image" Target="media/image8.emf"/><Relationship Id="rId16" Type="http://schemas.openxmlformats.org/officeDocument/2006/relationships/image" Target="media/image9.emf"/><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emf"/><Relationship Id="rId10"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1836</Words>
  <Characters>10104</Characters>
  <Application>Microsoft Macintosh Word</Application>
  <DocSecurity>0</DocSecurity>
  <Lines>84</Lines>
  <Paragraphs>23</Paragraphs>
  <ScaleCrop>false</ScaleCrop>
  <Company/>
  <LinksUpToDate>false</LinksUpToDate>
  <CharactersWithSpaces>11917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Lesourd</dc:creator>
  <cp:keywords/>
  <dc:description/>
  <cp:lastModifiedBy>Mathieu Lesourd</cp:lastModifiedBy>
  <cp:revision>13</cp:revision>
  <dcterms:created xsi:type="dcterms:W3CDTF">2016-03-01T17:34:00Z</dcterms:created>
  <dcterms:modified xsi:type="dcterms:W3CDTF">2016-05-25T15:13:00Z</dcterms:modified>
</cp:coreProperties>
</file>