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620"/>
        <w:gridCol w:w="1350"/>
        <w:gridCol w:w="720"/>
        <w:gridCol w:w="757"/>
        <w:gridCol w:w="1151"/>
      </w:tblGrid>
      <w:tr w:rsidR="00555318" w:rsidRPr="00555318" w:rsidTr="006C3C61">
        <w:tc>
          <w:tcPr>
            <w:tcW w:w="95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4F4E" w:rsidRPr="00555318" w:rsidRDefault="00E94F4E" w:rsidP="006C3C61">
            <w:pPr>
              <w:spacing w:before="120" w:after="100" w:afterAutospacing="1" w:line="480" w:lineRule="auto"/>
            </w:pPr>
            <w:r w:rsidRPr="00555318">
              <w:rPr>
                <w:color w:val="FF0000"/>
              </w:rPr>
              <w:t>Table 5</w:t>
            </w:r>
            <w:r w:rsidRPr="00555318">
              <w:rPr>
                <w:color w:val="FF0000"/>
              </w:rPr>
              <w:br/>
            </w:r>
            <w:r w:rsidRPr="00555318">
              <w:rPr>
                <w:rFonts w:cs="Times New Roman"/>
                <w:i/>
                <w:color w:val="FF0000"/>
              </w:rPr>
              <w:t>Mean TEA-</w:t>
            </w:r>
            <w:proofErr w:type="spellStart"/>
            <w:r w:rsidRPr="00555318">
              <w:rPr>
                <w:rFonts w:cs="Times New Roman"/>
                <w:i/>
                <w:color w:val="FF0000"/>
              </w:rPr>
              <w:t>Ch</w:t>
            </w:r>
            <w:proofErr w:type="spellEnd"/>
            <w:r w:rsidRPr="00555318">
              <w:rPr>
                <w:rFonts w:cs="Times New Roman"/>
                <w:i/>
                <w:color w:val="FF0000"/>
              </w:rPr>
              <w:t xml:space="preserve"> Scores for Full Term and Very Preterm Children at Age 12</w:t>
            </w:r>
            <w:r w:rsidRPr="00555318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555318">
              <w:rPr>
                <w:i/>
                <w:color w:val="FF0000"/>
                <w:szCs w:val="24"/>
              </w:rPr>
              <w:t>Years</w:t>
            </w:r>
            <w:r w:rsidR="00823901" w:rsidRPr="00555318">
              <w:rPr>
                <w:i/>
                <w:color w:val="FF0000"/>
                <w:szCs w:val="24"/>
              </w:rPr>
              <w:t xml:space="preserve"> After the Exclusion of</w:t>
            </w:r>
            <w:r w:rsidRPr="00555318">
              <w:rPr>
                <w:i/>
                <w:color w:val="FF0000"/>
                <w:szCs w:val="24"/>
              </w:rPr>
              <w:t xml:space="preserve"> Significant </w:t>
            </w:r>
            <w:r w:rsidR="00AF5E40">
              <w:rPr>
                <w:i/>
                <w:color w:val="FF0000"/>
                <w:szCs w:val="24"/>
              </w:rPr>
              <w:t xml:space="preserve">(&gt;3 SD) </w:t>
            </w:r>
            <w:bookmarkStart w:id="0" w:name="_GoBack"/>
            <w:bookmarkEnd w:id="0"/>
            <w:r w:rsidRPr="00555318">
              <w:rPr>
                <w:i/>
                <w:color w:val="FF0000"/>
                <w:szCs w:val="24"/>
              </w:rPr>
              <w:t xml:space="preserve">Outliers </w:t>
            </w:r>
          </w:p>
        </w:tc>
      </w:tr>
      <w:tr w:rsidR="00555318" w:rsidRPr="00555318" w:rsidTr="006C3C61"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C478FB" w:rsidRPr="00555318" w:rsidRDefault="00C478FB" w:rsidP="00242EB4">
            <w:pPr>
              <w:spacing w:before="120" w:after="100" w:afterAutospacing="1" w:line="480" w:lineRule="auto"/>
              <w:rPr>
                <w:b/>
              </w:rPr>
            </w:pPr>
            <w:r w:rsidRPr="00555318">
              <w:rPr>
                <w:b/>
              </w:rPr>
              <w:t>TEA-</w:t>
            </w:r>
            <w:proofErr w:type="spellStart"/>
            <w:r w:rsidRPr="00555318">
              <w:rPr>
                <w:b/>
              </w:rPr>
              <w:t>Ch</w:t>
            </w:r>
            <w:proofErr w:type="spellEnd"/>
            <w:r w:rsidRPr="00555318">
              <w:rPr>
                <w:b/>
              </w:rPr>
              <w:t xml:space="preserve"> Subtest, m (SD)</w:t>
            </w:r>
            <w:r w:rsidR="00114EF5">
              <w:rPr>
                <w:b/>
              </w:rPr>
              <w:t xml:space="preserve"> </w:t>
            </w:r>
            <w:r w:rsidR="00A32CC6" w:rsidRPr="00555318">
              <w:rPr>
                <w:b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478FB" w:rsidRPr="00555318" w:rsidRDefault="00C478FB" w:rsidP="00242EB4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55318">
              <w:rPr>
                <w:b/>
              </w:rPr>
              <w:t>FT (</w:t>
            </w:r>
            <w:r w:rsidRPr="00555318">
              <w:rPr>
                <w:b/>
                <w:i/>
              </w:rPr>
              <w:t>n</w:t>
            </w:r>
            <w:r w:rsidRPr="00555318">
              <w:rPr>
                <w:b/>
              </w:rPr>
              <w:t>=106)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478FB" w:rsidRPr="00555318" w:rsidRDefault="00C478FB" w:rsidP="00242EB4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55318">
              <w:rPr>
                <w:b/>
              </w:rPr>
              <w:t>VPT (</w:t>
            </w:r>
            <w:r w:rsidRPr="00555318">
              <w:rPr>
                <w:b/>
                <w:i/>
              </w:rPr>
              <w:t>n</w:t>
            </w:r>
            <w:r w:rsidRPr="00555318">
              <w:rPr>
                <w:b/>
              </w:rPr>
              <w:t>=100)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478FB" w:rsidRPr="00555318" w:rsidRDefault="00C478FB" w:rsidP="00242EB4">
            <w:pPr>
              <w:spacing w:before="120" w:after="100" w:afterAutospacing="1" w:line="480" w:lineRule="auto"/>
              <w:jc w:val="center"/>
              <w:rPr>
                <w:b/>
                <w:i/>
              </w:rPr>
            </w:pPr>
            <w:r w:rsidRPr="00555318">
              <w:rPr>
                <w:b/>
                <w:i/>
              </w:rPr>
              <w:t>t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478FB" w:rsidRPr="00555318" w:rsidRDefault="00C478FB" w:rsidP="00242EB4">
            <w:pPr>
              <w:spacing w:before="120" w:after="100" w:afterAutospacing="1" w:line="480" w:lineRule="auto"/>
              <w:jc w:val="center"/>
              <w:rPr>
                <w:b/>
                <w:i/>
              </w:rPr>
            </w:pPr>
            <w:r w:rsidRPr="00555318">
              <w:rPr>
                <w:b/>
                <w:i/>
              </w:rPr>
              <w:t>p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C478FB" w:rsidRPr="00555318" w:rsidRDefault="00C478FB" w:rsidP="00242EB4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55318">
              <w:rPr>
                <w:b/>
              </w:rPr>
              <w:t xml:space="preserve">Cohen’s </w:t>
            </w:r>
            <w:r w:rsidRPr="00555318">
              <w:rPr>
                <w:b/>
                <w:i/>
              </w:rPr>
              <w:t>d</w:t>
            </w:r>
          </w:p>
        </w:tc>
      </w:tr>
      <w:tr w:rsidR="00555318" w:rsidRPr="00555318" w:rsidTr="006C3C61">
        <w:tc>
          <w:tcPr>
            <w:tcW w:w="3978" w:type="dxa"/>
            <w:tcBorders>
              <w:top w:val="single" w:sz="4" w:space="0" w:color="auto"/>
            </w:tcBorders>
          </w:tcPr>
          <w:p w:rsidR="00A32CC6" w:rsidRPr="00555318" w:rsidRDefault="00A32CC6" w:rsidP="00242EB4">
            <w:pPr>
              <w:spacing w:before="120" w:after="100" w:afterAutospacing="1" w:line="480" w:lineRule="auto"/>
              <w:rPr>
                <w:b/>
              </w:rPr>
            </w:pPr>
            <w:r w:rsidRPr="00555318">
              <w:rPr>
                <w:b/>
              </w:rPr>
              <w:t xml:space="preserve">Selective Attention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</w:tr>
      <w:tr w:rsidR="00555318" w:rsidRPr="00555318" w:rsidTr="006C3C61">
        <w:tc>
          <w:tcPr>
            <w:tcW w:w="3978" w:type="dxa"/>
          </w:tcPr>
          <w:p w:rsidR="00A32CC6" w:rsidRPr="00555318" w:rsidRDefault="00A32CC6" w:rsidP="00A32CC6">
            <w:pPr>
              <w:spacing w:before="120" w:after="100" w:afterAutospacing="1" w:line="480" w:lineRule="auto"/>
            </w:pPr>
            <w:r w:rsidRPr="00555318">
              <w:t xml:space="preserve">Outliers detected and removed, </w:t>
            </w:r>
            <w:r w:rsidRPr="00555318">
              <w:rPr>
                <w:i/>
              </w:rPr>
              <w:t>n</w:t>
            </w:r>
          </w:p>
        </w:tc>
        <w:tc>
          <w:tcPr>
            <w:tcW w:w="162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  <w:r w:rsidRPr="00555318">
              <w:t>0</w:t>
            </w:r>
          </w:p>
        </w:tc>
        <w:tc>
          <w:tcPr>
            <w:tcW w:w="135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  <w:r w:rsidRPr="00555318">
              <w:t>4</w:t>
            </w:r>
          </w:p>
        </w:tc>
        <w:tc>
          <w:tcPr>
            <w:tcW w:w="72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57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1151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</w:tr>
      <w:tr w:rsidR="00555318" w:rsidRPr="00555318" w:rsidTr="006C3C61">
        <w:tc>
          <w:tcPr>
            <w:tcW w:w="3978" w:type="dxa"/>
          </w:tcPr>
          <w:p w:rsidR="00A32CC6" w:rsidRPr="00555318" w:rsidRDefault="00A32CC6" w:rsidP="006C3C61">
            <w:pPr>
              <w:spacing w:before="120" w:after="100" w:afterAutospacing="1" w:line="480" w:lineRule="auto"/>
              <w:ind w:left="180"/>
            </w:pPr>
            <w:r w:rsidRPr="00555318">
              <w:t>Sky Search Attention Score</w:t>
            </w:r>
            <w:r w:rsidR="00114EF5">
              <w:rPr>
                <w:rFonts w:cs="Times New Roman"/>
                <w:vertAlign w:val="superscript"/>
              </w:rPr>
              <w:t xml:space="preserve"> </w:t>
            </w:r>
            <w:r w:rsidRPr="00555318"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1620" w:type="dxa"/>
          </w:tcPr>
          <w:p w:rsidR="00A32CC6" w:rsidRPr="00555318" w:rsidRDefault="00A32CC6" w:rsidP="00EB17C6">
            <w:pPr>
              <w:spacing w:before="120" w:after="100" w:afterAutospacing="1" w:line="480" w:lineRule="auto"/>
              <w:jc w:val="center"/>
            </w:pPr>
            <w:r w:rsidRPr="00555318">
              <w:t>3.55 (1.11)</w:t>
            </w:r>
          </w:p>
        </w:tc>
        <w:tc>
          <w:tcPr>
            <w:tcW w:w="1350" w:type="dxa"/>
          </w:tcPr>
          <w:p w:rsidR="00A32CC6" w:rsidRPr="00555318" w:rsidRDefault="00A32CC6" w:rsidP="00EB17C6">
            <w:pPr>
              <w:spacing w:before="120" w:after="100" w:afterAutospacing="1" w:line="480" w:lineRule="auto"/>
              <w:jc w:val="center"/>
            </w:pPr>
            <w:r w:rsidRPr="00555318">
              <w:t>3.34 (0.98)</w:t>
            </w:r>
          </w:p>
        </w:tc>
        <w:tc>
          <w:tcPr>
            <w:tcW w:w="720" w:type="dxa"/>
          </w:tcPr>
          <w:p w:rsidR="00A32CC6" w:rsidRPr="00555318" w:rsidRDefault="00A32CC6" w:rsidP="00EB17C6">
            <w:pPr>
              <w:spacing w:before="120" w:after="100" w:afterAutospacing="1" w:line="480" w:lineRule="auto"/>
              <w:jc w:val="center"/>
            </w:pPr>
            <w:r w:rsidRPr="00555318">
              <w:t>1.49</w:t>
            </w:r>
          </w:p>
        </w:tc>
        <w:tc>
          <w:tcPr>
            <w:tcW w:w="757" w:type="dxa"/>
          </w:tcPr>
          <w:p w:rsidR="00A32CC6" w:rsidRPr="00555318" w:rsidRDefault="00A32CC6" w:rsidP="00EB17C6">
            <w:pPr>
              <w:spacing w:before="120" w:after="100" w:afterAutospacing="1" w:line="480" w:lineRule="auto"/>
              <w:jc w:val="center"/>
            </w:pPr>
            <w:r w:rsidRPr="00555318">
              <w:t>.14</w:t>
            </w:r>
          </w:p>
        </w:tc>
        <w:tc>
          <w:tcPr>
            <w:tcW w:w="1151" w:type="dxa"/>
          </w:tcPr>
          <w:p w:rsidR="00A32CC6" w:rsidRPr="00555318" w:rsidRDefault="00A32CC6" w:rsidP="00EB17C6">
            <w:pPr>
              <w:spacing w:before="120" w:after="100" w:afterAutospacing="1" w:line="480" w:lineRule="auto"/>
              <w:jc w:val="center"/>
            </w:pPr>
            <w:r w:rsidRPr="00555318">
              <w:t>0.20</w:t>
            </w:r>
          </w:p>
        </w:tc>
      </w:tr>
      <w:tr w:rsidR="00555318" w:rsidRPr="00555318" w:rsidTr="006C3C61">
        <w:tc>
          <w:tcPr>
            <w:tcW w:w="3978" w:type="dxa"/>
          </w:tcPr>
          <w:p w:rsidR="00A32CC6" w:rsidRPr="00555318" w:rsidRDefault="00A32CC6" w:rsidP="00242EB4">
            <w:pPr>
              <w:spacing w:before="120" w:after="100" w:afterAutospacing="1" w:line="480" w:lineRule="auto"/>
            </w:pPr>
            <w:r w:rsidRPr="00555318">
              <w:rPr>
                <w:b/>
              </w:rPr>
              <w:t xml:space="preserve">Sustained Response Inhibition </w:t>
            </w:r>
          </w:p>
        </w:tc>
        <w:tc>
          <w:tcPr>
            <w:tcW w:w="162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135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2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57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1151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</w:tr>
      <w:tr w:rsidR="00555318" w:rsidRPr="00555318" w:rsidTr="006C3C61">
        <w:tc>
          <w:tcPr>
            <w:tcW w:w="3978" w:type="dxa"/>
          </w:tcPr>
          <w:p w:rsidR="00A32CC6" w:rsidRPr="00555318" w:rsidRDefault="00A32CC6" w:rsidP="00242EB4">
            <w:pPr>
              <w:spacing w:before="120" w:after="100" w:afterAutospacing="1" w:line="480" w:lineRule="auto"/>
            </w:pPr>
            <w:r w:rsidRPr="00555318">
              <w:t xml:space="preserve">Outliers detected and removed, </w:t>
            </w:r>
            <w:r w:rsidRPr="00555318">
              <w:rPr>
                <w:i/>
              </w:rPr>
              <w:t>n</w:t>
            </w:r>
          </w:p>
        </w:tc>
        <w:tc>
          <w:tcPr>
            <w:tcW w:w="162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  <w:r w:rsidRPr="00555318">
              <w:t>1</w:t>
            </w:r>
          </w:p>
        </w:tc>
        <w:tc>
          <w:tcPr>
            <w:tcW w:w="135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  <w:r w:rsidRPr="00555318">
              <w:t>0</w:t>
            </w:r>
          </w:p>
        </w:tc>
        <w:tc>
          <w:tcPr>
            <w:tcW w:w="72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57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1151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</w:tr>
      <w:tr w:rsidR="00555318" w:rsidRPr="00555318" w:rsidTr="006C3C61">
        <w:tc>
          <w:tcPr>
            <w:tcW w:w="3978" w:type="dxa"/>
          </w:tcPr>
          <w:p w:rsidR="00A32CC6" w:rsidRPr="00555318" w:rsidRDefault="00A32CC6" w:rsidP="006C3C61">
            <w:pPr>
              <w:spacing w:before="120" w:after="100" w:afterAutospacing="1" w:line="480" w:lineRule="auto"/>
              <w:ind w:firstLine="180"/>
            </w:pPr>
            <w:r w:rsidRPr="00555318">
              <w:t>Walk Don’t Walk Total Correct</w:t>
            </w:r>
          </w:p>
        </w:tc>
        <w:tc>
          <w:tcPr>
            <w:tcW w:w="1620" w:type="dxa"/>
          </w:tcPr>
          <w:p w:rsidR="00A32CC6" w:rsidRPr="00555318" w:rsidRDefault="00A32CC6" w:rsidP="00F235E9">
            <w:pPr>
              <w:spacing w:before="120" w:after="100" w:afterAutospacing="1" w:line="480" w:lineRule="auto"/>
              <w:jc w:val="center"/>
            </w:pPr>
            <w:r w:rsidRPr="00555318">
              <w:t>15.98 (2.39)</w:t>
            </w:r>
          </w:p>
        </w:tc>
        <w:tc>
          <w:tcPr>
            <w:tcW w:w="1350" w:type="dxa"/>
          </w:tcPr>
          <w:p w:rsidR="00A32CC6" w:rsidRPr="00555318" w:rsidRDefault="00A32CC6" w:rsidP="00F235E9">
            <w:pPr>
              <w:spacing w:before="120" w:after="100" w:afterAutospacing="1" w:line="480" w:lineRule="auto"/>
              <w:jc w:val="center"/>
            </w:pPr>
            <w:r w:rsidRPr="00555318">
              <w:t>14.91 (3.66)</w:t>
            </w:r>
          </w:p>
        </w:tc>
        <w:tc>
          <w:tcPr>
            <w:tcW w:w="720" w:type="dxa"/>
          </w:tcPr>
          <w:p w:rsidR="00A32CC6" w:rsidRPr="00555318" w:rsidRDefault="00A32CC6" w:rsidP="00F235E9">
            <w:pPr>
              <w:spacing w:before="120" w:after="100" w:afterAutospacing="1" w:line="480" w:lineRule="auto"/>
              <w:jc w:val="center"/>
            </w:pPr>
            <w:r w:rsidRPr="00555318">
              <w:t>2.46</w:t>
            </w:r>
          </w:p>
        </w:tc>
        <w:tc>
          <w:tcPr>
            <w:tcW w:w="757" w:type="dxa"/>
          </w:tcPr>
          <w:p w:rsidR="00A32CC6" w:rsidRPr="00555318" w:rsidRDefault="00A32CC6" w:rsidP="00F235E9">
            <w:pPr>
              <w:spacing w:before="120" w:after="100" w:afterAutospacing="1" w:line="480" w:lineRule="auto"/>
              <w:jc w:val="center"/>
            </w:pPr>
            <w:r w:rsidRPr="00555318">
              <w:t>.02</w:t>
            </w:r>
          </w:p>
        </w:tc>
        <w:tc>
          <w:tcPr>
            <w:tcW w:w="1151" w:type="dxa"/>
          </w:tcPr>
          <w:p w:rsidR="00A32CC6" w:rsidRPr="00555318" w:rsidRDefault="00A32CC6" w:rsidP="00F235E9">
            <w:pPr>
              <w:spacing w:before="120" w:after="100" w:afterAutospacing="1" w:line="480" w:lineRule="auto"/>
              <w:jc w:val="center"/>
            </w:pPr>
            <w:r w:rsidRPr="00555318">
              <w:t>0.35</w:t>
            </w:r>
          </w:p>
        </w:tc>
      </w:tr>
      <w:tr w:rsidR="00555318" w:rsidRPr="00555318" w:rsidTr="006C3C61">
        <w:tc>
          <w:tcPr>
            <w:tcW w:w="3978" w:type="dxa"/>
          </w:tcPr>
          <w:p w:rsidR="00A32CC6" w:rsidRPr="00555318" w:rsidRDefault="00A32CC6" w:rsidP="00242EB4">
            <w:pPr>
              <w:spacing w:before="120" w:after="100" w:afterAutospacing="1" w:line="480" w:lineRule="auto"/>
              <w:rPr>
                <w:b/>
              </w:rPr>
            </w:pPr>
            <w:r w:rsidRPr="00555318">
              <w:rPr>
                <w:b/>
              </w:rPr>
              <w:t>Executive Divided Attention</w:t>
            </w:r>
          </w:p>
        </w:tc>
        <w:tc>
          <w:tcPr>
            <w:tcW w:w="162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135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2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57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1151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</w:tr>
      <w:tr w:rsidR="00555318" w:rsidRPr="00555318" w:rsidTr="006C3C61">
        <w:tc>
          <w:tcPr>
            <w:tcW w:w="3978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</w:pPr>
            <w:r w:rsidRPr="00555318">
              <w:t xml:space="preserve">Outliers detected and removed, </w:t>
            </w:r>
            <w:r w:rsidRPr="00555318">
              <w:rPr>
                <w:i/>
              </w:rPr>
              <w:t>n</w:t>
            </w:r>
          </w:p>
        </w:tc>
        <w:tc>
          <w:tcPr>
            <w:tcW w:w="1620" w:type="dxa"/>
          </w:tcPr>
          <w:p w:rsidR="00A32CC6" w:rsidRPr="00555318" w:rsidRDefault="00F90E60" w:rsidP="008B6E66">
            <w:pPr>
              <w:spacing w:before="120" w:after="100" w:afterAutospacing="1" w:line="480" w:lineRule="auto"/>
              <w:jc w:val="center"/>
            </w:pPr>
            <w:r>
              <w:t>8</w:t>
            </w:r>
          </w:p>
        </w:tc>
        <w:tc>
          <w:tcPr>
            <w:tcW w:w="1350" w:type="dxa"/>
          </w:tcPr>
          <w:p w:rsidR="00A32CC6" w:rsidRPr="00555318" w:rsidRDefault="00A32CC6" w:rsidP="008B6E66">
            <w:pPr>
              <w:spacing w:before="120" w:after="100" w:afterAutospacing="1" w:line="480" w:lineRule="auto"/>
              <w:jc w:val="center"/>
            </w:pPr>
            <w:r w:rsidRPr="00555318">
              <w:t>3</w:t>
            </w:r>
          </w:p>
        </w:tc>
        <w:tc>
          <w:tcPr>
            <w:tcW w:w="720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57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1151" w:type="dxa"/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</w:p>
        </w:tc>
      </w:tr>
      <w:tr w:rsidR="00555318" w:rsidRPr="00555318" w:rsidTr="006C3C61">
        <w:tc>
          <w:tcPr>
            <w:tcW w:w="3978" w:type="dxa"/>
            <w:tcBorders>
              <w:bottom w:val="single" w:sz="4" w:space="0" w:color="auto"/>
            </w:tcBorders>
          </w:tcPr>
          <w:p w:rsidR="00A32CC6" w:rsidRPr="00555318" w:rsidRDefault="00A32CC6" w:rsidP="006C3C61">
            <w:pPr>
              <w:spacing w:before="120" w:after="100" w:afterAutospacing="1" w:line="480" w:lineRule="auto"/>
              <w:ind w:left="180"/>
            </w:pPr>
            <w:r w:rsidRPr="00555318">
              <w:t xml:space="preserve">Sky Search Dual Task Decrement Score </w:t>
            </w:r>
            <w:r w:rsidR="00114EF5"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  <w:r w:rsidRPr="00555318">
              <w:t>0.90 (1.20)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  <w:r w:rsidRPr="00555318">
              <w:t>2.58 (2.58)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  <w:r w:rsidRPr="00555318">
              <w:t>-5.82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  <w:r w:rsidRPr="00555318">
              <w:t>&lt;.001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A32CC6" w:rsidRPr="00555318" w:rsidRDefault="00A32CC6" w:rsidP="00C478FB">
            <w:pPr>
              <w:spacing w:before="120" w:after="100" w:afterAutospacing="1" w:line="480" w:lineRule="auto"/>
              <w:jc w:val="center"/>
            </w:pPr>
            <w:r w:rsidRPr="00555318">
              <w:t>0.83</w:t>
            </w:r>
          </w:p>
        </w:tc>
      </w:tr>
      <w:tr w:rsidR="00555318" w:rsidRPr="00555318" w:rsidTr="006C3C61">
        <w:tc>
          <w:tcPr>
            <w:tcW w:w="9576" w:type="dxa"/>
            <w:gridSpan w:val="6"/>
            <w:tcBorders>
              <w:top w:val="single" w:sz="4" w:space="0" w:color="auto"/>
            </w:tcBorders>
          </w:tcPr>
          <w:p w:rsidR="00A32CC6" w:rsidRPr="00555318" w:rsidRDefault="00A32CC6" w:rsidP="006C3C61">
            <w:pPr>
              <w:spacing w:before="120" w:after="100" w:afterAutospacing="1" w:line="480" w:lineRule="auto"/>
              <w:rPr>
                <w:rFonts w:cs="Times New Roman"/>
              </w:rPr>
            </w:pPr>
            <w:r w:rsidRPr="00555318">
              <w:rPr>
                <w:i/>
              </w:rPr>
              <w:t>Note.</w:t>
            </w:r>
            <w:r w:rsidRPr="00555318">
              <w:t xml:space="preserve"> </w:t>
            </w:r>
            <w:r w:rsidRPr="00555318">
              <w:rPr>
                <w:szCs w:val="24"/>
              </w:rPr>
              <w:t>Raw TEA-</w:t>
            </w:r>
            <w:proofErr w:type="spellStart"/>
            <w:r w:rsidRPr="00555318">
              <w:rPr>
                <w:szCs w:val="24"/>
              </w:rPr>
              <w:t>Ch</w:t>
            </w:r>
            <w:proofErr w:type="spellEnd"/>
            <w:r w:rsidRPr="00555318">
              <w:rPr>
                <w:szCs w:val="24"/>
              </w:rPr>
              <w:t xml:space="preserve"> scores are reported. </w:t>
            </w:r>
            <w:r w:rsidRPr="00555318">
              <w:rPr>
                <w:rFonts w:cs="Times New Roman"/>
              </w:rPr>
              <w:t xml:space="preserve"> </w:t>
            </w:r>
            <w:r w:rsidRPr="00555318">
              <w:rPr>
                <w:rFonts w:cs="Times New Roman"/>
              </w:rPr>
              <w:br/>
            </w:r>
            <w:proofErr w:type="gramStart"/>
            <w:r w:rsidRPr="00555318">
              <w:rPr>
                <w:rFonts w:cs="Times New Roman"/>
                <w:vertAlign w:val="superscript"/>
              </w:rPr>
              <w:t>a</w:t>
            </w:r>
            <w:proofErr w:type="gramEnd"/>
            <w:r w:rsidRPr="00555318">
              <w:rPr>
                <w:rFonts w:cs="Times New Roman"/>
                <w:vertAlign w:val="superscript"/>
              </w:rPr>
              <w:t xml:space="preserve"> </w:t>
            </w:r>
            <w:r w:rsidR="006C3C61" w:rsidRPr="00555318">
              <w:rPr>
                <w:rFonts w:cs="Times New Roman"/>
              </w:rPr>
              <w:t>Data</w:t>
            </w:r>
            <w:r w:rsidRPr="00555318">
              <w:rPr>
                <w:rFonts w:cs="Times New Roman"/>
              </w:rPr>
              <w:t xml:space="preserve"> shown for measures on which significant outliers (&gt;3 SD) were detected. No significant outliers were detected on Score! </w:t>
            </w:r>
            <w:proofErr w:type="gramStart"/>
            <w:r w:rsidRPr="00555318">
              <w:rPr>
                <w:rFonts w:cs="Times New Roman"/>
              </w:rPr>
              <w:t>or</w:t>
            </w:r>
            <w:proofErr w:type="gramEnd"/>
            <w:r w:rsidRPr="00555318">
              <w:rPr>
                <w:rFonts w:cs="Times New Roman"/>
              </w:rPr>
              <w:t xml:space="preserve"> Creature Counting. </w:t>
            </w:r>
            <w:r w:rsidRPr="00555318">
              <w:rPr>
                <w:rFonts w:cs="Times New Roman"/>
                <w:vertAlign w:val="superscript"/>
              </w:rPr>
              <w:t>b</w:t>
            </w:r>
            <w:r w:rsidRPr="00555318">
              <w:rPr>
                <w:rFonts w:cs="Times New Roman"/>
              </w:rPr>
              <w:t xml:space="preserve"> Higher sco</w:t>
            </w:r>
            <w:r w:rsidRPr="00555318">
              <w:rPr>
                <w:rFonts w:cs="Times New Roman"/>
              </w:rPr>
              <w:t>res indicate poorer performance</w:t>
            </w:r>
          </w:p>
        </w:tc>
      </w:tr>
    </w:tbl>
    <w:p w:rsidR="00A32CC6" w:rsidRDefault="00A32CC6">
      <w:pPr>
        <w:spacing w:after="200" w:line="276" w:lineRule="auto"/>
        <w:sectPr w:rsidR="00A32CC6" w:rsidSect="00A32CC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75D8" w:rsidRDefault="00BC75D8" w:rsidP="00BC75D8">
      <w:pPr>
        <w:spacing w:after="200" w:line="276" w:lineRule="auto"/>
      </w:pPr>
    </w:p>
    <w:tbl>
      <w:tblPr>
        <w:tblStyle w:val="TableGrid"/>
        <w:tblpPr w:leftFromText="180" w:rightFromText="180" w:horzAnchor="margin" w:tblpY="68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1"/>
        <w:gridCol w:w="991"/>
        <w:gridCol w:w="988"/>
        <w:gridCol w:w="1531"/>
        <w:gridCol w:w="809"/>
        <w:gridCol w:w="722"/>
        <w:gridCol w:w="1800"/>
        <w:gridCol w:w="1997"/>
      </w:tblGrid>
      <w:tr w:rsidR="004A6948" w:rsidRPr="0057107E" w:rsidTr="00BC75D8">
        <w:trPr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</w:pPr>
            <w:r w:rsidRPr="0057107E">
              <w:t xml:space="preserve">Table </w:t>
            </w:r>
            <w:r w:rsidR="00BC75D8" w:rsidRPr="00BC75D8">
              <w:rPr>
                <w:color w:val="FF0000"/>
              </w:rPr>
              <w:t>6</w:t>
            </w:r>
            <w:r w:rsidRPr="0057107E">
              <w:br/>
            </w:r>
            <w:r w:rsidRPr="0057107E">
              <w:rPr>
                <w:i/>
              </w:rPr>
              <w:t xml:space="preserve">MNI Coordinates for Voxels with Peak </w:t>
            </w:r>
            <w:r w:rsidR="00A1779E" w:rsidRPr="0057107E">
              <w:rPr>
                <w:i/>
              </w:rPr>
              <w:t xml:space="preserve">t and </w:t>
            </w:r>
            <w:r w:rsidRPr="0057107E">
              <w:rPr>
                <w:i/>
              </w:rPr>
              <w:t>Z Scores from VBM Analysis Comparing Regional Differences in Grey Matter Volume Between Full Term (</w:t>
            </w:r>
            <w:r w:rsidRPr="0057107E">
              <w:rPr>
                <w:i/>
                <w:lang w:val="en-NZ"/>
              </w:rPr>
              <w:t>n=</w:t>
            </w:r>
            <w:r w:rsidR="00773B51">
              <w:rPr>
                <w:i/>
                <w:lang w:val="en-NZ"/>
              </w:rPr>
              <w:t>93</w:t>
            </w:r>
            <w:r w:rsidRPr="0057107E">
              <w:rPr>
                <w:i/>
              </w:rPr>
              <w:t xml:space="preserve">) and Very Preterm </w:t>
            </w:r>
            <w:r w:rsidRPr="0057107E">
              <w:rPr>
                <w:i/>
                <w:lang w:val="en-NZ"/>
              </w:rPr>
              <w:t>(n=</w:t>
            </w:r>
            <w:r w:rsidR="00773B51">
              <w:rPr>
                <w:i/>
                <w:lang w:val="en-NZ"/>
              </w:rPr>
              <w:t>89</w:t>
            </w:r>
            <w:r w:rsidRPr="0057107E">
              <w:rPr>
                <w:i/>
                <w:lang w:val="en-NZ"/>
              </w:rPr>
              <w:t>)</w:t>
            </w:r>
            <w:r w:rsidRPr="0057107E">
              <w:rPr>
                <w:i/>
              </w:rPr>
              <w:t xml:space="preserve"> Children at Age 12 Years</w:t>
            </w:r>
            <w:r w:rsidR="002846F9" w:rsidRPr="0057107E">
              <w:rPr>
                <w:i/>
              </w:rPr>
              <w:t>,</w:t>
            </w:r>
            <w:r w:rsidRPr="0057107E">
              <w:rPr>
                <w:i/>
              </w:rPr>
              <w:t xml:space="preserve"> Adjust</w:t>
            </w:r>
            <w:r w:rsidR="002846F9" w:rsidRPr="0057107E">
              <w:rPr>
                <w:i/>
              </w:rPr>
              <w:t>ed for A</w:t>
            </w:r>
            <w:r w:rsidR="00BD02CB" w:rsidRPr="0057107E">
              <w:rPr>
                <w:i/>
              </w:rPr>
              <w:t>ge at Scan, Sex, Puberty</w:t>
            </w:r>
            <w:r w:rsidR="002846F9" w:rsidRPr="0057107E">
              <w:rPr>
                <w:i/>
              </w:rPr>
              <w:t>,</w:t>
            </w:r>
            <w:r w:rsidRPr="0057107E">
              <w:rPr>
                <w:i/>
              </w:rPr>
              <w:t xml:space="preserve"> and Social Risk</w:t>
            </w:r>
            <w:r w:rsidR="005400B6" w:rsidRPr="0057107E">
              <w:rPr>
                <w:i/>
              </w:rPr>
              <w:t xml:space="preserve"> Index</w:t>
            </w:r>
          </w:p>
        </w:tc>
      </w:tr>
      <w:tr w:rsidR="004A6948" w:rsidRPr="0057107E" w:rsidTr="00BC75D8">
        <w:trPr>
          <w:trHeight w:val="467"/>
          <w:tblHeader/>
        </w:trPr>
        <w:tc>
          <w:tcPr>
            <w:tcW w:w="1270" w:type="pct"/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7107E">
              <w:rPr>
                <w:b/>
              </w:rPr>
              <w:t>Region</w:t>
            </w:r>
          </w:p>
        </w:tc>
        <w:tc>
          <w:tcPr>
            <w:tcW w:w="1127" w:type="pct"/>
            <w:gridSpan w:val="3"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7107E">
              <w:rPr>
                <w:b/>
              </w:rPr>
              <w:t>MNI coordinates</w:t>
            </w:r>
          </w:p>
        </w:tc>
        <w:tc>
          <w:tcPr>
            <w:tcW w:w="581" w:type="pct"/>
            <w:vMerge w:val="restart"/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  <w:i/>
              </w:rPr>
            </w:pPr>
            <w:r w:rsidRPr="0057107E">
              <w:rPr>
                <w:b/>
              </w:rPr>
              <w:t>Cluster-extent</w:t>
            </w:r>
          </w:p>
        </w:tc>
        <w:tc>
          <w:tcPr>
            <w:tcW w:w="307" w:type="pct"/>
            <w:vMerge w:val="restart"/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  <w:i/>
              </w:rPr>
            </w:pPr>
            <w:r w:rsidRPr="0057107E">
              <w:rPr>
                <w:b/>
                <w:i/>
              </w:rPr>
              <w:t>t</w:t>
            </w:r>
          </w:p>
        </w:tc>
        <w:tc>
          <w:tcPr>
            <w:tcW w:w="274" w:type="pct"/>
            <w:vMerge w:val="restart"/>
            <w:vAlign w:val="center"/>
          </w:tcPr>
          <w:p w:rsidR="004A6948" w:rsidRPr="0057107E" w:rsidRDefault="00A1779E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7107E">
              <w:rPr>
                <w:b/>
              </w:rPr>
              <w:t>Z</w:t>
            </w:r>
          </w:p>
        </w:tc>
        <w:tc>
          <w:tcPr>
            <w:tcW w:w="683" w:type="pct"/>
            <w:vMerge w:val="restart"/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7107E">
              <w:rPr>
                <w:b/>
              </w:rPr>
              <w:t>Uncorr</w:t>
            </w:r>
            <w:r w:rsidR="002050AC" w:rsidRPr="0057107E">
              <w:rPr>
                <w:b/>
              </w:rPr>
              <w:t xml:space="preserve">ected </w:t>
            </w:r>
            <w:r w:rsidRPr="0057107E">
              <w:rPr>
                <w:b/>
                <w:i/>
              </w:rPr>
              <w:t>p</w:t>
            </w:r>
          </w:p>
        </w:tc>
        <w:tc>
          <w:tcPr>
            <w:tcW w:w="758" w:type="pct"/>
            <w:vMerge w:val="restart"/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7107E">
              <w:rPr>
                <w:b/>
              </w:rPr>
              <w:t xml:space="preserve">FWE-corrected </w:t>
            </w:r>
            <w:r w:rsidRPr="0057107E">
              <w:rPr>
                <w:b/>
                <w:i/>
              </w:rPr>
              <w:t>p</w:t>
            </w:r>
          </w:p>
        </w:tc>
      </w:tr>
      <w:tr w:rsidR="002050AC" w:rsidRPr="0057107E" w:rsidTr="00BC75D8">
        <w:trPr>
          <w:trHeight w:val="386"/>
          <w:tblHeader/>
        </w:trPr>
        <w:tc>
          <w:tcPr>
            <w:tcW w:w="1270" w:type="pct"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7107E">
              <w:rPr>
                <w:b/>
              </w:rPr>
              <w:t>X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7107E">
              <w:rPr>
                <w:b/>
              </w:rPr>
              <w:t>Y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  <w:r w:rsidRPr="0057107E">
              <w:rPr>
                <w:b/>
              </w:rPr>
              <w:t>Z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  <w:i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</w:p>
        </w:tc>
        <w:tc>
          <w:tcPr>
            <w:tcW w:w="683" w:type="pct"/>
            <w:vMerge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  <w:rPr>
                <w:b/>
              </w:rPr>
            </w:pPr>
          </w:p>
        </w:tc>
      </w:tr>
      <w:tr w:rsidR="002050AC" w:rsidRPr="0057107E" w:rsidTr="00BC75D8">
        <w:trPr>
          <w:trHeight w:val="593"/>
        </w:trPr>
        <w:tc>
          <w:tcPr>
            <w:tcW w:w="1270" w:type="pct"/>
            <w:tcBorders>
              <w:top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</w:pPr>
            <w:r w:rsidRPr="0057107E">
              <w:rPr>
                <w:b/>
              </w:rPr>
              <w:t>Contrast 1 (VPT&lt;FT)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</w:pP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</w:pPr>
          </w:p>
        </w:tc>
      </w:tr>
      <w:tr w:rsidR="002050AC" w:rsidRPr="0057107E" w:rsidTr="00BC75D8">
        <w:trPr>
          <w:trHeight w:val="945"/>
        </w:trPr>
        <w:tc>
          <w:tcPr>
            <w:tcW w:w="1270" w:type="pct"/>
          </w:tcPr>
          <w:p w:rsidR="004A6948" w:rsidRPr="0057107E" w:rsidRDefault="004A6948" w:rsidP="00BC75D8">
            <w:pPr>
              <w:spacing w:before="120" w:after="100" w:afterAutospacing="1" w:line="480" w:lineRule="auto"/>
            </w:pPr>
            <w:r w:rsidRPr="0057107E">
              <w:t xml:space="preserve">Bilateral parietal cortex (medial </w:t>
            </w:r>
            <w:proofErr w:type="spellStart"/>
            <w:r w:rsidRPr="0057107E">
              <w:t>juxtapositional</w:t>
            </w:r>
            <w:proofErr w:type="spellEnd"/>
            <w:r w:rsidRPr="0057107E">
              <w:t xml:space="preserve"> lobule)</w:t>
            </w:r>
          </w:p>
        </w:tc>
        <w:tc>
          <w:tcPr>
            <w:tcW w:w="376" w:type="pct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</w:pPr>
            <w:r w:rsidRPr="0057107E">
              <w:t>1.5</w:t>
            </w:r>
          </w:p>
        </w:tc>
        <w:tc>
          <w:tcPr>
            <w:tcW w:w="376" w:type="pct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</w:pPr>
            <w:r w:rsidRPr="0057107E">
              <w:t>15.0</w:t>
            </w:r>
          </w:p>
        </w:tc>
        <w:tc>
          <w:tcPr>
            <w:tcW w:w="375" w:type="pct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</w:pPr>
            <w:r w:rsidRPr="0057107E">
              <w:t>70.5</w:t>
            </w:r>
          </w:p>
        </w:tc>
        <w:tc>
          <w:tcPr>
            <w:tcW w:w="581" w:type="pct"/>
          </w:tcPr>
          <w:p w:rsidR="004A6948" w:rsidRPr="0057107E" w:rsidRDefault="004A6948" w:rsidP="00BC75D8">
            <w:pPr>
              <w:spacing w:before="120" w:after="100" w:afterAutospacing="1" w:line="480" w:lineRule="auto"/>
              <w:jc w:val="center"/>
            </w:pPr>
            <w:r w:rsidRPr="0057107E">
              <w:t>20</w:t>
            </w:r>
          </w:p>
        </w:tc>
        <w:tc>
          <w:tcPr>
            <w:tcW w:w="307" w:type="pct"/>
          </w:tcPr>
          <w:p w:rsidR="004A6948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4.63</w:t>
            </w:r>
          </w:p>
        </w:tc>
        <w:tc>
          <w:tcPr>
            <w:tcW w:w="274" w:type="pct"/>
          </w:tcPr>
          <w:p w:rsidR="004A6948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4.49</w:t>
            </w:r>
          </w:p>
        </w:tc>
        <w:tc>
          <w:tcPr>
            <w:tcW w:w="683" w:type="pct"/>
          </w:tcPr>
          <w:p w:rsidR="004A6948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3.54x10</w:t>
            </w:r>
            <w:r w:rsidRPr="0057107E">
              <w:rPr>
                <w:vertAlign w:val="superscript"/>
              </w:rPr>
              <w:t>-6</w:t>
            </w:r>
          </w:p>
        </w:tc>
        <w:tc>
          <w:tcPr>
            <w:tcW w:w="758" w:type="pct"/>
          </w:tcPr>
          <w:p w:rsidR="004A6948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.03</w:t>
            </w:r>
          </w:p>
        </w:tc>
      </w:tr>
      <w:tr w:rsidR="002050AC" w:rsidRPr="0057107E" w:rsidTr="00BC75D8">
        <w:tc>
          <w:tcPr>
            <w:tcW w:w="1270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t xml:space="preserve">Right inferior post-central gyrus 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58.5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-15</w:t>
            </w:r>
          </w:p>
        </w:tc>
        <w:tc>
          <w:tcPr>
            <w:tcW w:w="375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-7.5</w:t>
            </w:r>
          </w:p>
        </w:tc>
        <w:tc>
          <w:tcPr>
            <w:tcW w:w="581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2301</w:t>
            </w:r>
          </w:p>
        </w:tc>
        <w:tc>
          <w:tcPr>
            <w:tcW w:w="307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8.66</w:t>
            </w:r>
          </w:p>
        </w:tc>
        <w:tc>
          <w:tcPr>
            <w:tcW w:w="274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Inf.</w:t>
            </w:r>
          </w:p>
        </w:tc>
        <w:tc>
          <w:tcPr>
            <w:tcW w:w="683" w:type="pct"/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1.78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-15</w:t>
            </w:r>
          </w:p>
        </w:tc>
        <w:tc>
          <w:tcPr>
            <w:tcW w:w="758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&lt;.001</w:t>
            </w:r>
          </w:p>
        </w:tc>
      </w:tr>
      <w:tr w:rsidR="002050AC" w:rsidRPr="0057107E" w:rsidTr="00BC75D8">
        <w:tc>
          <w:tcPr>
            <w:tcW w:w="1270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t>Right superior temporal sulcus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46.5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-45</w:t>
            </w:r>
          </w:p>
        </w:tc>
        <w:tc>
          <w:tcPr>
            <w:tcW w:w="375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-15</w:t>
            </w:r>
          </w:p>
        </w:tc>
        <w:tc>
          <w:tcPr>
            <w:tcW w:w="581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78</w:t>
            </w:r>
          </w:p>
        </w:tc>
        <w:tc>
          <w:tcPr>
            <w:tcW w:w="307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4.94</w:t>
            </w:r>
          </w:p>
        </w:tc>
        <w:tc>
          <w:tcPr>
            <w:tcW w:w="274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4.77</w:t>
            </w:r>
          </w:p>
        </w:tc>
        <w:tc>
          <w:tcPr>
            <w:tcW w:w="683" w:type="pct"/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8.9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-7</w:t>
            </w:r>
          </w:p>
        </w:tc>
        <w:tc>
          <w:tcPr>
            <w:tcW w:w="758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.02</w:t>
            </w:r>
          </w:p>
        </w:tc>
      </w:tr>
      <w:tr w:rsidR="002050AC" w:rsidRPr="0057107E" w:rsidTr="00BC75D8">
        <w:tc>
          <w:tcPr>
            <w:tcW w:w="1270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t>Left superior temporal sulcus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-54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-10.5</w:t>
            </w:r>
          </w:p>
        </w:tc>
        <w:tc>
          <w:tcPr>
            <w:tcW w:w="375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-10.5</w:t>
            </w:r>
          </w:p>
        </w:tc>
        <w:tc>
          <w:tcPr>
            <w:tcW w:w="581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2568</w:t>
            </w:r>
          </w:p>
        </w:tc>
        <w:tc>
          <w:tcPr>
            <w:tcW w:w="307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9.55</w:t>
            </w:r>
          </w:p>
        </w:tc>
        <w:tc>
          <w:tcPr>
            <w:tcW w:w="274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Inf.</w:t>
            </w:r>
          </w:p>
        </w:tc>
        <w:tc>
          <w:tcPr>
            <w:tcW w:w="683" w:type="pct"/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4.44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-16</w:t>
            </w:r>
          </w:p>
        </w:tc>
        <w:tc>
          <w:tcPr>
            <w:tcW w:w="758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&lt;.001</w:t>
            </w:r>
          </w:p>
        </w:tc>
      </w:tr>
      <w:tr w:rsidR="002050AC" w:rsidRPr="0057107E" w:rsidTr="00BC75D8">
        <w:tc>
          <w:tcPr>
            <w:tcW w:w="1270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t>Left prefrontal cortex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-7.5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67.5</w:t>
            </w:r>
          </w:p>
        </w:tc>
        <w:tc>
          <w:tcPr>
            <w:tcW w:w="375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-13.5</w:t>
            </w:r>
          </w:p>
        </w:tc>
        <w:tc>
          <w:tcPr>
            <w:tcW w:w="581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69</w:t>
            </w:r>
          </w:p>
        </w:tc>
        <w:tc>
          <w:tcPr>
            <w:tcW w:w="307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4.87</w:t>
            </w:r>
          </w:p>
        </w:tc>
        <w:tc>
          <w:tcPr>
            <w:tcW w:w="274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4.71</w:t>
            </w:r>
          </w:p>
        </w:tc>
        <w:tc>
          <w:tcPr>
            <w:tcW w:w="683" w:type="pct"/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1.25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-6</w:t>
            </w:r>
          </w:p>
        </w:tc>
        <w:tc>
          <w:tcPr>
            <w:tcW w:w="758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.02</w:t>
            </w:r>
          </w:p>
        </w:tc>
      </w:tr>
      <w:tr w:rsidR="002050AC" w:rsidRPr="0057107E" w:rsidTr="00BC75D8">
        <w:tc>
          <w:tcPr>
            <w:tcW w:w="1270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t>Posterior cingulate gyrus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3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-37.5</w:t>
            </w:r>
          </w:p>
        </w:tc>
        <w:tc>
          <w:tcPr>
            <w:tcW w:w="375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21</w:t>
            </w:r>
          </w:p>
        </w:tc>
        <w:tc>
          <w:tcPr>
            <w:tcW w:w="581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240</w:t>
            </w:r>
          </w:p>
        </w:tc>
        <w:tc>
          <w:tcPr>
            <w:tcW w:w="307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6.16</w:t>
            </w:r>
          </w:p>
        </w:tc>
        <w:tc>
          <w:tcPr>
            <w:tcW w:w="274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5.85</w:t>
            </w:r>
          </w:p>
        </w:tc>
        <w:tc>
          <w:tcPr>
            <w:tcW w:w="683" w:type="pct"/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2.39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-9</w:t>
            </w:r>
          </w:p>
        </w:tc>
        <w:tc>
          <w:tcPr>
            <w:tcW w:w="758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.004</w:t>
            </w:r>
          </w:p>
        </w:tc>
      </w:tr>
      <w:tr w:rsidR="002050AC" w:rsidRPr="0057107E" w:rsidTr="00BC75D8">
        <w:tc>
          <w:tcPr>
            <w:tcW w:w="1270" w:type="pct"/>
          </w:tcPr>
          <w:p w:rsidR="005E062B" w:rsidRPr="0057107E" w:rsidRDefault="00BD02CB" w:rsidP="00BC75D8">
            <w:pPr>
              <w:spacing w:before="120" w:after="100" w:afterAutospacing="1" w:line="480" w:lineRule="auto"/>
            </w:pPr>
            <w:r w:rsidRPr="0057107E">
              <w:lastRenderedPageBreak/>
              <w:t>Bilateral t</w:t>
            </w:r>
            <w:r w:rsidR="005E062B" w:rsidRPr="0057107E">
              <w:t xml:space="preserve">halami 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10.5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-30</w:t>
            </w:r>
          </w:p>
        </w:tc>
        <w:tc>
          <w:tcPr>
            <w:tcW w:w="375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18</w:t>
            </w:r>
          </w:p>
        </w:tc>
        <w:tc>
          <w:tcPr>
            <w:tcW w:w="581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6424</w:t>
            </w:r>
          </w:p>
        </w:tc>
        <w:tc>
          <w:tcPr>
            <w:tcW w:w="307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8.67</w:t>
            </w:r>
          </w:p>
        </w:tc>
        <w:tc>
          <w:tcPr>
            <w:tcW w:w="274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Inf.</w:t>
            </w:r>
          </w:p>
        </w:tc>
        <w:tc>
          <w:tcPr>
            <w:tcW w:w="683" w:type="pct"/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1.67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-15</w:t>
            </w:r>
          </w:p>
        </w:tc>
        <w:tc>
          <w:tcPr>
            <w:tcW w:w="758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&lt;.001</w:t>
            </w:r>
          </w:p>
        </w:tc>
      </w:tr>
      <w:tr w:rsidR="002050AC" w:rsidRPr="0057107E" w:rsidTr="00BC75D8">
        <w:tc>
          <w:tcPr>
            <w:tcW w:w="1270" w:type="pct"/>
            <w:shd w:val="clear" w:color="auto" w:fill="auto"/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t xml:space="preserve">Left </w:t>
            </w:r>
            <w:proofErr w:type="spellStart"/>
            <w:r w:rsidRPr="0057107E">
              <w:t>parahippocampus</w:t>
            </w:r>
            <w:proofErr w:type="spellEnd"/>
          </w:p>
        </w:tc>
        <w:tc>
          <w:tcPr>
            <w:tcW w:w="376" w:type="pct"/>
            <w:shd w:val="clear" w:color="auto" w:fill="auto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-25.5</w:t>
            </w:r>
          </w:p>
        </w:tc>
        <w:tc>
          <w:tcPr>
            <w:tcW w:w="376" w:type="pct"/>
            <w:shd w:val="clear" w:color="auto" w:fill="auto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-31.5</w:t>
            </w:r>
          </w:p>
        </w:tc>
        <w:tc>
          <w:tcPr>
            <w:tcW w:w="375" w:type="pct"/>
            <w:shd w:val="clear" w:color="auto" w:fill="auto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-16.5</w:t>
            </w:r>
          </w:p>
        </w:tc>
        <w:tc>
          <w:tcPr>
            <w:tcW w:w="581" w:type="pct"/>
            <w:shd w:val="clear" w:color="auto" w:fill="auto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192</w:t>
            </w:r>
          </w:p>
        </w:tc>
        <w:tc>
          <w:tcPr>
            <w:tcW w:w="307" w:type="pct"/>
            <w:shd w:val="clear" w:color="auto" w:fill="auto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4.94</w:t>
            </w:r>
          </w:p>
        </w:tc>
        <w:tc>
          <w:tcPr>
            <w:tcW w:w="274" w:type="pct"/>
            <w:shd w:val="clear" w:color="auto" w:fill="auto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4.77</w:t>
            </w:r>
          </w:p>
        </w:tc>
        <w:tc>
          <w:tcPr>
            <w:tcW w:w="683" w:type="pct"/>
            <w:shd w:val="clear" w:color="auto" w:fill="auto"/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9.17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-7</w:t>
            </w:r>
          </w:p>
        </w:tc>
        <w:tc>
          <w:tcPr>
            <w:tcW w:w="758" w:type="pct"/>
            <w:shd w:val="clear" w:color="auto" w:fill="auto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.006</w:t>
            </w:r>
          </w:p>
        </w:tc>
      </w:tr>
      <w:tr w:rsidR="002050AC" w:rsidRPr="0057107E" w:rsidTr="00BC75D8">
        <w:tc>
          <w:tcPr>
            <w:tcW w:w="1270" w:type="pct"/>
            <w:shd w:val="clear" w:color="auto" w:fill="auto"/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t>Right inferior cerebellum</w:t>
            </w:r>
          </w:p>
        </w:tc>
        <w:tc>
          <w:tcPr>
            <w:tcW w:w="376" w:type="pct"/>
            <w:shd w:val="clear" w:color="auto" w:fill="auto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12</w:t>
            </w:r>
          </w:p>
        </w:tc>
        <w:tc>
          <w:tcPr>
            <w:tcW w:w="376" w:type="pct"/>
            <w:shd w:val="clear" w:color="auto" w:fill="auto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-49.5</w:t>
            </w:r>
          </w:p>
        </w:tc>
        <w:tc>
          <w:tcPr>
            <w:tcW w:w="375" w:type="pct"/>
            <w:shd w:val="clear" w:color="auto" w:fill="auto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-63</w:t>
            </w:r>
          </w:p>
        </w:tc>
        <w:tc>
          <w:tcPr>
            <w:tcW w:w="581" w:type="pct"/>
            <w:shd w:val="clear" w:color="auto" w:fill="auto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76</w:t>
            </w:r>
          </w:p>
        </w:tc>
        <w:tc>
          <w:tcPr>
            <w:tcW w:w="307" w:type="pct"/>
            <w:shd w:val="clear" w:color="auto" w:fill="auto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4.81</w:t>
            </w:r>
          </w:p>
        </w:tc>
        <w:tc>
          <w:tcPr>
            <w:tcW w:w="274" w:type="pct"/>
            <w:shd w:val="clear" w:color="auto" w:fill="auto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4.65</w:t>
            </w:r>
          </w:p>
        </w:tc>
        <w:tc>
          <w:tcPr>
            <w:tcW w:w="683" w:type="pct"/>
            <w:shd w:val="clear" w:color="auto" w:fill="auto"/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1.62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-6</w:t>
            </w:r>
          </w:p>
        </w:tc>
        <w:tc>
          <w:tcPr>
            <w:tcW w:w="758" w:type="pct"/>
            <w:shd w:val="clear" w:color="auto" w:fill="auto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.02</w:t>
            </w:r>
          </w:p>
        </w:tc>
      </w:tr>
      <w:tr w:rsidR="002050AC" w:rsidRPr="0057107E" w:rsidTr="00BC75D8">
        <w:tc>
          <w:tcPr>
            <w:tcW w:w="1270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rPr>
                <w:b/>
              </w:rPr>
              <w:t>Contrast 2 (VPT&gt;FT)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375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581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307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274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683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</w:pPr>
          </w:p>
        </w:tc>
        <w:tc>
          <w:tcPr>
            <w:tcW w:w="758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</w:pPr>
          </w:p>
        </w:tc>
      </w:tr>
      <w:tr w:rsidR="002050AC" w:rsidRPr="0057107E" w:rsidTr="00BC75D8">
        <w:tc>
          <w:tcPr>
            <w:tcW w:w="1270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t xml:space="preserve">Medial occipital cortex (supra-calcarine, cuneal, intra-calcarine) 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7.5</w:t>
            </w:r>
          </w:p>
        </w:tc>
        <w:tc>
          <w:tcPr>
            <w:tcW w:w="376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-79.5</w:t>
            </w:r>
          </w:p>
        </w:tc>
        <w:tc>
          <w:tcPr>
            <w:tcW w:w="375" w:type="pct"/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16.5</w:t>
            </w:r>
          </w:p>
        </w:tc>
        <w:tc>
          <w:tcPr>
            <w:tcW w:w="581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2206</w:t>
            </w:r>
          </w:p>
        </w:tc>
        <w:tc>
          <w:tcPr>
            <w:tcW w:w="307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7.49</w:t>
            </w:r>
          </w:p>
        </w:tc>
        <w:tc>
          <w:tcPr>
            <w:tcW w:w="274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6.96</w:t>
            </w:r>
          </w:p>
        </w:tc>
        <w:tc>
          <w:tcPr>
            <w:tcW w:w="683" w:type="pct"/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1.64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-12</w:t>
            </w:r>
          </w:p>
        </w:tc>
        <w:tc>
          <w:tcPr>
            <w:tcW w:w="758" w:type="pct"/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&lt;.001</w:t>
            </w:r>
          </w:p>
        </w:tc>
      </w:tr>
      <w:tr w:rsidR="002050AC" w:rsidRPr="0057107E" w:rsidTr="00BC75D8">
        <w:tc>
          <w:tcPr>
            <w:tcW w:w="1270" w:type="pct"/>
            <w:tcBorders>
              <w:bottom w:val="single" w:sz="4" w:space="0" w:color="auto"/>
            </w:tcBorders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t>Medial anterior cingulate gyrus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-9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21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5E062B" w:rsidRPr="0057107E" w:rsidRDefault="005E062B" w:rsidP="00BC75D8">
            <w:pPr>
              <w:spacing w:before="120" w:after="100" w:afterAutospacing="1" w:line="480" w:lineRule="auto"/>
              <w:jc w:val="center"/>
              <w:rPr>
                <w:color w:val="000000"/>
              </w:rPr>
            </w:pPr>
            <w:r w:rsidRPr="0057107E">
              <w:rPr>
                <w:color w:val="000000"/>
              </w:rPr>
              <w:t>49.5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6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4.68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4.54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5E062B" w:rsidRPr="0057107E" w:rsidRDefault="000525FE" w:rsidP="00BC75D8">
            <w:pPr>
              <w:spacing w:before="120" w:after="100" w:afterAutospacing="1" w:line="480" w:lineRule="auto"/>
              <w:jc w:val="center"/>
            </w:pPr>
            <w:r w:rsidRPr="0057107E">
              <w:t>2.88</w:t>
            </w:r>
            <w:r w:rsidR="0021701C" w:rsidRPr="0057107E">
              <w:t>x10</w:t>
            </w:r>
            <w:r w:rsidR="0021701C" w:rsidRPr="0057107E">
              <w:rPr>
                <w:vertAlign w:val="superscript"/>
              </w:rPr>
              <w:t>-6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5E062B" w:rsidRPr="0057107E" w:rsidRDefault="0021701C" w:rsidP="00BC75D8">
            <w:pPr>
              <w:spacing w:before="120" w:after="100" w:afterAutospacing="1" w:line="480" w:lineRule="auto"/>
              <w:jc w:val="center"/>
            </w:pPr>
            <w:r w:rsidRPr="0057107E">
              <w:t>.04</w:t>
            </w:r>
          </w:p>
        </w:tc>
      </w:tr>
      <w:tr w:rsidR="005E062B" w:rsidRPr="0057107E" w:rsidTr="00BC75D8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5E062B" w:rsidRPr="0057107E" w:rsidRDefault="005E062B" w:rsidP="00BC75D8">
            <w:pPr>
              <w:spacing w:before="120" w:after="100" w:afterAutospacing="1" w:line="480" w:lineRule="auto"/>
            </w:pPr>
            <w:r w:rsidRPr="0057107E">
              <w:rPr>
                <w:i/>
              </w:rPr>
              <w:t>Note.</w:t>
            </w:r>
            <w:r w:rsidRPr="0057107E">
              <w:t xml:space="preserve"> Cluster-extent threshold </w:t>
            </w:r>
            <w:r w:rsidRPr="0057107E">
              <w:rPr>
                <w:i/>
              </w:rPr>
              <w:t>k</w:t>
            </w:r>
            <w:r w:rsidRPr="0057107E">
              <w:t xml:space="preserve">&gt;10; </w:t>
            </w:r>
            <w:proofErr w:type="spellStart"/>
            <w:r w:rsidRPr="0057107E">
              <w:t>Inf</w:t>
            </w:r>
            <w:proofErr w:type="spellEnd"/>
            <w:r w:rsidRPr="0057107E">
              <w:t>, Infinity</w:t>
            </w:r>
          </w:p>
        </w:tc>
      </w:tr>
    </w:tbl>
    <w:p w:rsidR="00AA1A67" w:rsidRDefault="00AA1A67"/>
    <w:p w:rsidR="00AA1A67" w:rsidRDefault="00AA1A6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1810"/>
        <w:gridCol w:w="1499"/>
        <w:gridCol w:w="1049"/>
        <w:gridCol w:w="2248"/>
        <w:gridCol w:w="1502"/>
        <w:gridCol w:w="1452"/>
      </w:tblGrid>
      <w:tr w:rsidR="00AA1A67" w:rsidRPr="00D823F5" w:rsidTr="00E9377E">
        <w:trPr>
          <w:tblHeader/>
        </w:trPr>
        <w:tc>
          <w:tcPr>
            <w:tcW w:w="5000" w:type="pct"/>
            <w:gridSpan w:val="7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lastRenderedPageBreak/>
              <w:t xml:space="preserve">Table </w:t>
            </w:r>
            <w:r w:rsidR="00BC75D8" w:rsidRPr="00BC75D8">
              <w:rPr>
                <w:rFonts w:cs="Times New Roman"/>
                <w:color w:val="FF0000"/>
              </w:rPr>
              <w:t>7</w:t>
            </w:r>
          </w:p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  <w:i/>
              </w:rPr>
            </w:pPr>
            <w:r w:rsidRPr="00D823F5">
              <w:rPr>
                <w:rFonts w:cs="Times New Roman"/>
                <w:i/>
              </w:rPr>
              <w:t xml:space="preserve">Summary of Regression Models for the Prediction of Attention Outcomes in </w:t>
            </w:r>
            <w:r>
              <w:rPr>
                <w:rFonts w:cs="Times New Roman"/>
                <w:i/>
              </w:rPr>
              <w:t>V</w:t>
            </w:r>
            <w:r w:rsidR="003B234B">
              <w:rPr>
                <w:rFonts w:cs="Times New Roman"/>
                <w:i/>
              </w:rPr>
              <w:t>ery Preterm</w:t>
            </w:r>
            <w:r>
              <w:rPr>
                <w:rFonts w:cs="Times New Roman"/>
                <w:i/>
              </w:rPr>
              <w:t xml:space="preserve"> Children </w:t>
            </w:r>
            <w:r w:rsidRPr="00D823F5">
              <w:rPr>
                <w:rFonts w:cs="Times New Roman"/>
                <w:i/>
              </w:rPr>
              <w:t>at Age 12 Years</w:t>
            </w:r>
            <w:r>
              <w:rPr>
                <w:rFonts w:cs="Times New Roman"/>
                <w:i/>
              </w:rPr>
              <w:t xml:space="preserve"> (n=87)</w:t>
            </w:r>
          </w:p>
        </w:tc>
      </w:tr>
      <w:tr w:rsidR="00AA1A67" w:rsidRPr="00D823F5" w:rsidTr="00E9377E">
        <w:trPr>
          <w:tblHeader/>
        </w:trPr>
        <w:tc>
          <w:tcPr>
            <w:tcW w:w="1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  <w:b/>
              </w:rPr>
            </w:pP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Step 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Step 2</w:t>
            </w:r>
          </w:p>
        </w:tc>
      </w:tr>
      <w:tr w:rsidR="00AA1A67" w:rsidRPr="00D823F5" w:rsidTr="00E9377E">
        <w:trPr>
          <w:tblHeader/>
        </w:trPr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B (SE)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  <w:i/>
              </w:rPr>
              <w:t>p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B (SE)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  <w:i/>
              </w:rPr>
            </w:pPr>
            <w:r w:rsidRPr="00D823F5">
              <w:rPr>
                <w:rFonts w:cs="Times New Roman"/>
                <w:b/>
                <w:i/>
              </w:rPr>
              <w:t>p</w:t>
            </w:r>
          </w:p>
        </w:tc>
      </w:tr>
      <w:tr w:rsidR="00AA1A67" w:rsidRPr="00D823F5" w:rsidTr="00E9377E">
        <w:trPr>
          <w:trHeight w:val="629"/>
        </w:trPr>
        <w:tc>
          <w:tcPr>
            <w:tcW w:w="3026" w:type="pct"/>
            <w:gridSpan w:val="4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 w:hanging="180"/>
              <w:rPr>
                <w:rFonts w:cs="Times New Roman"/>
              </w:rPr>
            </w:pPr>
            <w:r w:rsidRPr="00D823F5">
              <w:rPr>
                <w:rFonts w:cs="Times New Roman"/>
                <w:b/>
              </w:rPr>
              <w:t>Sustained Auditory Attention (Score!)</w:t>
            </w:r>
          </w:p>
        </w:tc>
        <w:tc>
          <w:tcPr>
            <w:tcW w:w="197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 w:hanging="198"/>
              <w:rPr>
                <w:rFonts w:cs="Times New Roman"/>
              </w:rPr>
            </w:pPr>
            <w:r w:rsidRPr="00D823F5">
              <w:rPr>
                <w:rFonts w:cs="Times New Roman"/>
              </w:rPr>
              <w:t xml:space="preserve">Model summary </w:t>
            </w:r>
          </w:p>
        </w:tc>
        <w:tc>
          <w:tcPr>
            <w:tcW w:w="165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=.11,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.0</w:t>
            </w:r>
            <w:r>
              <w:rPr>
                <w:rFonts w:cs="Times New Roman"/>
              </w:rPr>
              <w:t>1</w:t>
            </w:r>
          </w:p>
        </w:tc>
        <w:tc>
          <w:tcPr>
            <w:tcW w:w="197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=.1</w:t>
            </w:r>
            <w:r>
              <w:rPr>
                <w:rFonts w:cs="Times New Roman"/>
              </w:rPr>
              <w:t>7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.00</w:t>
            </w:r>
            <w:r>
              <w:rPr>
                <w:rFonts w:cs="Times New Roman"/>
              </w:rPr>
              <w:t>2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G</w:t>
            </w:r>
            <w:r>
              <w:rPr>
                <w:rFonts w:cs="Times New Roman"/>
              </w:rPr>
              <w:t>estational age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.19 (0.1)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.23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.03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.27 (0.1)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.33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.003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>Social risk index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-.46 (0.2)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-.24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.02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-.47 (0.2)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-.25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.02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>Right inferior cerebellum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-3.75 (1.5)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-.27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.02</w:t>
            </w:r>
          </w:p>
        </w:tc>
      </w:tr>
      <w:tr w:rsidR="00AA1A67" w:rsidRPr="00D823F5" w:rsidTr="00E9377E">
        <w:tc>
          <w:tcPr>
            <w:tcW w:w="2628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>Sustained Response Inhibition</w:t>
            </w:r>
            <w:r w:rsidRPr="00D823F5">
              <w:rPr>
                <w:rFonts w:cs="Times New Roman"/>
                <w:b/>
              </w:rPr>
              <w:t xml:space="preserve"> Attention (</w:t>
            </w:r>
            <w:r>
              <w:rPr>
                <w:rFonts w:cs="Times New Roman"/>
                <w:b/>
              </w:rPr>
              <w:t>Walk Don’t Walk)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 w:hanging="198"/>
              <w:rPr>
                <w:rFonts w:cs="Times New Roman"/>
              </w:rPr>
            </w:pPr>
            <w:r w:rsidRPr="00D823F5">
              <w:rPr>
                <w:rFonts w:cs="Times New Roman"/>
              </w:rPr>
              <w:t xml:space="preserve">Model summary 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</w:t>
            </w:r>
            <w:r>
              <w:rPr>
                <w:rFonts w:cs="Times New Roman"/>
              </w:rPr>
              <w:t>05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</w:t>
            </w:r>
            <w:r>
              <w:rPr>
                <w:rFonts w:cs="Times New Roman"/>
              </w:rPr>
              <w:t>11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=.11,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</w:t>
            </w:r>
            <w:r>
              <w:rPr>
                <w:rFonts w:cs="Times New Roman"/>
              </w:rPr>
              <w:t>03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G</w:t>
            </w:r>
            <w:r>
              <w:rPr>
                <w:rFonts w:cs="Times New Roman"/>
              </w:rPr>
              <w:t>estational age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0.07 (0.2)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.05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.66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.07 (0.1)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.05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.63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>Social risk index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-0.74 (0.3)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-.22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.04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-.72 (0.3)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-.22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.04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 xml:space="preserve">Occipital </w:t>
            </w:r>
            <w:r w:rsidR="00946A7B">
              <w:rPr>
                <w:rFonts w:cs="Times New Roman"/>
              </w:rPr>
              <w:t>cortex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7.08 (3.1)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.23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.03</w:t>
            </w:r>
          </w:p>
        </w:tc>
      </w:tr>
      <w:tr w:rsidR="00AA1A67" w:rsidRPr="00D823F5" w:rsidTr="00E9377E">
        <w:tc>
          <w:tcPr>
            <w:tcW w:w="2628" w:type="pct"/>
            <w:gridSpan w:val="3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  <w:b/>
              </w:rPr>
              <w:t>Executive Shifting Attention (Creature Counting)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 w:hanging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Model summary</w:t>
            </w:r>
          </w:p>
        </w:tc>
        <w:tc>
          <w:tcPr>
            <w:tcW w:w="165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&lt;</w:t>
            </w:r>
            <w:r w:rsidRPr="00D823F5">
              <w:rPr>
                <w:rFonts w:cs="Times New Roman"/>
              </w:rPr>
              <w:t>.</w:t>
            </w:r>
            <w:r>
              <w:rPr>
                <w:rFonts w:cs="Times New Roman"/>
              </w:rPr>
              <w:t>01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</w:t>
            </w:r>
            <w:r>
              <w:rPr>
                <w:rFonts w:cs="Times New Roman"/>
              </w:rPr>
              <w:t>59</w:t>
            </w:r>
          </w:p>
        </w:tc>
        <w:tc>
          <w:tcPr>
            <w:tcW w:w="197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firstLine="36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=.1</w:t>
            </w:r>
            <w:r>
              <w:rPr>
                <w:rFonts w:cs="Times New Roman"/>
              </w:rPr>
              <w:t>0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.0</w:t>
            </w:r>
            <w:r>
              <w:rPr>
                <w:rFonts w:cs="Times New Roman"/>
              </w:rPr>
              <w:t>1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G</w:t>
            </w:r>
            <w:r>
              <w:rPr>
                <w:rFonts w:cs="Times New Roman"/>
              </w:rPr>
              <w:t>estational age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.04 (.07)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.06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.59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-.03 (.07)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-.05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.67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946A7B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Bilateral t</w:t>
            </w:r>
            <w:r w:rsidR="00AA1A67">
              <w:rPr>
                <w:rFonts w:cs="Times New Roman"/>
              </w:rPr>
              <w:t>halami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4.59 (1.52)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.33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.003</w:t>
            </w:r>
          </w:p>
        </w:tc>
      </w:tr>
      <w:tr w:rsidR="00AA1A67" w:rsidRPr="00D823F5" w:rsidTr="00E9377E">
        <w:tc>
          <w:tcPr>
            <w:tcW w:w="3026" w:type="pct"/>
            <w:gridSpan w:val="4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  <w:b/>
              </w:rPr>
              <w:t>Executive Divided Attention (Sky Search Dual Task)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 w:hanging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Model summary</w:t>
            </w:r>
          </w:p>
        </w:tc>
        <w:tc>
          <w:tcPr>
            <w:tcW w:w="165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</w:t>
            </w:r>
            <w:r>
              <w:rPr>
                <w:rFonts w:cs="Times New Roman"/>
              </w:rPr>
              <w:t>03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</w:t>
            </w:r>
            <w:r>
              <w:rPr>
                <w:rFonts w:cs="Times New Roman"/>
              </w:rPr>
              <w:t>12</w:t>
            </w:r>
          </w:p>
        </w:tc>
        <w:tc>
          <w:tcPr>
            <w:tcW w:w="197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</w:t>
            </w:r>
            <w:r>
              <w:rPr>
                <w:rFonts w:cs="Times New Roman"/>
              </w:rPr>
              <w:t>29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.0</w:t>
            </w:r>
            <w:r>
              <w:rPr>
                <w:rFonts w:cs="Times New Roman"/>
              </w:rPr>
              <w:t>01</w:t>
            </w: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 xml:space="preserve">Gestational age </w:t>
            </w:r>
            <w:r w:rsidRPr="00D823F5">
              <w:rPr>
                <w:rFonts w:cs="Times New Roman"/>
              </w:rPr>
              <w:t xml:space="preserve"> 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-0.22 (0.1)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-0.17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.12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-0.01 (0.1)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-0.004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.97</w:t>
            </w: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Occipital cortex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-8.66 (2.6)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-0.31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.001</w:t>
            </w: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Posterior cingulate gyrus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-6.72 (3.0)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-0.24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.03</w:t>
            </w: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Anterior cingulate gyrus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6.33 (2.5)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-0.25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.01</w:t>
            </w:r>
          </w:p>
        </w:tc>
      </w:tr>
      <w:tr w:rsidR="00AA1A67" w:rsidRPr="00D823F5" w:rsidTr="00E9377E"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Left superior temporal sulcus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-9.72 (4.0)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-0.24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.02</w:t>
            </w:r>
          </w:p>
        </w:tc>
      </w:tr>
    </w:tbl>
    <w:p w:rsidR="00AA1A67" w:rsidRDefault="00AA1A67"/>
    <w:p w:rsidR="00AA1A67" w:rsidRDefault="00AA1A6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1810"/>
        <w:gridCol w:w="1499"/>
        <w:gridCol w:w="1049"/>
        <w:gridCol w:w="2248"/>
        <w:gridCol w:w="1502"/>
        <w:gridCol w:w="1452"/>
      </w:tblGrid>
      <w:tr w:rsidR="00AA1A67" w:rsidRPr="00D823F5" w:rsidTr="00E9377E">
        <w:trPr>
          <w:tblHeader/>
        </w:trPr>
        <w:tc>
          <w:tcPr>
            <w:tcW w:w="5000" w:type="pct"/>
            <w:gridSpan w:val="7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lastRenderedPageBreak/>
              <w:t xml:space="preserve">Table </w:t>
            </w:r>
            <w:r w:rsidR="00BC75D8" w:rsidRPr="00BC75D8">
              <w:rPr>
                <w:rFonts w:cs="Times New Roman"/>
                <w:color w:val="FF0000"/>
              </w:rPr>
              <w:t>8</w:t>
            </w:r>
          </w:p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  <w:i/>
              </w:rPr>
            </w:pPr>
            <w:r w:rsidRPr="00D823F5">
              <w:rPr>
                <w:rFonts w:cs="Times New Roman"/>
                <w:i/>
              </w:rPr>
              <w:t xml:space="preserve">Summary of Regression Models for the Prediction of Attention Outcomes in </w:t>
            </w:r>
            <w:r w:rsidR="003B234B">
              <w:rPr>
                <w:rFonts w:cs="Times New Roman"/>
                <w:i/>
              </w:rPr>
              <w:t>Full Term</w:t>
            </w:r>
            <w:r>
              <w:rPr>
                <w:rFonts w:cs="Times New Roman"/>
                <w:i/>
              </w:rPr>
              <w:t xml:space="preserve"> Children </w:t>
            </w:r>
            <w:r w:rsidRPr="00D823F5">
              <w:rPr>
                <w:rFonts w:cs="Times New Roman"/>
                <w:i/>
              </w:rPr>
              <w:t>at Age 12 Years</w:t>
            </w:r>
            <w:r>
              <w:rPr>
                <w:rFonts w:cs="Times New Roman"/>
                <w:i/>
              </w:rPr>
              <w:t xml:space="preserve"> (n=91)</w:t>
            </w:r>
          </w:p>
        </w:tc>
      </w:tr>
      <w:tr w:rsidR="00AA1A67" w:rsidRPr="00D823F5" w:rsidTr="00E9377E">
        <w:trPr>
          <w:tblHeader/>
        </w:trPr>
        <w:tc>
          <w:tcPr>
            <w:tcW w:w="1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  <w:b/>
              </w:rPr>
            </w:pP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Step 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Step 2</w:t>
            </w:r>
          </w:p>
        </w:tc>
      </w:tr>
      <w:tr w:rsidR="00AA1A67" w:rsidRPr="00D823F5" w:rsidTr="00E9377E">
        <w:trPr>
          <w:tblHeader/>
        </w:trPr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B (SE)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  <w:i/>
              </w:rPr>
              <w:t>p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B (SE)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</w:rPr>
            </w:pPr>
            <w:r w:rsidRPr="00D823F5">
              <w:rPr>
                <w:rFonts w:cs="Times New Roman"/>
                <w:b/>
              </w:rPr>
              <w:t>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  <w:b/>
                <w:i/>
              </w:rPr>
            </w:pPr>
            <w:r w:rsidRPr="00D823F5">
              <w:rPr>
                <w:rFonts w:cs="Times New Roman"/>
                <w:b/>
                <w:i/>
              </w:rPr>
              <w:t>p</w:t>
            </w:r>
          </w:p>
        </w:tc>
      </w:tr>
      <w:tr w:rsidR="00AA1A67" w:rsidRPr="00D823F5" w:rsidTr="00E9377E">
        <w:trPr>
          <w:trHeight w:val="629"/>
        </w:trPr>
        <w:tc>
          <w:tcPr>
            <w:tcW w:w="3026" w:type="pct"/>
            <w:gridSpan w:val="4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 w:hanging="180"/>
              <w:rPr>
                <w:rFonts w:cs="Times New Roman"/>
              </w:rPr>
            </w:pPr>
            <w:r w:rsidRPr="00D823F5">
              <w:rPr>
                <w:rFonts w:cs="Times New Roman"/>
                <w:b/>
              </w:rPr>
              <w:t>Sustained Auditory Attention (Score!)</w:t>
            </w:r>
          </w:p>
        </w:tc>
        <w:tc>
          <w:tcPr>
            <w:tcW w:w="197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 w:hanging="198"/>
              <w:rPr>
                <w:rFonts w:cs="Times New Roman"/>
              </w:rPr>
            </w:pPr>
            <w:r w:rsidRPr="00D823F5">
              <w:rPr>
                <w:rFonts w:cs="Times New Roman"/>
              </w:rPr>
              <w:t xml:space="preserve">Model summary </w:t>
            </w:r>
          </w:p>
        </w:tc>
        <w:tc>
          <w:tcPr>
            <w:tcW w:w="165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=.1</w:t>
            </w:r>
            <w:r>
              <w:rPr>
                <w:rFonts w:cs="Times New Roman"/>
              </w:rPr>
              <w:t>0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.0</w:t>
            </w:r>
            <w:r>
              <w:rPr>
                <w:rFonts w:cs="Times New Roman"/>
              </w:rPr>
              <w:t>1</w:t>
            </w:r>
          </w:p>
        </w:tc>
        <w:tc>
          <w:tcPr>
            <w:tcW w:w="197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=.1</w:t>
            </w:r>
            <w:r>
              <w:rPr>
                <w:rFonts w:cs="Times New Roman"/>
              </w:rPr>
              <w:t>9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.00</w:t>
            </w:r>
            <w:r>
              <w:rPr>
                <w:rFonts w:cs="Times New Roman"/>
              </w:rPr>
              <w:t>1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G</w:t>
            </w:r>
            <w:r>
              <w:rPr>
                <w:rFonts w:cs="Times New Roman"/>
              </w:rPr>
              <w:t>estational age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-0.02 (0.1)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-0.01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.89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-0.04 (0.1)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-0.03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.76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>Sex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-0.91 (0.3)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-0.32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.002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-0.87 (0.3)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-0.31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.002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946A7B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 xml:space="preserve">Anterior cingulate </w:t>
            </w:r>
            <w:r w:rsidR="00946A7B">
              <w:rPr>
                <w:rFonts w:cs="Times New Roman"/>
              </w:rPr>
              <w:t>gyrus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-4.52 (1.5)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-0.29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.004</w:t>
            </w:r>
          </w:p>
        </w:tc>
      </w:tr>
      <w:tr w:rsidR="00AA1A67" w:rsidRPr="00D823F5" w:rsidTr="00E9377E">
        <w:tc>
          <w:tcPr>
            <w:tcW w:w="2628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>Sustained Response Inhibition</w:t>
            </w:r>
            <w:r w:rsidRPr="00D823F5">
              <w:rPr>
                <w:rFonts w:cs="Times New Roman"/>
                <w:b/>
              </w:rPr>
              <w:t xml:space="preserve"> Attention (</w:t>
            </w:r>
            <w:r>
              <w:rPr>
                <w:rFonts w:cs="Times New Roman"/>
                <w:b/>
              </w:rPr>
              <w:t>Walk Don’t Walk)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 w:hanging="198"/>
              <w:rPr>
                <w:rFonts w:cs="Times New Roman"/>
              </w:rPr>
            </w:pPr>
            <w:r w:rsidRPr="00D823F5">
              <w:rPr>
                <w:rFonts w:cs="Times New Roman"/>
              </w:rPr>
              <w:t xml:space="preserve">Model summary 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</w:t>
            </w:r>
            <w:r>
              <w:rPr>
                <w:rFonts w:cs="Times New Roman"/>
              </w:rPr>
              <w:t>08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</w:t>
            </w:r>
            <w:r>
              <w:rPr>
                <w:rFonts w:cs="Times New Roman"/>
              </w:rPr>
              <w:t>30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=.1</w:t>
            </w:r>
            <w:r>
              <w:rPr>
                <w:rFonts w:cs="Times New Roman"/>
              </w:rPr>
              <w:t>4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</w:t>
            </w:r>
            <w:r>
              <w:rPr>
                <w:rFonts w:cs="Times New Roman"/>
              </w:rPr>
              <w:t>004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G</w:t>
            </w:r>
            <w:r>
              <w:rPr>
                <w:rFonts w:cs="Times New Roman"/>
              </w:rPr>
              <w:t>estational age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0.28 (0.2)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0.13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.21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0.31 (0.2)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0.15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.15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>Age at MRI scan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6.54 (2.6)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0.26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.01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7.01 (2.5)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0.28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.01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 xml:space="preserve">Posterior cingulate </w:t>
            </w:r>
            <w:r w:rsidR="00946A7B">
              <w:rPr>
                <w:rFonts w:cs="Times New Roman"/>
              </w:rPr>
              <w:t>gyrus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6.40 (2.6)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0.25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.01</w:t>
            </w:r>
          </w:p>
        </w:tc>
      </w:tr>
      <w:tr w:rsidR="00AA1A67" w:rsidRPr="00D823F5" w:rsidTr="00E9377E">
        <w:tc>
          <w:tcPr>
            <w:tcW w:w="2628" w:type="pct"/>
            <w:gridSpan w:val="3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  <w:b/>
              </w:rPr>
              <w:t>Executive Shifting Attention (Creature Counting)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 w:hanging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Model summary</w:t>
            </w:r>
          </w:p>
        </w:tc>
        <w:tc>
          <w:tcPr>
            <w:tcW w:w="165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</w:t>
            </w:r>
            <w:r>
              <w:rPr>
                <w:rFonts w:cs="Times New Roman"/>
              </w:rPr>
              <w:t>01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</w:t>
            </w:r>
            <w:r>
              <w:rPr>
                <w:rFonts w:cs="Times New Roman"/>
              </w:rPr>
              <w:t>32</w:t>
            </w:r>
          </w:p>
        </w:tc>
        <w:tc>
          <w:tcPr>
            <w:tcW w:w="197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firstLine="36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 w:rsidRPr="00D823F5">
              <w:rPr>
                <w:rFonts w:cs="Times New Roman"/>
              </w:rPr>
              <w:t xml:space="preserve"> =.</w:t>
            </w:r>
            <w:r>
              <w:rPr>
                <w:rFonts w:cs="Times New Roman"/>
              </w:rPr>
              <w:t>06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</w:t>
            </w:r>
            <w:r>
              <w:rPr>
                <w:rFonts w:cs="Times New Roman"/>
              </w:rPr>
              <w:t>06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G</w:t>
            </w:r>
            <w:r>
              <w:rPr>
                <w:rFonts w:cs="Times New Roman"/>
              </w:rPr>
              <w:t>estational age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0.14 (0.1)</w:t>
            </w: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0.11</w:t>
            </w: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.32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0.14 (0.1)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0.10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.32</w:t>
            </w:r>
          </w:p>
        </w:tc>
      </w:tr>
      <w:tr w:rsidR="00AA1A67" w:rsidRPr="00D823F5" w:rsidTr="00E9377E">
        <w:tc>
          <w:tcPr>
            <w:tcW w:w="1372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Right </w:t>
            </w:r>
            <w:r w:rsidRPr="0057107E">
              <w:t>superior temporal sulcus</w:t>
            </w:r>
          </w:p>
        </w:tc>
        <w:tc>
          <w:tcPr>
            <w:tcW w:w="687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98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4.48 (2.0)</w:t>
            </w: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0.23</w:t>
            </w: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.03</w:t>
            </w:r>
          </w:p>
        </w:tc>
      </w:tr>
      <w:tr w:rsidR="00AA1A67" w:rsidRPr="00D823F5" w:rsidTr="00E9377E">
        <w:tc>
          <w:tcPr>
            <w:tcW w:w="3026" w:type="pct"/>
            <w:gridSpan w:val="4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  <w:b/>
              </w:rPr>
              <w:t>Executive Divided Attention (Sky Search Dual Task)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853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70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 w:hanging="180"/>
              <w:rPr>
                <w:rFonts w:cs="Times New Roman"/>
              </w:rPr>
            </w:pPr>
            <w:r w:rsidRPr="00D823F5">
              <w:rPr>
                <w:rFonts w:cs="Times New Roman"/>
              </w:rPr>
              <w:t>Model summary</w:t>
            </w:r>
          </w:p>
        </w:tc>
        <w:tc>
          <w:tcPr>
            <w:tcW w:w="165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rPr>
                <w:rFonts w:cs="Times New Roman"/>
              </w:rPr>
            </w:pPr>
            <w:r w:rsidRPr="00D823F5">
              <w:rPr>
                <w:rFonts w:cs="Times New Roman"/>
              </w:rPr>
              <w:t>R</w:t>
            </w:r>
            <w:r w:rsidRPr="00D823F5"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 =.01</w:t>
            </w:r>
            <w:r w:rsidRPr="00D823F5">
              <w:rPr>
                <w:rFonts w:cs="Times New Roman"/>
              </w:rPr>
              <w:t xml:space="preserve">, </w:t>
            </w:r>
            <w:r w:rsidRPr="00D823F5">
              <w:rPr>
                <w:rFonts w:cs="Times New Roman"/>
                <w:i/>
              </w:rPr>
              <w:t xml:space="preserve">p </w:t>
            </w:r>
            <w:r>
              <w:rPr>
                <w:rFonts w:cs="Times New Roman"/>
              </w:rPr>
              <w:t>=</w:t>
            </w:r>
            <w:r w:rsidRPr="00D823F5">
              <w:rPr>
                <w:rFonts w:cs="Times New Roman"/>
              </w:rPr>
              <w:t xml:space="preserve"> .</w:t>
            </w:r>
            <w:r>
              <w:rPr>
                <w:rFonts w:cs="Times New Roman"/>
              </w:rPr>
              <w:t>43</w:t>
            </w:r>
          </w:p>
        </w:tc>
        <w:tc>
          <w:tcPr>
            <w:tcW w:w="1974" w:type="pct"/>
            <w:gridSpan w:val="3"/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ind w:firstLine="486"/>
              <w:rPr>
                <w:rFonts w:cs="Times New Roman"/>
              </w:rPr>
            </w:pPr>
          </w:p>
        </w:tc>
      </w:tr>
      <w:tr w:rsidR="00AA1A67" w:rsidRPr="00D823F5" w:rsidTr="00E9377E">
        <w:tc>
          <w:tcPr>
            <w:tcW w:w="1372" w:type="pct"/>
            <w:tcBorders>
              <w:bottom w:val="single" w:sz="4" w:space="0" w:color="auto"/>
            </w:tcBorders>
            <w:vAlign w:val="center"/>
            <w:hideMark/>
          </w:tcPr>
          <w:p w:rsidR="00AA1A67" w:rsidRPr="00D823F5" w:rsidRDefault="00AA1A67" w:rsidP="00E9377E">
            <w:pPr>
              <w:spacing w:before="120" w:after="120" w:line="276" w:lineRule="auto"/>
              <w:ind w:left="180"/>
              <w:rPr>
                <w:rFonts w:cs="Times New Roman"/>
              </w:rPr>
            </w:pPr>
            <w:r>
              <w:rPr>
                <w:rFonts w:cs="Times New Roman"/>
              </w:rPr>
              <w:t xml:space="preserve">Gestational age </w:t>
            </w:r>
            <w:r w:rsidRPr="00D823F5">
              <w:rPr>
                <w:rFonts w:cs="Times New Roman"/>
              </w:rPr>
              <w:t xml:space="preserve"> 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0.14 (.17)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0.08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.43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AA1A67" w:rsidRPr="00D823F5" w:rsidRDefault="00AA1A67" w:rsidP="00E9377E">
            <w:pPr>
              <w:spacing w:before="120" w:after="12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9650BD" w:rsidRDefault="009650BD"/>
    <w:sectPr w:rsidR="009650BD" w:rsidSect="004A69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46" w:rsidRDefault="00994E46" w:rsidP="0008595D">
      <w:pPr>
        <w:spacing w:after="0" w:line="240" w:lineRule="auto"/>
      </w:pPr>
      <w:r>
        <w:separator/>
      </w:r>
    </w:p>
  </w:endnote>
  <w:endnote w:type="continuationSeparator" w:id="0">
    <w:p w:rsidR="00994E46" w:rsidRDefault="00994E46" w:rsidP="0008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46" w:rsidRDefault="00994E46" w:rsidP="0008595D">
      <w:pPr>
        <w:spacing w:after="0" w:line="240" w:lineRule="auto"/>
      </w:pPr>
      <w:r>
        <w:separator/>
      </w:r>
    </w:p>
  </w:footnote>
  <w:footnote w:type="continuationSeparator" w:id="0">
    <w:p w:rsidR="00994E46" w:rsidRDefault="00994E46" w:rsidP="0008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5D" w:rsidRPr="004E19FE" w:rsidRDefault="000129E4" w:rsidP="0008595D">
    <w:pPr>
      <w:rPr>
        <w:sz w:val="24"/>
      </w:rPr>
    </w:pPr>
    <w:r w:rsidRPr="004E19FE">
      <w:rPr>
        <w:b/>
        <w:sz w:val="24"/>
      </w:rPr>
      <w:t xml:space="preserve">Online </w:t>
    </w:r>
    <w:r w:rsidR="005560D5" w:rsidRPr="004E19FE">
      <w:rPr>
        <w:b/>
        <w:sz w:val="24"/>
      </w:rPr>
      <w:t xml:space="preserve">Supplement </w:t>
    </w:r>
    <w:r w:rsidR="001C673B">
      <w:rPr>
        <w:b/>
        <w:sz w:val="24"/>
      </w:rPr>
      <w:t>1</w:t>
    </w:r>
    <w:r w:rsidR="005560D5" w:rsidRPr="004E19FE">
      <w:rPr>
        <w:b/>
        <w:sz w:val="24"/>
      </w:rPr>
      <w:ptab w:relativeTo="margin" w:alignment="center" w:leader="none"/>
    </w:r>
    <w:r w:rsidR="005560D5" w:rsidRPr="004E19FE">
      <w:rPr>
        <w:b/>
        <w:sz w:val="24"/>
      </w:rPr>
      <w:ptab w:relativeTo="margin" w:alignment="right" w:leader="none"/>
    </w:r>
    <w:r w:rsidR="00AA1E4E" w:rsidRPr="004E19FE">
      <w:rPr>
        <w:sz w:val="24"/>
      </w:rPr>
      <w:t>Lean - Very preterm birth and a</w:t>
    </w:r>
    <w:r w:rsidR="005560D5" w:rsidRPr="004E19FE">
      <w:rPr>
        <w:sz w:val="24"/>
      </w:rPr>
      <w:t xml:space="preserve">ttention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BD"/>
    <w:rsid w:val="000129E4"/>
    <w:rsid w:val="000525FE"/>
    <w:rsid w:val="0008595D"/>
    <w:rsid w:val="00114EF5"/>
    <w:rsid w:val="001C673B"/>
    <w:rsid w:val="002050AC"/>
    <w:rsid w:val="0021701C"/>
    <w:rsid w:val="00242EB4"/>
    <w:rsid w:val="002846F9"/>
    <w:rsid w:val="00287E48"/>
    <w:rsid w:val="002A2939"/>
    <w:rsid w:val="003B234B"/>
    <w:rsid w:val="00447C83"/>
    <w:rsid w:val="00470ED6"/>
    <w:rsid w:val="004A6948"/>
    <w:rsid w:val="004E19FE"/>
    <w:rsid w:val="004E6AAB"/>
    <w:rsid w:val="005400B6"/>
    <w:rsid w:val="00555318"/>
    <w:rsid w:val="005560D5"/>
    <w:rsid w:val="0057107E"/>
    <w:rsid w:val="005E062B"/>
    <w:rsid w:val="006A3187"/>
    <w:rsid w:val="006C3C61"/>
    <w:rsid w:val="00773B51"/>
    <w:rsid w:val="00782D35"/>
    <w:rsid w:val="00823901"/>
    <w:rsid w:val="00862B52"/>
    <w:rsid w:val="00922FFE"/>
    <w:rsid w:val="00945EC6"/>
    <w:rsid w:val="00946A7B"/>
    <w:rsid w:val="009650BD"/>
    <w:rsid w:val="0098798E"/>
    <w:rsid w:val="009940E3"/>
    <w:rsid w:val="00994E46"/>
    <w:rsid w:val="00A01B8B"/>
    <w:rsid w:val="00A1779E"/>
    <w:rsid w:val="00A23057"/>
    <w:rsid w:val="00A32CC6"/>
    <w:rsid w:val="00A636A8"/>
    <w:rsid w:val="00A772BD"/>
    <w:rsid w:val="00AA1A67"/>
    <w:rsid w:val="00AA1E4E"/>
    <w:rsid w:val="00AB497B"/>
    <w:rsid w:val="00AF5E40"/>
    <w:rsid w:val="00BC75D8"/>
    <w:rsid w:val="00BD02CB"/>
    <w:rsid w:val="00C478FB"/>
    <w:rsid w:val="00E57FCB"/>
    <w:rsid w:val="00E94F4E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4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9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95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95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4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9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95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95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Lean, Rachel</dc:creator>
  <cp:keywords/>
  <dc:description/>
  <cp:lastModifiedBy>Lean, Rachel</cp:lastModifiedBy>
  <cp:revision>43</cp:revision>
  <cp:lastPrinted>2016-08-04T18:27:00Z</cp:lastPrinted>
  <dcterms:created xsi:type="dcterms:W3CDTF">2016-08-04T18:09:00Z</dcterms:created>
  <dcterms:modified xsi:type="dcterms:W3CDTF">2017-03-31T15:00:00Z</dcterms:modified>
</cp:coreProperties>
</file>