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044F" w14:textId="7DC12F53" w:rsidR="000A09B9" w:rsidRPr="000A09B9" w:rsidRDefault="0038233B" w:rsidP="000A09B9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9B9">
        <w:rPr>
          <w:rFonts w:ascii="Times New Roman" w:hAnsi="Times New Roman" w:cs="Times New Roman"/>
          <w:b/>
          <w:sz w:val="20"/>
          <w:szCs w:val="20"/>
        </w:rPr>
        <w:t>Appendix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277"/>
        <w:gridCol w:w="7058"/>
      </w:tblGrid>
      <w:tr w:rsidR="001C05EA" w:rsidRPr="000A09B9" w14:paraId="7CF73A69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57F3338C" w14:textId="77777777" w:rsidR="0038233B" w:rsidRPr="000A09B9" w:rsidRDefault="0038233B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b/>
                <w:sz w:val="20"/>
                <w:szCs w:val="20"/>
              </w:rPr>
              <w:t>Measure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280D56E8" w14:textId="36CE6D80" w:rsidR="0038233B" w:rsidRPr="000A09B9" w:rsidRDefault="0038233B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b/>
                <w:sz w:val="20"/>
                <w:szCs w:val="20"/>
              </w:rPr>
              <w:t>Age Range</w:t>
            </w:r>
            <w:r w:rsidR="00BE2023" w:rsidRPr="000A09B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685" w:type="pct"/>
            <w:tcBorders>
              <w:left w:val="nil"/>
              <w:right w:val="nil"/>
            </w:tcBorders>
            <w:vAlign w:val="center"/>
          </w:tcPr>
          <w:p w14:paraId="22CBBBFA" w14:textId="77777777" w:rsidR="0038233B" w:rsidRPr="000A09B9" w:rsidRDefault="0038233B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b/>
                <w:sz w:val="20"/>
                <w:szCs w:val="20"/>
              </w:rPr>
              <w:t>Task Description</w:t>
            </w:r>
          </w:p>
        </w:tc>
      </w:tr>
      <w:tr w:rsidR="001C05EA" w:rsidRPr="000A09B9" w14:paraId="02E9B517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3388D11F" w14:textId="77777777" w:rsidR="0038233B" w:rsidRPr="000A09B9" w:rsidRDefault="00C06FF6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EC </w:t>
            </w:r>
            <w:r w:rsidR="0038233B" w:rsidRPr="000A09B9"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22CB5939" w14:textId="78D03499" w:rsidR="0038233B" w:rsidRPr="000A09B9" w:rsidRDefault="00BE2023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3-6 years</w:t>
            </w:r>
          </w:p>
          <w:p w14:paraId="6E2A93B4" w14:textId="77777777" w:rsidR="00C06FF6" w:rsidRPr="000A09B9" w:rsidRDefault="00C06FF6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727162D7" w14:textId="44A2FFD9" w:rsidR="0038233B" w:rsidRPr="000A09B9" w:rsidRDefault="00C06FF6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Form containing 55 items that are grouped into 8 subscales: 1) learning materials, 2) language stimulation, 3) physical environment, 4) parental </w:t>
            </w:r>
            <w:proofErr w:type="spellStart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responsivity</w:t>
            </w:r>
            <w:proofErr w:type="spellEnd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, 5) learning stimulation, 6) modeling of social maturity, 7) variety in experience, 8) acceptance of child.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During a visit to the child’s home, a </w:t>
            </w:r>
            <w:proofErr w:type="spellStart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>rater</w:t>
            </w:r>
            <w:proofErr w:type="spellEnd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(e.g., clinician, research assistant) places a plus (+) or minus (-) in a box alongside each item if the behaviour is observed during the visit or if a parent reports that the conditions or events are characteristic of the home environment. </w:t>
            </w:r>
          </w:p>
        </w:tc>
      </w:tr>
      <w:tr w:rsidR="001C05EA" w:rsidRPr="000A09B9" w14:paraId="5BED78C9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5AD4E4E2" w14:textId="77777777" w:rsidR="00C06FF6" w:rsidRPr="000A09B9" w:rsidRDefault="00C06FF6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EA HOME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345D8E6B" w14:textId="22F89DE7" w:rsidR="00C06FF6" w:rsidRPr="000A09B9" w:rsidRDefault="00C06FF6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10-15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042D60F6" w14:textId="3C3DF2FC" w:rsidR="00C06FF6" w:rsidRPr="000A09B9" w:rsidRDefault="00C06FF6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Form containing 60 items that are grouped into 7 subscales: 1)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physical environment, 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>learning materials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, 3)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modeling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, 4)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instructional activities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, 5)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regulatory activities 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variety of experience, 7) 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acceptance 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proofErr w:type="spellStart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>responsivity</w:t>
            </w:r>
            <w:proofErr w:type="spellEnd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. During a visit to the child’s home, a </w:t>
            </w:r>
            <w:proofErr w:type="spellStart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>rater</w:t>
            </w:r>
            <w:proofErr w:type="spellEnd"/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(e.g., clinician, research assistant) places a plus (+) or minus (-) in a box alongside each item if the behaviour is observed during the visit or if a parent reports that the conditions or events are characteristic of the home environment. </w:t>
            </w:r>
          </w:p>
        </w:tc>
      </w:tr>
      <w:tr w:rsidR="001C05EA" w:rsidRPr="000A09B9" w14:paraId="3B2D8428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403F926F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61E176E0" w14:textId="77777777" w:rsidR="0038233B" w:rsidRPr="000A09B9" w:rsidRDefault="004A05BF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13+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219A6550" w14:textId="7F6E2C3C" w:rsidR="0038233B" w:rsidRPr="000A09B9" w:rsidRDefault="001C05EA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C374C" w:rsidRPr="000A09B9">
              <w:rPr>
                <w:rFonts w:ascii="Times New Roman" w:hAnsi="Times New Roman" w:cs="Times New Roman"/>
                <w:sz w:val="20"/>
                <w:szCs w:val="20"/>
              </w:rPr>
              <w:t>elf-report questionnaire containing 53 items that ask individuals to rate how much they have been bothered by various symptoms within the past week (0 = not at all, 4 = extremely).</w:t>
            </w:r>
            <w:r w:rsidR="004A05BF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05EA" w:rsidRPr="000A09B9" w14:paraId="0F2422D7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5C33C10E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SCL-90-R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48821DB6" w14:textId="77777777" w:rsidR="0038233B" w:rsidRPr="000A09B9" w:rsidRDefault="00BC374C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13+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42BAB0F9" w14:textId="40A404F0" w:rsidR="0038233B" w:rsidRPr="000A09B9" w:rsidRDefault="001C05EA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C374C" w:rsidRPr="000A09B9">
              <w:rPr>
                <w:rFonts w:ascii="Times New Roman" w:hAnsi="Times New Roman" w:cs="Times New Roman"/>
                <w:sz w:val="20"/>
                <w:szCs w:val="20"/>
              </w:rPr>
              <w:t>elf-report questionnaire containing 90 items that ask individuals to rate how much they have been bothered by various symptoms within the past week (0 = not at all, 4 = extremely).</w:t>
            </w:r>
          </w:p>
        </w:tc>
      </w:tr>
      <w:tr w:rsidR="001C05EA" w:rsidRPr="000A09B9" w14:paraId="068522AF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78595889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FAD-GF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16A67616" w14:textId="77777777" w:rsidR="0038233B" w:rsidRPr="000A09B9" w:rsidRDefault="0032336E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12+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0B0CD647" w14:textId="3D614506" w:rsidR="0038233B" w:rsidRPr="000A09B9" w:rsidRDefault="001C05EA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C374C" w:rsidRPr="000A09B9">
              <w:rPr>
                <w:rFonts w:ascii="Times New Roman" w:hAnsi="Times New Roman" w:cs="Times New Roman"/>
                <w:sz w:val="20"/>
                <w:szCs w:val="20"/>
              </w:rPr>
              <w:t>elf-report questionnaire containing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12 statements about families</w:t>
            </w:r>
            <w:r w:rsidR="00602EFD" w:rsidRPr="000A09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on</w:t>
            </w:r>
            <w:r w:rsidR="00BC374C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which individuals rate the extent to which they agree or disagree (on a 4 point scale).</w:t>
            </w:r>
          </w:p>
        </w:tc>
      </w:tr>
      <w:tr w:rsidR="001C05EA" w:rsidRPr="000A09B9" w14:paraId="64200614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3C905297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ToL-Dx</w:t>
            </w:r>
            <w:proofErr w:type="spellEnd"/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07BD3B7B" w14:textId="4AB52927" w:rsidR="0038233B" w:rsidRPr="000A09B9" w:rsidRDefault="0032336E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7-15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019FA23F" w14:textId="77777777" w:rsidR="0038233B" w:rsidRPr="000A09B9" w:rsidRDefault="0032336E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Red, green, and blue beads are arranged on a pegboard to match a diagram. Participants are asked to replicate the configuration on a second pegboard. Scores are calculated for total correct, total moves, total initiation time, total execution time, total time, total time violations, and total rule violations.</w:t>
            </w:r>
          </w:p>
        </w:tc>
      </w:tr>
      <w:tr w:rsidR="001C05EA" w:rsidRPr="000A09B9" w14:paraId="02B653E8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3B961A23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08759319" w14:textId="77777777" w:rsidR="0038233B" w:rsidRPr="000A09B9" w:rsidRDefault="0038233B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6-85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2198EC84" w14:textId="77777777" w:rsidR="0038233B" w:rsidRPr="000A09B9" w:rsidRDefault="00C06FF6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Computerized test wherein an arrow appears above or below a fixation point and p</w:t>
            </w:r>
            <w:r w:rsidR="0038233B" w:rsidRPr="000A09B9">
              <w:rPr>
                <w:rFonts w:ascii="Times New Roman" w:hAnsi="Times New Roman" w:cs="Times New Roman"/>
                <w:sz w:val="20"/>
                <w:szCs w:val="20"/>
              </w:rPr>
              <w:t>articipants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are asked to</w:t>
            </w:r>
            <w:r w:rsidR="0038233B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determine whether an arrow points left or right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. Scores reflect how response times are influenced by flankers and are calculated as </w:t>
            </w:r>
            <w:r w:rsidRPr="000A0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median reaction time on congruent trials subtracted from the median reaction time on incongruent trials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05EA" w:rsidRPr="000A09B9" w14:paraId="7656FA04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27BD977E" w14:textId="5C78192E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TEA-</w:t>
            </w:r>
            <w:proofErr w:type="spellStart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5EA" w:rsidRPr="000A09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W/DW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2F6976B2" w14:textId="77777777" w:rsidR="0038233B" w:rsidRPr="000A09B9" w:rsidRDefault="005E58F4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6-15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7BFB64CD" w14:textId="77777777" w:rsidR="0038233B" w:rsidRPr="000A09B9" w:rsidRDefault="0032336E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A paper and pencil task wherein the participant is asked to draw one step along a pathway after each tone they hear on a tape. When a tone ends, the child is signalled to stop. The task measures whether the child is able to stop drawing the path when signalled to stop.</w:t>
            </w:r>
          </w:p>
        </w:tc>
      </w:tr>
      <w:tr w:rsidR="001C05EA" w:rsidRPr="000A09B9" w14:paraId="6A0CE95A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01C25AE0" w14:textId="066AD308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TEA-</w:t>
            </w:r>
            <w:proofErr w:type="spellStart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5EA" w:rsidRPr="000A09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1824FAC0" w14:textId="77777777" w:rsidR="0038233B" w:rsidRPr="000A09B9" w:rsidRDefault="005E58F4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6-15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5DB45425" w14:textId="7688F6BA" w:rsidR="0038233B" w:rsidRPr="000A09B9" w:rsidRDefault="005E58F4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The participant listens to a stream of digits presented at a rate of one every 2 seconds and </w:t>
            </w:r>
            <w:r w:rsidR="00602EFD" w:rsidRPr="000A09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asked to identify the digit that occurred immediately prior to a particular sequence (e.g., 5-5). </w:t>
            </w:r>
          </w:p>
        </w:tc>
      </w:tr>
      <w:tr w:rsidR="001C05EA" w:rsidRPr="000A09B9" w14:paraId="7A5B91D8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0C6120B4" w14:textId="4B2E7ACD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TEA-</w:t>
            </w:r>
            <w:proofErr w:type="spellStart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5EA" w:rsidRPr="000A09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0530484D" w14:textId="77777777" w:rsidR="0038233B" w:rsidRPr="000A09B9" w:rsidRDefault="005E58F4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6-15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28525A36" w14:textId="77777777" w:rsidR="0038233B" w:rsidRPr="000A09B9" w:rsidRDefault="0032336E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The participant is asked to count aliens, repeatedly switching between counting forwards and backwards depending on the direction of an arrow.</w:t>
            </w:r>
            <w:r w:rsidR="005E58F4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Accuracy and completion time are recorded.</w:t>
            </w:r>
          </w:p>
        </w:tc>
      </w:tr>
      <w:tr w:rsidR="001C05EA" w:rsidRPr="000A09B9" w14:paraId="5DA98A64" w14:textId="77777777" w:rsidTr="000A09B9"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25F70F92" w14:textId="77777777" w:rsidR="0038233B" w:rsidRPr="000A09B9" w:rsidRDefault="0038233B" w:rsidP="001C66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IGT</w:t>
            </w:r>
          </w:p>
        </w:tc>
        <w:tc>
          <w:tcPr>
            <w:tcW w:w="667" w:type="pct"/>
            <w:tcBorders>
              <w:left w:val="nil"/>
              <w:right w:val="nil"/>
            </w:tcBorders>
            <w:vAlign w:val="center"/>
          </w:tcPr>
          <w:p w14:paraId="121D1082" w14:textId="77777777" w:rsidR="0038233B" w:rsidRPr="000A09B9" w:rsidRDefault="002B3C1A" w:rsidP="000A09B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8-79 years</w:t>
            </w:r>
          </w:p>
        </w:tc>
        <w:tc>
          <w:tcPr>
            <w:tcW w:w="3685" w:type="pct"/>
            <w:tcBorders>
              <w:left w:val="nil"/>
              <w:right w:val="nil"/>
            </w:tcBorders>
          </w:tcPr>
          <w:p w14:paraId="000F151C" w14:textId="5B26DB1F" w:rsidR="0038233B" w:rsidRPr="000A09B9" w:rsidRDefault="001C05EA" w:rsidP="001C66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Computerized task wherein</w:t>
            </w:r>
            <w:r w:rsidR="005E58F4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participants are presented with 4 virtual decks of cards and asked to choose a card from one of the decks with the goal of wining as much “mon</w:t>
            </w:r>
            <w:r w:rsidR="0006409B" w:rsidRPr="000A09B9">
              <w:rPr>
                <w:rFonts w:ascii="Times New Roman" w:hAnsi="Times New Roman" w:cs="Times New Roman"/>
                <w:sz w:val="20"/>
                <w:szCs w:val="20"/>
              </w:rPr>
              <w:t>ey” as possible. “Bad” decks</w:t>
            </w:r>
            <w:r w:rsidR="0034320E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lead to higher initi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al rewards</w:t>
            </w:r>
            <w:r w:rsidR="0034320E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9B9">
              <w:rPr>
                <w:rFonts w:ascii="Times New Roman" w:hAnsi="Times New Roman" w:cs="Times New Roman"/>
                <w:sz w:val="20"/>
                <w:szCs w:val="20"/>
              </w:rPr>
              <w:t>but higher potential losses,</w:t>
            </w:r>
            <w:r w:rsidR="0034320E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thus lower overall value</w:t>
            </w:r>
            <w:r w:rsidR="0006409B" w:rsidRPr="000A09B9">
              <w:rPr>
                <w:rFonts w:ascii="Times New Roman" w:hAnsi="Times New Roman" w:cs="Times New Roman"/>
                <w:sz w:val="20"/>
                <w:szCs w:val="20"/>
              </w:rPr>
              <w:t>. “Good” decks</w:t>
            </w:r>
            <w:r w:rsidR="005E58F4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20E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lead to lower initial rewards </w:t>
            </w:r>
            <w:r w:rsidR="0006409B" w:rsidRPr="000A09B9">
              <w:rPr>
                <w:rFonts w:ascii="Times New Roman" w:hAnsi="Times New Roman" w:cs="Times New Roman"/>
                <w:sz w:val="20"/>
                <w:szCs w:val="20"/>
              </w:rPr>
              <w:t>but</w:t>
            </w:r>
            <w:r w:rsidR="0034320E" w:rsidRPr="000A09B9">
              <w:rPr>
                <w:rFonts w:ascii="Times New Roman" w:hAnsi="Times New Roman" w:cs="Times New Roman"/>
                <w:sz w:val="20"/>
                <w:szCs w:val="20"/>
              </w:rPr>
              <w:t xml:space="preserve"> lower possible losses, thus higher overall value. Participants are expected to learn the nature of the decks through trial and error. </w:t>
            </w:r>
          </w:p>
        </w:tc>
      </w:tr>
    </w:tbl>
    <w:p w14:paraId="667F4DE5" w14:textId="6B866F10" w:rsidR="0035789C" w:rsidRPr="000A09B9" w:rsidRDefault="0035789C" w:rsidP="001C6609">
      <w:pPr>
        <w:tabs>
          <w:tab w:val="left" w:pos="696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A09B9">
        <w:rPr>
          <w:rFonts w:ascii="Times New Roman" w:hAnsi="Times New Roman" w:cs="Times New Roman"/>
          <w:sz w:val="20"/>
          <w:szCs w:val="20"/>
        </w:rPr>
        <w:t xml:space="preserve">HOME = Home Observation for Measures of the Environment (EC = Early Childhood, EA = Early Adolescent); FAD-GF = Family Assessment Device - General Functioning subscale; BSI = Brief Symptom Inventory; SCL-90-R = Symptom Checklist-Revised; </w:t>
      </w:r>
      <w:proofErr w:type="spellStart"/>
      <w:r w:rsidRPr="000A09B9">
        <w:rPr>
          <w:rFonts w:ascii="Times New Roman" w:hAnsi="Times New Roman" w:cs="Times New Roman"/>
          <w:sz w:val="20"/>
          <w:szCs w:val="20"/>
        </w:rPr>
        <w:t>ToL-Dx</w:t>
      </w:r>
      <w:proofErr w:type="spellEnd"/>
      <w:r w:rsidRPr="000A09B9">
        <w:rPr>
          <w:rFonts w:ascii="Times New Roman" w:hAnsi="Times New Roman" w:cs="Times New Roman"/>
          <w:sz w:val="20"/>
          <w:szCs w:val="20"/>
        </w:rPr>
        <w:t xml:space="preserve"> = Tower of London-Drexel; ANT = Attention Network Test; TEA-</w:t>
      </w:r>
      <w:proofErr w:type="spellStart"/>
      <w:r w:rsidRPr="000A09B9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Pr="000A09B9">
        <w:rPr>
          <w:rFonts w:ascii="Times New Roman" w:hAnsi="Times New Roman" w:cs="Times New Roman"/>
          <w:sz w:val="20"/>
          <w:szCs w:val="20"/>
        </w:rPr>
        <w:t xml:space="preserve"> = Test of Everyday Attention for Children (W/DW = Walk/Don’t Walk; CT = Code Transmission; CC = Creature Counting); IGT = Iowa Gambling Task </w:t>
      </w:r>
    </w:p>
    <w:p w14:paraId="45F28F61" w14:textId="14FB22CB" w:rsidR="0038233B" w:rsidRPr="000A09B9" w:rsidRDefault="0035789C" w:rsidP="001C660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A09B9">
        <w:rPr>
          <w:rFonts w:ascii="Times New Roman" w:hAnsi="Times New Roman" w:cs="Times New Roman"/>
          <w:sz w:val="20"/>
          <w:szCs w:val="20"/>
        </w:rPr>
        <w:t>*S</w:t>
      </w:r>
      <w:r w:rsidR="00C06FF6" w:rsidRPr="000A09B9">
        <w:rPr>
          <w:rFonts w:ascii="Times New Roman" w:hAnsi="Times New Roman" w:cs="Times New Roman"/>
          <w:sz w:val="20"/>
          <w:szCs w:val="20"/>
        </w:rPr>
        <w:t xml:space="preserve">ome participants were </w:t>
      </w:r>
      <w:r w:rsidR="00BE2023" w:rsidRPr="000A09B9">
        <w:rPr>
          <w:rFonts w:ascii="Times New Roman" w:hAnsi="Times New Roman" w:cs="Times New Roman"/>
          <w:sz w:val="20"/>
          <w:szCs w:val="20"/>
        </w:rPr>
        <w:t>outside the</w:t>
      </w:r>
      <w:r w:rsidR="00C06FF6" w:rsidRPr="000A09B9">
        <w:rPr>
          <w:rFonts w:ascii="Times New Roman" w:hAnsi="Times New Roman" w:cs="Times New Roman"/>
          <w:sz w:val="20"/>
          <w:szCs w:val="20"/>
        </w:rPr>
        <w:t xml:space="preserve"> age range </w:t>
      </w:r>
      <w:r w:rsidR="00BE2023" w:rsidRPr="000A09B9">
        <w:rPr>
          <w:rFonts w:ascii="Times New Roman" w:hAnsi="Times New Roman" w:cs="Times New Roman"/>
          <w:sz w:val="20"/>
          <w:szCs w:val="20"/>
        </w:rPr>
        <w:t>for specifi</w:t>
      </w:r>
      <w:r w:rsidR="00606569" w:rsidRPr="000A09B9">
        <w:rPr>
          <w:rFonts w:ascii="Times New Roman" w:hAnsi="Times New Roman" w:cs="Times New Roman"/>
          <w:sz w:val="20"/>
          <w:szCs w:val="20"/>
        </w:rPr>
        <w:t>c measures (i.e., up to 1 year).</w:t>
      </w:r>
      <w:r w:rsidR="00BE2023" w:rsidRPr="000A09B9">
        <w:rPr>
          <w:rFonts w:ascii="Times New Roman" w:hAnsi="Times New Roman" w:cs="Times New Roman"/>
          <w:sz w:val="20"/>
          <w:szCs w:val="20"/>
        </w:rPr>
        <w:t xml:space="preserve"> </w:t>
      </w:r>
      <w:r w:rsidR="00606569" w:rsidRPr="000A09B9">
        <w:rPr>
          <w:rFonts w:ascii="Times New Roman" w:hAnsi="Times New Roman" w:cs="Times New Roman"/>
          <w:sz w:val="20"/>
          <w:szCs w:val="20"/>
        </w:rPr>
        <w:t>H</w:t>
      </w:r>
      <w:r w:rsidRPr="000A09B9">
        <w:rPr>
          <w:rFonts w:ascii="Times New Roman" w:hAnsi="Times New Roman" w:cs="Times New Roman"/>
          <w:sz w:val="20"/>
          <w:szCs w:val="20"/>
        </w:rPr>
        <w:t>owever,</w:t>
      </w:r>
      <w:r w:rsidR="00BE2023" w:rsidRPr="000A09B9">
        <w:rPr>
          <w:rFonts w:ascii="Times New Roman" w:hAnsi="Times New Roman" w:cs="Times New Roman"/>
          <w:sz w:val="20"/>
          <w:szCs w:val="20"/>
        </w:rPr>
        <w:t xml:space="preserve"> </w:t>
      </w:r>
      <w:r w:rsidR="00606569" w:rsidRPr="000A09B9">
        <w:rPr>
          <w:rFonts w:ascii="Times New Roman" w:hAnsi="Times New Roman" w:cs="Times New Roman"/>
          <w:sz w:val="20"/>
          <w:szCs w:val="20"/>
        </w:rPr>
        <w:t>to limit attrition and maintain consistency,</w:t>
      </w:r>
      <w:r w:rsidR="00C06FF6" w:rsidRPr="000A09B9">
        <w:rPr>
          <w:rFonts w:ascii="Times New Roman" w:hAnsi="Times New Roman" w:cs="Times New Roman"/>
          <w:sz w:val="20"/>
          <w:szCs w:val="20"/>
        </w:rPr>
        <w:t xml:space="preserve"> the authors</w:t>
      </w:r>
      <w:r w:rsidR="00606569" w:rsidRPr="000A09B9">
        <w:rPr>
          <w:rFonts w:ascii="Times New Roman" w:hAnsi="Times New Roman" w:cs="Times New Roman"/>
          <w:sz w:val="20"/>
          <w:szCs w:val="20"/>
        </w:rPr>
        <w:t xml:space="preserve"> </w:t>
      </w:r>
      <w:r w:rsidR="007D10BC" w:rsidRPr="000A09B9">
        <w:rPr>
          <w:rFonts w:ascii="Times New Roman" w:hAnsi="Times New Roman" w:cs="Times New Roman"/>
          <w:sz w:val="20"/>
          <w:szCs w:val="20"/>
        </w:rPr>
        <w:t>decided to administer the same measures.</w:t>
      </w:r>
      <w:r w:rsidR="00606569" w:rsidRPr="000A09B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38233B" w:rsidRPr="000A09B9" w:rsidSect="0038233B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86011" w14:textId="77777777" w:rsidR="001C6609" w:rsidRDefault="001C6609" w:rsidP="003572C2">
      <w:r>
        <w:separator/>
      </w:r>
    </w:p>
  </w:endnote>
  <w:endnote w:type="continuationSeparator" w:id="0">
    <w:p w14:paraId="423DA500" w14:textId="77777777" w:rsidR="001C6609" w:rsidRDefault="001C6609" w:rsidP="003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DFB59" w14:textId="77777777" w:rsidR="001C6609" w:rsidRDefault="001C6609" w:rsidP="003572C2">
      <w:r>
        <w:separator/>
      </w:r>
    </w:p>
  </w:footnote>
  <w:footnote w:type="continuationSeparator" w:id="0">
    <w:p w14:paraId="77469650" w14:textId="77777777" w:rsidR="001C6609" w:rsidRDefault="001C6609" w:rsidP="00357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87A" w14:textId="77777777" w:rsidR="001C6609" w:rsidRDefault="0024738C">
    <w:pPr>
      <w:pStyle w:val="Header"/>
    </w:pPr>
    <w:sdt>
      <w:sdtPr>
        <w:id w:val="171999623"/>
        <w:placeholder>
          <w:docPart w:val="C9C93FB1DC87BB41A9DB5338E788C8FE"/>
        </w:placeholder>
        <w:temporary/>
        <w:showingPlcHdr/>
      </w:sdtPr>
      <w:sdtEndPr/>
      <w:sdtContent>
        <w:r w:rsidR="001C6609">
          <w:t>[Type text]</w:t>
        </w:r>
      </w:sdtContent>
    </w:sdt>
    <w:r w:rsidR="001C6609">
      <w:ptab w:relativeTo="margin" w:alignment="center" w:leader="none"/>
    </w:r>
    <w:sdt>
      <w:sdtPr>
        <w:id w:val="171999624"/>
        <w:placeholder>
          <w:docPart w:val="2070C917C4307C43A7CCCBAD82657AA3"/>
        </w:placeholder>
        <w:temporary/>
        <w:showingPlcHdr/>
      </w:sdtPr>
      <w:sdtEndPr/>
      <w:sdtContent>
        <w:r w:rsidR="001C6609">
          <w:t>[Type text]</w:t>
        </w:r>
      </w:sdtContent>
    </w:sdt>
    <w:r w:rsidR="001C6609">
      <w:ptab w:relativeTo="margin" w:alignment="right" w:leader="none"/>
    </w:r>
    <w:sdt>
      <w:sdtPr>
        <w:id w:val="171999625"/>
        <w:placeholder>
          <w:docPart w:val="7DAF62FD78672F4E8C24F93D807C8B22"/>
        </w:placeholder>
        <w:temporary/>
        <w:showingPlcHdr/>
      </w:sdtPr>
      <w:sdtEndPr/>
      <w:sdtContent>
        <w:r w:rsidR="001C6609">
          <w:t>[Type text]</w:t>
        </w:r>
      </w:sdtContent>
    </w:sdt>
  </w:p>
  <w:p w14:paraId="65D2C0CD" w14:textId="77777777" w:rsidR="001C6609" w:rsidRDefault="001C66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3C5E" w14:textId="28E18E9B" w:rsidR="001C6609" w:rsidRPr="003572C2" w:rsidRDefault="001C6609">
    <w:pPr>
      <w:pStyle w:val="Header"/>
      <w:rPr>
        <w:rFonts w:ascii="Times New Roman" w:hAnsi="Times New Roman" w:cs="Times New Roman"/>
      </w:rPr>
    </w:pPr>
    <w:proofErr w:type="spellStart"/>
    <w:r w:rsidRPr="003572C2">
      <w:rPr>
        <w:rFonts w:ascii="Times New Roman" w:hAnsi="Times New Roman" w:cs="Times New Roman"/>
      </w:rPr>
      <w:t>Laliberté</w:t>
    </w:r>
    <w:proofErr w:type="spellEnd"/>
    <w:r w:rsidRPr="003572C2">
      <w:rPr>
        <w:rFonts w:ascii="Times New Roman" w:hAnsi="Times New Roman" w:cs="Times New Roman"/>
      </w:rPr>
      <w:t xml:space="preserve"> </w:t>
    </w:r>
    <w:proofErr w:type="spellStart"/>
    <w:r w:rsidRPr="003572C2">
      <w:rPr>
        <w:rFonts w:ascii="Times New Roman" w:hAnsi="Times New Roman" w:cs="Times New Roman"/>
      </w:rPr>
      <w:t>Durish</w:t>
    </w:r>
    <w:proofErr w:type="spellEnd"/>
    <w:r w:rsidRPr="003572C2">
      <w:rPr>
        <w:rFonts w:ascii="Times New Roman" w:hAnsi="Times New Roman" w:cs="Times New Roman"/>
      </w:rPr>
      <w:t xml:space="preserve"> – EF Following Early Childhood TBI </w:t>
    </w:r>
  </w:p>
  <w:p w14:paraId="40AB60DE" w14:textId="77777777" w:rsidR="001C6609" w:rsidRDefault="001C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3B"/>
    <w:rsid w:val="0006409B"/>
    <w:rsid w:val="000A09B9"/>
    <w:rsid w:val="001C05EA"/>
    <w:rsid w:val="001C6609"/>
    <w:rsid w:val="0024738C"/>
    <w:rsid w:val="002B3C1A"/>
    <w:rsid w:val="0032336E"/>
    <w:rsid w:val="0034320E"/>
    <w:rsid w:val="003572C2"/>
    <w:rsid w:val="0035789C"/>
    <w:rsid w:val="0038233B"/>
    <w:rsid w:val="00392A56"/>
    <w:rsid w:val="004A05BF"/>
    <w:rsid w:val="005E58F4"/>
    <w:rsid w:val="00602EFD"/>
    <w:rsid w:val="00606569"/>
    <w:rsid w:val="006729B7"/>
    <w:rsid w:val="007D10BC"/>
    <w:rsid w:val="0090721C"/>
    <w:rsid w:val="009C74DA"/>
    <w:rsid w:val="00BC374C"/>
    <w:rsid w:val="00BE2023"/>
    <w:rsid w:val="00C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15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2C2"/>
  </w:style>
  <w:style w:type="paragraph" w:styleId="Footer">
    <w:name w:val="footer"/>
    <w:basedOn w:val="Normal"/>
    <w:link w:val="FooterChar"/>
    <w:uiPriority w:val="99"/>
    <w:unhideWhenUsed/>
    <w:rsid w:val="00357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2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2C2"/>
  </w:style>
  <w:style w:type="paragraph" w:styleId="Footer">
    <w:name w:val="footer"/>
    <w:basedOn w:val="Normal"/>
    <w:link w:val="FooterChar"/>
    <w:uiPriority w:val="99"/>
    <w:unhideWhenUsed/>
    <w:rsid w:val="00357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93FB1DC87BB41A9DB5338E788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B91C-3DD8-8145-A4E8-5DBCF36FC122}"/>
      </w:docPartPr>
      <w:docPartBody>
        <w:p w14:paraId="5C76A6A2" w14:textId="58B2FE38" w:rsidR="008A5946" w:rsidRDefault="008E2D8B" w:rsidP="008E2D8B">
          <w:pPr>
            <w:pStyle w:val="C9C93FB1DC87BB41A9DB5338E788C8FE"/>
          </w:pPr>
          <w:r>
            <w:t>[Type text]</w:t>
          </w:r>
        </w:p>
      </w:docPartBody>
    </w:docPart>
    <w:docPart>
      <w:docPartPr>
        <w:name w:val="2070C917C4307C43A7CCCBAD8265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B8A8-391A-B740-9B38-946DABFBACFD}"/>
      </w:docPartPr>
      <w:docPartBody>
        <w:p w14:paraId="1D43BAB7" w14:textId="1A929F16" w:rsidR="008A5946" w:rsidRDefault="008E2D8B" w:rsidP="008E2D8B">
          <w:pPr>
            <w:pStyle w:val="2070C917C4307C43A7CCCBAD82657AA3"/>
          </w:pPr>
          <w:r>
            <w:t>[Type text]</w:t>
          </w:r>
        </w:p>
      </w:docPartBody>
    </w:docPart>
    <w:docPart>
      <w:docPartPr>
        <w:name w:val="7DAF62FD78672F4E8C24F93D807C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CF14-33B2-9049-AD6B-6902217F28BC}"/>
      </w:docPartPr>
      <w:docPartBody>
        <w:p w14:paraId="5635AB37" w14:textId="29DA7D77" w:rsidR="008A5946" w:rsidRDefault="008E2D8B" w:rsidP="008E2D8B">
          <w:pPr>
            <w:pStyle w:val="7DAF62FD78672F4E8C24F93D807C8B2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8B"/>
    <w:rsid w:val="008A5946"/>
    <w:rsid w:val="008E2D8B"/>
    <w:rsid w:val="009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C93FB1DC87BB41A9DB5338E788C8FE">
    <w:name w:val="C9C93FB1DC87BB41A9DB5338E788C8FE"/>
    <w:rsid w:val="008E2D8B"/>
  </w:style>
  <w:style w:type="paragraph" w:customStyle="1" w:styleId="2070C917C4307C43A7CCCBAD82657AA3">
    <w:name w:val="2070C917C4307C43A7CCCBAD82657AA3"/>
    <w:rsid w:val="008E2D8B"/>
  </w:style>
  <w:style w:type="paragraph" w:customStyle="1" w:styleId="7DAF62FD78672F4E8C24F93D807C8B22">
    <w:name w:val="7DAF62FD78672F4E8C24F93D807C8B22"/>
    <w:rsid w:val="008E2D8B"/>
  </w:style>
  <w:style w:type="paragraph" w:customStyle="1" w:styleId="17E49A46AFE75249A5B0AE43805C2688">
    <w:name w:val="17E49A46AFE75249A5B0AE43805C2688"/>
    <w:rsid w:val="008E2D8B"/>
  </w:style>
  <w:style w:type="paragraph" w:customStyle="1" w:styleId="42540A1143A14A4EA972E1A31C344409">
    <w:name w:val="42540A1143A14A4EA972E1A31C344409"/>
    <w:rsid w:val="008E2D8B"/>
  </w:style>
  <w:style w:type="paragraph" w:customStyle="1" w:styleId="1E1C99539ACBEF4FAC31D2280119EA16">
    <w:name w:val="1E1C99539ACBEF4FAC31D2280119EA16"/>
    <w:rsid w:val="008E2D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C93FB1DC87BB41A9DB5338E788C8FE">
    <w:name w:val="C9C93FB1DC87BB41A9DB5338E788C8FE"/>
    <w:rsid w:val="008E2D8B"/>
  </w:style>
  <w:style w:type="paragraph" w:customStyle="1" w:styleId="2070C917C4307C43A7CCCBAD82657AA3">
    <w:name w:val="2070C917C4307C43A7CCCBAD82657AA3"/>
    <w:rsid w:val="008E2D8B"/>
  </w:style>
  <w:style w:type="paragraph" w:customStyle="1" w:styleId="7DAF62FD78672F4E8C24F93D807C8B22">
    <w:name w:val="7DAF62FD78672F4E8C24F93D807C8B22"/>
    <w:rsid w:val="008E2D8B"/>
  </w:style>
  <w:style w:type="paragraph" w:customStyle="1" w:styleId="17E49A46AFE75249A5B0AE43805C2688">
    <w:name w:val="17E49A46AFE75249A5B0AE43805C2688"/>
    <w:rsid w:val="008E2D8B"/>
  </w:style>
  <w:style w:type="paragraph" w:customStyle="1" w:styleId="42540A1143A14A4EA972E1A31C344409">
    <w:name w:val="42540A1143A14A4EA972E1A31C344409"/>
    <w:rsid w:val="008E2D8B"/>
  </w:style>
  <w:style w:type="paragraph" w:customStyle="1" w:styleId="1E1C99539ACBEF4FAC31D2280119EA16">
    <w:name w:val="1E1C99539ACBEF4FAC31D2280119EA16"/>
    <w:rsid w:val="008E2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68F6D-9CA4-9240-92C4-A4062D3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Macintosh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Laliberte</dc:creator>
  <cp:keywords/>
  <dc:description/>
  <cp:lastModifiedBy>Christianne Laliberte</cp:lastModifiedBy>
  <cp:revision>3</cp:revision>
  <dcterms:created xsi:type="dcterms:W3CDTF">2017-05-30T15:05:00Z</dcterms:created>
  <dcterms:modified xsi:type="dcterms:W3CDTF">2017-05-30T15:05:00Z</dcterms:modified>
</cp:coreProperties>
</file>