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38" w:rsidRDefault="00611738" w:rsidP="00611738">
      <w:pPr>
        <w:spacing w:line="480" w:lineRule="auto"/>
        <w:jc w:val="center"/>
        <w:rPr>
          <w:rFonts w:ascii="Times New Roman" w:hAnsi="Times New Roman" w:cs="Times New Roman"/>
        </w:rPr>
      </w:pPr>
    </w:p>
    <w:p w:rsidR="00611738" w:rsidRDefault="00611738" w:rsidP="00611738">
      <w:pPr>
        <w:spacing w:line="480" w:lineRule="auto"/>
        <w:jc w:val="center"/>
        <w:rPr>
          <w:rFonts w:ascii="Times New Roman" w:hAnsi="Times New Roman" w:cs="Times New Roman"/>
        </w:rPr>
      </w:pPr>
      <w:r>
        <w:rPr>
          <w:rFonts w:ascii="Times New Roman" w:hAnsi="Times New Roman" w:cs="Times New Roman"/>
        </w:rPr>
        <w:t>SUPPLEMENTARY MATERIAL</w:t>
      </w:r>
    </w:p>
    <w:p w:rsidR="00611738" w:rsidRDefault="00611738" w:rsidP="00611738">
      <w:pPr>
        <w:spacing w:line="480" w:lineRule="auto"/>
        <w:jc w:val="center"/>
        <w:rPr>
          <w:rFonts w:ascii="Times New Roman" w:hAnsi="Times New Roman" w:cs="Times New Roman"/>
        </w:rPr>
      </w:pPr>
    </w:p>
    <w:p w:rsidR="00611738" w:rsidRDefault="00611738" w:rsidP="00611738">
      <w:pPr>
        <w:spacing w:line="480" w:lineRule="auto"/>
        <w:jc w:val="center"/>
        <w:rPr>
          <w:rFonts w:ascii="Times New Roman" w:hAnsi="Times New Roman" w:cs="Times New Roman"/>
        </w:rPr>
      </w:pPr>
    </w:p>
    <w:p w:rsidR="00611738" w:rsidRPr="00A86D4D" w:rsidRDefault="00611738" w:rsidP="00611738">
      <w:pPr>
        <w:spacing w:line="480" w:lineRule="auto"/>
        <w:jc w:val="center"/>
        <w:rPr>
          <w:rFonts w:ascii="Times New Roman" w:hAnsi="Times New Roman" w:cs="Times New Roman"/>
        </w:rPr>
      </w:pPr>
      <w:r w:rsidRPr="00A86D4D">
        <w:rPr>
          <w:rFonts w:ascii="Times New Roman" w:hAnsi="Times New Roman" w:cs="Times New Roman"/>
        </w:rPr>
        <w:t>Allocentric vs. Egocentric Neglect in Stroke Patients: A Pilot Study Investigating the Assessment of Neglect Subtypes and their Impacts on Functional Outcome using Eye Tracking</w:t>
      </w:r>
    </w:p>
    <w:p w:rsidR="00611738" w:rsidRPr="00A86D4D" w:rsidRDefault="00611738" w:rsidP="00611738">
      <w:pPr>
        <w:spacing w:line="480" w:lineRule="auto"/>
        <w:jc w:val="center"/>
        <w:rPr>
          <w:rFonts w:ascii="Times New Roman" w:hAnsi="Times New Roman" w:cs="Times New Roman"/>
        </w:rPr>
      </w:pPr>
    </w:p>
    <w:p w:rsidR="00611738" w:rsidRPr="00A86D4D" w:rsidRDefault="00611738" w:rsidP="00611738">
      <w:pPr>
        <w:spacing w:line="480" w:lineRule="auto"/>
        <w:rPr>
          <w:rFonts w:ascii="Times New Roman" w:hAnsi="Times New Roman" w:cs="Times New Roman"/>
        </w:rPr>
      </w:pPr>
    </w:p>
    <w:p w:rsidR="00611738" w:rsidRPr="00A86D4D" w:rsidRDefault="00611738" w:rsidP="00611738">
      <w:pPr>
        <w:spacing w:line="480" w:lineRule="auto"/>
        <w:jc w:val="center"/>
        <w:rPr>
          <w:rFonts w:ascii="Times New Roman" w:hAnsi="Times New Roman" w:cs="Times New Roman"/>
        </w:rPr>
      </w:pPr>
      <w:r w:rsidRPr="00A86D4D">
        <w:rPr>
          <w:rFonts w:ascii="Times New Roman" w:hAnsi="Times New Roman" w:cs="Times New Roman"/>
        </w:rPr>
        <w:t xml:space="preserve">Jennifer N. Upshaw, Damian W. Leitner, Barbara J. Rutherford, Harry B. D. Miller, and Maya R. </w:t>
      </w:r>
      <w:proofErr w:type="spellStart"/>
      <w:r w:rsidRPr="00A86D4D">
        <w:rPr>
          <w:rFonts w:ascii="Times New Roman" w:hAnsi="Times New Roman" w:cs="Times New Roman"/>
        </w:rPr>
        <w:t>Libben</w:t>
      </w:r>
      <w:proofErr w:type="spellEnd"/>
    </w:p>
    <w:p w:rsidR="00611738" w:rsidRPr="00A86D4D" w:rsidRDefault="00611738" w:rsidP="00611738">
      <w:pPr>
        <w:spacing w:line="480" w:lineRule="auto"/>
        <w:jc w:val="center"/>
        <w:rPr>
          <w:rFonts w:ascii="Times New Roman" w:hAnsi="Times New Roman" w:cs="Times New Roman"/>
        </w:rPr>
      </w:pPr>
      <w:r w:rsidRPr="00A86D4D">
        <w:rPr>
          <w:rFonts w:ascii="Times New Roman" w:hAnsi="Times New Roman" w:cs="Times New Roman"/>
        </w:rPr>
        <w:t>University of British Columbia Okanagan</w:t>
      </w:r>
    </w:p>
    <w:p w:rsidR="00773B18" w:rsidRDefault="00773B18">
      <w:pPr>
        <w:rPr>
          <w:rFonts w:ascii="Times New Roman" w:hAnsi="Times New Roman" w:cs="Times New Roman"/>
        </w:rPr>
      </w:pPr>
    </w:p>
    <w:p w:rsidR="00611738" w:rsidRDefault="00611738" w:rsidP="00773B18">
      <w:pPr>
        <w:rPr>
          <w:rFonts w:ascii="Times New Roman" w:hAnsi="Times New Roman" w:cs="Times New Roman"/>
          <w:u w:val="single"/>
        </w:rPr>
      </w:pPr>
    </w:p>
    <w:p w:rsidR="00611738" w:rsidRDefault="00611738">
      <w:pPr>
        <w:rPr>
          <w:rFonts w:ascii="Times New Roman" w:hAnsi="Times New Roman" w:cs="Times New Roman"/>
          <w:u w:val="single"/>
        </w:rPr>
      </w:pPr>
      <w:r>
        <w:rPr>
          <w:rFonts w:ascii="Times New Roman" w:hAnsi="Times New Roman" w:cs="Times New Roman"/>
          <w:u w:val="single"/>
        </w:rPr>
        <w:br w:type="page"/>
      </w:r>
    </w:p>
    <w:p w:rsidR="00611738" w:rsidRDefault="00611738" w:rsidP="00773B18">
      <w:pPr>
        <w:rPr>
          <w:rFonts w:ascii="Times New Roman" w:hAnsi="Times New Roman" w:cs="Times New Roman"/>
          <w:u w:val="single"/>
        </w:rPr>
      </w:pPr>
      <w:r>
        <w:rPr>
          <w:rFonts w:ascii="Times New Roman" w:hAnsi="Times New Roman" w:cs="Times New Roman"/>
          <w:u w:val="single"/>
        </w:rPr>
        <w:lastRenderedPageBreak/>
        <w:t xml:space="preserve">Appendix I: </w:t>
      </w:r>
    </w:p>
    <w:p w:rsidR="00611738" w:rsidRDefault="00611738" w:rsidP="00773B18">
      <w:pPr>
        <w:rPr>
          <w:rFonts w:ascii="Times New Roman" w:hAnsi="Times New Roman" w:cs="Times New Roman"/>
          <w:u w:val="single"/>
        </w:rPr>
      </w:pPr>
    </w:p>
    <w:p w:rsidR="00773B18" w:rsidRDefault="00773B18" w:rsidP="00773B18">
      <w:pPr>
        <w:rPr>
          <w:rFonts w:ascii="Times New Roman" w:hAnsi="Times New Roman" w:cs="Times New Roman"/>
          <w:u w:val="single"/>
        </w:rPr>
      </w:pPr>
      <w:r w:rsidRPr="01F426CA">
        <w:rPr>
          <w:rFonts w:ascii="Times New Roman" w:hAnsi="Times New Roman" w:cs="Times New Roman"/>
          <w:u w:val="single"/>
        </w:rPr>
        <w:t>Preliminary Data Analysis:</w:t>
      </w:r>
    </w:p>
    <w:p w:rsidR="00611738" w:rsidRDefault="00611738" w:rsidP="00773B18">
      <w:pPr>
        <w:rPr>
          <w:rFonts w:ascii="Times New Roman" w:hAnsi="Times New Roman" w:cs="Times New Roman"/>
        </w:rPr>
      </w:pPr>
    </w:p>
    <w:p w:rsidR="00773B18" w:rsidRPr="00951907" w:rsidRDefault="00773B18" w:rsidP="00773B18">
      <w:pPr>
        <w:rPr>
          <w:rFonts w:ascii="Times New Roman" w:hAnsi="Times New Roman" w:cs="Times New Roman"/>
        </w:rPr>
      </w:pPr>
      <w:r w:rsidRPr="01F426CA">
        <w:rPr>
          <w:rFonts w:ascii="Times New Roman" w:hAnsi="Times New Roman" w:cs="Times New Roman"/>
        </w:rPr>
        <w:t xml:space="preserve">To maximize use of data, cases that had data points missing on variables of interest were deleted pair-wise for correlational and regression analyses. Descriptive statistics for each variable (e.g., means, standard deviations, minimum and maximum values, skewness, and kurtosis) were calculated and examined. Data were screened for univariate outliers and data points that were beyond 3 times the interquartile range for a given variable were considered extreme values. Variables of interest were assessed for normality both by examining normal q-q plots for the presence of reasonably straight diagonal lines and by examining skewness and kurtosis values. </w:t>
      </w:r>
    </w:p>
    <w:p w:rsidR="00773B18" w:rsidRDefault="00773B18" w:rsidP="00773B18">
      <w:pPr>
        <w:rPr>
          <w:rFonts w:ascii="Times New Roman" w:hAnsi="Times New Roman" w:cs="Times New Roman"/>
        </w:rPr>
      </w:pPr>
    </w:p>
    <w:p w:rsidR="00773B18" w:rsidRPr="00951907" w:rsidRDefault="00773B18" w:rsidP="00773B18">
      <w:pPr>
        <w:rPr>
          <w:rFonts w:ascii="Times New Roman" w:hAnsi="Times New Roman" w:cs="Times New Roman"/>
        </w:rPr>
      </w:pPr>
      <w:r w:rsidRPr="7DAD0EE0">
        <w:rPr>
          <w:rFonts w:ascii="Times New Roman" w:hAnsi="Times New Roman" w:cs="Times New Roman"/>
        </w:rPr>
        <w:t xml:space="preserve">Data was also examined for multivariate outliers by determining whether </w:t>
      </w:r>
      <w:proofErr w:type="spellStart"/>
      <w:r w:rsidRPr="7DAD0EE0">
        <w:rPr>
          <w:rFonts w:ascii="Times New Roman" w:hAnsi="Times New Roman" w:cs="Times New Roman"/>
        </w:rPr>
        <w:t>Mahalanobis</w:t>
      </w:r>
      <w:proofErr w:type="spellEnd"/>
      <w:r w:rsidRPr="7DAD0EE0">
        <w:rPr>
          <w:rFonts w:ascii="Times New Roman" w:hAnsi="Times New Roman" w:cs="Times New Roman"/>
        </w:rPr>
        <w:t xml:space="preserve"> Distances (D</w:t>
      </w:r>
      <w:r w:rsidRPr="7DAD0EE0">
        <w:rPr>
          <w:rFonts w:ascii="Times New Roman" w:hAnsi="Times New Roman" w:cs="Times New Roman"/>
          <w:vertAlign w:val="superscript"/>
        </w:rPr>
        <w:t>2</w:t>
      </w:r>
      <w:r w:rsidRPr="7DAD0EE0">
        <w:rPr>
          <w:rFonts w:ascii="Times New Roman" w:hAnsi="Times New Roman" w:cs="Times New Roman"/>
        </w:rPr>
        <w:t>) exceeded a critical chi square value that is dependent on the sample size and the number of predictors used in the regression equations (</w:t>
      </w:r>
      <w:proofErr w:type="spellStart"/>
      <w:r w:rsidRPr="7DAD0EE0">
        <w:rPr>
          <w:rFonts w:ascii="Times New Roman" w:hAnsi="Times New Roman" w:cs="Times New Roman"/>
        </w:rPr>
        <w:t>Tabachnick</w:t>
      </w:r>
      <w:proofErr w:type="spellEnd"/>
      <w:r w:rsidRPr="7DAD0EE0">
        <w:rPr>
          <w:rFonts w:ascii="Times New Roman" w:hAnsi="Times New Roman" w:cs="Times New Roman"/>
        </w:rPr>
        <w:t xml:space="preserve"> &amp; </w:t>
      </w:r>
      <w:proofErr w:type="spellStart"/>
      <w:r w:rsidRPr="7DAD0EE0">
        <w:rPr>
          <w:rFonts w:ascii="Times New Roman" w:hAnsi="Times New Roman" w:cs="Times New Roman"/>
        </w:rPr>
        <w:t>Fidell</w:t>
      </w:r>
      <w:proofErr w:type="spellEnd"/>
      <w:r w:rsidRPr="7DAD0EE0">
        <w:rPr>
          <w:rFonts w:ascii="Times New Roman" w:hAnsi="Times New Roman" w:cs="Times New Roman"/>
        </w:rPr>
        <w:t>, 2007). In addition, cases that may have exhibited influence on regression coefficients were assessed by examining both global and specific measures of influence (i.e., Cook’s D</w:t>
      </w:r>
      <w:r w:rsidRPr="7DAD0EE0">
        <w:rPr>
          <w:rFonts w:ascii="Times New Roman" w:hAnsi="Times New Roman" w:cs="Times New Roman"/>
          <w:vertAlign w:val="subscript"/>
        </w:rPr>
        <w:t xml:space="preserve">i </w:t>
      </w:r>
      <w:r w:rsidRPr="7DAD0EE0">
        <w:rPr>
          <w:rFonts w:ascii="Times New Roman" w:hAnsi="Times New Roman" w:cs="Times New Roman"/>
        </w:rPr>
        <w:t xml:space="preserve">and </w:t>
      </w:r>
      <w:proofErr w:type="spellStart"/>
      <w:r w:rsidRPr="7DAD0EE0">
        <w:rPr>
          <w:rFonts w:ascii="Times New Roman" w:hAnsi="Times New Roman" w:cs="Times New Roman"/>
        </w:rPr>
        <w:t>DFBETA</w:t>
      </w:r>
      <w:r w:rsidRPr="7DAD0EE0">
        <w:rPr>
          <w:rFonts w:ascii="Times New Roman" w:hAnsi="Times New Roman" w:cs="Times New Roman"/>
          <w:vertAlign w:val="subscript"/>
        </w:rPr>
        <w:t>ij</w:t>
      </w:r>
      <w:proofErr w:type="spellEnd"/>
      <w:r w:rsidRPr="7DAD0EE0">
        <w:rPr>
          <w:rFonts w:ascii="Times New Roman" w:hAnsi="Times New Roman" w:cs="Times New Roman"/>
        </w:rPr>
        <w:t xml:space="preserve"> respectively; Cook’s D</w:t>
      </w:r>
      <w:r w:rsidRPr="7DAD0EE0">
        <w:rPr>
          <w:rFonts w:ascii="Times New Roman" w:hAnsi="Times New Roman" w:cs="Times New Roman"/>
          <w:vertAlign w:val="subscript"/>
        </w:rPr>
        <w:t xml:space="preserve">i </w:t>
      </w:r>
      <w:r w:rsidRPr="7DAD0EE0">
        <w:rPr>
          <w:rFonts w:ascii="Times New Roman" w:hAnsi="Times New Roman" w:cs="Times New Roman"/>
        </w:rPr>
        <w:t xml:space="preserve">values &gt;1 and </w:t>
      </w:r>
      <w:proofErr w:type="spellStart"/>
      <w:r w:rsidRPr="7DAD0EE0">
        <w:rPr>
          <w:rFonts w:ascii="Times New Roman" w:hAnsi="Times New Roman" w:cs="Times New Roman"/>
        </w:rPr>
        <w:t>DFBETA</w:t>
      </w:r>
      <w:r w:rsidRPr="7DAD0EE0">
        <w:rPr>
          <w:rFonts w:ascii="Times New Roman" w:hAnsi="Times New Roman" w:cs="Times New Roman"/>
          <w:vertAlign w:val="subscript"/>
        </w:rPr>
        <w:t>ij</w:t>
      </w:r>
      <w:proofErr w:type="spellEnd"/>
      <w:r w:rsidRPr="7DAD0EE0">
        <w:rPr>
          <w:rFonts w:ascii="Times New Roman" w:hAnsi="Times New Roman" w:cs="Times New Roman"/>
        </w:rPr>
        <w:t xml:space="preserve"> values &gt;1 were considered influential). Multicollinearity for variables considered for the regression analysis was examined by inspecting variables with correlations exceeding r =.70 and variance inflation factor (</w:t>
      </w:r>
      <w:proofErr w:type="spellStart"/>
      <w:r w:rsidRPr="7DAD0EE0">
        <w:rPr>
          <w:rFonts w:ascii="Times New Roman" w:hAnsi="Times New Roman" w:cs="Times New Roman"/>
        </w:rPr>
        <w:t>VIFj</w:t>
      </w:r>
      <w:proofErr w:type="spellEnd"/>
      <w:r w:rsidRPr="7DAD0EE0">
        <w:rPr>
          <w:rFonts w:ascii="Times New Roman" w:hAnsi="Times New Roman" w:cs="Times New Roman"/>
        </w:rPr>
        <w:t>) values greater than 10.</w:t>
      </w:r>
    </w:p>
    <w:p w:rsidR="00773B18" w:rsidRDefault="00773B18" w:rsidP="00773B18">
      <w:pPr>
        <w:rPr>
          <w:rFonts w:ascii="Times New Roman" w:hAnsi="Times New Roman" w:cs="Times New Roman"/>
        </w:rPr>
      </w:pPr>
    </w:p>
    <w:p w:rsidR="00773B18" w:rsidRPr="00951907" w:rsidRDefault="00773B18" w:rsidP="00773B18">
      <w:pPr>
        <w:rPr>
          <w:rFonts w:ascii="Times New Roman" w:hAnsi="Times New Roman" w:cs="Times New Roman"/>
        </w:rPr>
      </w:pPr>
      <w:r w:rsidRPr="7DAD0EE0">
        <w:rPr>
          <w:rFonts w:ascii="Times New Roman" w:hAnsi="Times New Roman" w:cs="Times New Roman"/>
        </w:rPr>
        <w:t xml:space="preserve">Bivariate scatterplots of potential predictors against the dependent variable were plotted and assessed for linear relationships. To test the assumptions of Multiple Linear Regression, q-q plots and residual plots were examined. Specifically, scatterplots of standardized residuals plotted against the standardized predicted values were examined for cloud-like shape and a mean close to 0 for fulfilling the assumptions of: 1) linearity; 2) homogeneity of variance; and 3) independence of observations. The assumption of normality of errors was examined by plotting and inspecting normal q-q plots for approximately straight lines. The assumption of homogeneity of variance was further assessed through </w:t>
      </w:r>
      <w:proofErr w:type="spellStart"/>
      <w:r w:rsidRPr="7DAD0EE0">
        <w:rPr>
          <w:rFonts w:ascii="Times New Roman" w:hAnsi="Times New Roman" w:cs="Times New Roman"/>
        </w:rPr>
        <w:t>Levene’s</w:t>
      </w:r>
      <w:proofErr w:type="spellEnd"/>
      <w:r w:rsidRPr="7DAD0EE0">
        <w:rPr>
          <w:rFonts w:ascii="Times New Roman" w:hAnsi="Times New Roman" w:cs="Times New Roman"/>
        </w:rPr>
        <w:t xml:space="preserve"> test. </w:t>
      </w:r>
    </w:p>
    <w:p w:rsidR="00773B18" w:rsidRPr="00951907" w:rsidRDefault="00773B18" w:rsidP="00773B18">
      <w:pPr>
        <w:rPr>
          <w:rFonts w:ascii="Times New Roman" w:hAnsi="Times New Roman" w:cs="Times New Roman"/>
        </w:rPr>
      </w:pPr>
    </w:p>
    <w:p w:rsidR="00773B18" w:rsidRDefault="00773B18" w:rsidP="00773B18">
      <w:pPr>
        <w:rPr>
          <w:rFonts w:ascii="Times New Roman" w:hAnsi="Times New Roman" w:cs="Times New Roman"/>
        </w:rPr>
      </w:pPr>
      <w:r w:rsidRPr="7DAD0EE0">
        <w:rPr>
          <w:rFonts w:ascii="Times New Roman" w:hAnsi="Times New Roman" w:cs="Times New Roman"/>
          <w:u w:val="single"/>
        </w:rPr>
        <w:t>Test of Assumptions for Regression Analyses</w:t>
      </w:r>
      <w:r w:rsidRPr="7DAD0EE0">
        <w:rPr>
          <w:rFonts w:ascii="Times New Roman" w:hAnsi="Times New Roman" w:cs="Times New Roman"/>
        </w:rPr>
        <w:t xml:space="preserve">: </w:t>
      </w:r>
    </w:p>
    <w:p w:rsidR="00773B18" w:rsidRDefault="00773B18" w:rsidP="00773B18">
      <w:pPr>
        <w:rPr>
          <w:rFonts w:ascii="Times New Roman" w:hAnsi="Times New Roman" w:cs="Times New Roman"/>
        </w:rPr>
      </w:pPr>
    </w:p>
    <w:p w:rsidR="00773B18" w:rsidRDefault="00773B18" w:rsidP="00773B18">
      <w:pPr>
        <w:rPr>
          <w:rFonts w:ascii="Times New Roman" w:hAnsi="Times New Roman" w:cs="Times New Roman"/>
        </w:rPr>
      </w:pPr>
      <w:r w:rsidRPr="7DAD0EE0">
        <w:rPr>
          <w:rFonts w:ascii="Times New Roman" w:hAnsi="Times New Roman" w:cs="Times New Roman"/>
        </w:rPr>
        <w:t xml:space="preserve">Evaluation of bivariate scatterplots of predictor variables to be entered into the regression model (cognitive composite, Apples Test neglect, and Eye-tracking neglect scores) against the MPAI-4 measure suggested sufficiently linear relationships. In addition, examination of q-q plots and plots of standardized residuals indicated that the assumptions necessary for an interpretable regression analysis were met. Examination of </w:t>
      </w:r>
      <w:proofErr w:type="spellStart"/>
      <w:r w:rsidRPr="7DAD0EE0">
        <w:rPr>
          <w:rFonts w:ascii="Times New Roman" w:hAnsi="Times New Roman" w:cs="Times New Roman"/>
        </w:rPr>
        <w:t>Mahalanobis</w:t>
      </w:r>
      <w:proofErr w:type="spellEnd"/>
      <w:r w:rsidRPr="7DAD0EE0">
        <w:rPr>
          <w:rFonts w:ascii="Times New Roman" w:hAnsi="Times New Roman" w:cs="Times New Roman"/>
        </w:rPr>
        <w:t xml:space="preserve"> Distances indicated no multivariate outliers, and Variance Inflation Factors indicated no multicollinearity among variables. Evaluation of measures of influence revealed no influential cases. </w:t>
      </w:r>
      <w:proofErr w:type="spellStart"/>
      <w:r w:rsidRPr="7DAD0EE0">
        <w:rPr>
          <w:rFonts w:ascii="Times New Roman" w:hAnsi="Times New Roman" w:cs="Times New Roman"/>
        </w:rPr>
        <w:t>Levene’s</w:t>
      </w:r>
      <w:proofErr w:type="spellEnd"/>
      <w:r w:rsidRPr="7DAD0EE0">
        <w:rPr>
          <w:rFonts w:ascii="Times New Roman" w:hAnsi="Times New Roman" w:cs="Times New Roman"/>
        </w:rPr>
        <w:t xml:space="preserve"> test for homogeneity of variance was non-significant. </w:t>
      </w:r>
    </w:p>
    <w:p w:rsidR="00773B18" w:rsidRDefault="00773B18">
      <w:pPr>
        <w:rPr>
          <w:rFonts w:ascii="Times New Roman" w:hAnsi="Times New Roman" w:cs="Times New Roman"/>
        </w:rPr>
      </w:pPr>
    </w:p>
    <w:p w:rsidR="00611738" w:rsidRDefault="00611738">
      <w:pPr>
        <w:rPr>
          <w:rFonts w:ascii="Times New Roman" w:hAnsi="Times New Roman" w:cs="Times New Roman"/>
          <w:u w:val="single"/>
        </w:rPr>
      </w:pPr>
      <w:r>
        <w:rPr>
          <w:rFonts w:ascii="Times New Roman" w:hAnsi="Times New Roman" w:cs="Times New Roman"/>
          <w:u w:val="single"/>
        </w:rPr>
        <w:br w:type="page"/>
      </w:r>
    </w:p>
    <w:p w:rsidR="00611738" w:rsidRDefault="00611738">
      <w:pPr>
        <w:rPr>
          <w:rFonts w:ascii="Times New Roman" w:hAnsi="Times New Roman" w:cs="Times New Roman"/>
          <w:u w:val="single"/>
        </w:rPr>
      </w:pPr>
      <w:r>
        <w:rPr>
          <w:rFonts w:ascii="Times New Roman" w:hAnsi="Times New Roman" w:cs="Times New Roman"/>
          <w:u w:val="single"/>
        </w:rPr>
        <w:lastRenderedPageBreak/>
        <w:t>Appendix II:</w:t>
      </w:r>
    </w:p>
    <w:p w:rsidR="00611738" w:rsidRDefault="00611738">
      <w:pPr>
        <w:rPr>
          <w:rFonts w:ascii="Times New Roman" w:hAnsi="Times New Roman" w:cs="Times New Roman"/>
          <w:u w:val="single"/>
        </w:rPr>
      </w:pPr>
    </w:p>
    <w:p w:rsidR="00773B18" w:rsidRDefault="00611738">
      <w:pPr>
        <w:rPr>
          <w:rFonts w:ascii="Times New Roman" w:hAnsi="Times New Roman" w:cs="Times New Roman"/>
        </w:rPr>
      </w:pPr>
      <w:r>
        <w:rPr>
          <w:rFonts w:ascii="Times New Roman" w:hAnsi="Times New Roman" w:cs="Times New Roman"/>
          <w:u w:val="single"/>
        </w:rPr>
        <w:t xml:space="preserve">Correlational Analysis prior to </w:t>
      </w:r>
      <w:r w:rsidR="00773B18" w:rsidRPr="00773B18">
        <w:rPr>
          <w:rFonts w:ascii="Times New Roman" w:hAnsi="Times New Roman" w:cs="Times New Roman"/>
          <w:u w:val="single"/>
        </w:rPr>
        <w:t>Regression Analyses:</w:t>
      </w:r>
      <w:r w:rsidR="00773B18">
        <w:rPr>
          <w:rFonts w:ascii="Times New Roman" w:hAnsi="Times New Roman" w:cs="Times New Roman"/>
        </w:rPr>
        <w:t xml:space="preserve"> </w:t>
      </w:r>
      <w:r w:rsidR="00773B18" w:rsidRPr="00A86D4D">
        <w:rPr>
          <w:rFonts w:ascii="Times New Roman" w:hAnsi="Times New Roman" w:cs="Times New Roman"/>
        </w:rPr>
        <w:t xml:space="preserve">To determine whether eye movements predicted functional outcome, over and above that of Apples Test performance, hierarchical multiple linear regression was used. Prior to conducting regression analysis, intercorrelations among independent variables (demographics, cognitive, stroke-related) and functional outcome (MPAI-4 total score) were assessed through Pearson and point biserial correlations. In the interest of preserving power, we chose to include only those variables that demonstrated significant correlations at the a priori criterion of </w:t>
      </w:r>
      <w:r w:rsidR="00773B18" w:rsidRPr="00A86D4D">
        <w:rPr>
          <w:rFonts w:ascii="Times New Roman" w:hAnsi="Times New Roman" w:cs="Times New Roman"/>
          <w:i/>
          <w:iCs/>
        </w:rPr>
        <w:t xml:space="preserve">p </w:t>
      </w:r>
      <w:r w:rsidR="00773B18" w:rsidRPr="00A86D4D">
        <w:rPr>
          <w:rFonts w:ascii="Times New Roman" w:hAnsi="Times New Roman" w:cs="Times New Roman"/>
        </w:rPr>
        <w:t xml:space="preserve">&lt; .01 in our regression model. Only cognitive composite, Apples Test neglect, Eye tracking neglect, and MPAI-4 scores were significantly associated at </w:t>
      </w:r>
      <w:r w:rsidR="00773B18" w:rsidRPr="00A86D4D">
        <w:rPr>
          <w:rFonts w:ascii="Times New Roman" w:hAnsi="Times New Roman" w:cs="Times New Roman"/>
          <w:i/>
          <w:iCs/>
        </w:rPr>
        <w:t>p</w:t>
      </w:r>
      <w:r w:rsidR="00773B18" w:rsidRPr="00A86D4D">
        <w:rPr>
          <w:rFonts w:ascii="Times New Roman" w:hAnsi="Times New Roman" w:cs="Times New Roman"/>
        </w:rPr>
        <w:t xml:space="preserve"> &lt; .01 and therefore retained for analysis. Results of the correlational analy</w:t>
      </w:r>
      <w:r w:rsidR="00773B18">
        <w:rPr>
          <w:rFonts w:ascii="Times New Roman" w:hAnsi="Times New Roman" w:cs="Times New Roman"/>
        </w:rPr>
        <w:t xml:space="preserve">sis are presented in Table </w:t>
      </w:r>
      <w:r w:rsidR="00773B18" w:rsidRPr="00A86D4D">
        <w:rPr>
          <w:rFonts w:ascii="Times New Roman" w:hAnsi="Times New Roman" w:cs="Times New Roman"/>
        </w:rPr>
        <w:t>I.</w:t>
      </w:r>
    </w:p>
    <w:p w:rsidR="00773B18" w:rsidRDefault="00773B18">
      <w:pPr>
        <w:rPr>
          <w:rFonts w:ascii="Times New Roman" w:hAnsi="Times New Roman" w:cs="Times New Roman"/>
        </w:rPr>
      </w:pPr>
    </w:p>
    <w:tbl>
      <w:tblPr>
        <w:tblW w:w="10206" w:type="dxa"/>
        <w:tblInd w:w="-459" w:type="dxa"/>
        <w:tblLayout w:type="fixed"/>
        <w:tblLook w:val="04A0" w:firstRow="1" w:lastRow="0" w:firstColumn="1" w:lastColumn="0" w:noHBand="0" w:noVBand="1"/>
      </w:tblPr>
      <w:tblGrid>
        <w:gridCol w:w="2552"/>
        <w:gridCol w:w="709"/>
        <w:gridCol w:w="850"/>
        <w:gridCol w:w="709"/>
        <w:gridCol w:w="709"/>
        <w:gridCol w:w="850"/>
        <w:gridCol w:w="709"/>
        <w:gridCol w:w="850"/>
        <w:gridCol w:w="851"/>
        <w:gridCol w:w="850"/>
        <w:gridCol w:w="567"/>
      </w:tblGrid>
      <w:tr w:rsidR="00773B18" w:rsidRPr="00A86D4D" w:rsidTr="00DB0BC7">
        <w:tc>
          <w:tcPr>
            <w:tcW w:w="10206" w:type="dxa"/>
            <w:gridSpan w:val="11"/>
            <w:tcBorders>
              <w:top w:val="nil"/>
              <w:left w:val="nil"/>
              <w:bottom w:val="single" w:sz="4" w:space="0" w:color="auto"/>
              <w:right w:val="nil"/>
            </w:tcBorders>
          </w:tcPr>
          <w:p w:rsidR="00773B18" w:rsidRPr="00A86D4D" w:rsidRDefault="00773B18" w:rsidP="00DB0BC7">
            <w:pPr>
              <w:rPr>
                <w:rFonts w:ascii="Times New Roman" w:hAnsi="Times New Roman" w:cs="Times New Roman"/>
              </w:rPr>
            </w:pPr>
            <w:r>
              <w:rPr>
                <w:rFonts w:ascii="Times New Roman" w:hAnsi="Times New Roman" w:cs="Times New Roman"/>
              </w:rPr>
              <w:t xml:space="preserve">Table </w:t>
            </w:r>
            <w:r w:rsidRPr="00A86D4D">
              <w:rPr>
                <w:rFonts w:ascii="Times New Roman" w:hAnsi="Times New Roman" w:cs="Times New Roman"/>
              </w:rPr>
              <w:t>I</w:t>
            </w:r>
          </w:p>
          <w:p w:rsidR="00773B18" w:rsidRPr="00A86D4D" w:rsidRDefault="00773B18" w:rsidP="00DB0BC7">
            <w:pPr>
              <w:rPr>
                <w:rFonts w:ascii="Times New Roman" w:hAnsi="Times New Roman" w:cs="Times New Roman"/>
              </w:rPr>
            </w:pPr>
            <w:bookmarkStart w:id="0" w:name="_GoBack"/>
            <w:bookmarkEnd w:id="0"/>
          </w:p>
          <w:p w:rsidR="00773B18" w:rsidRPr="00A86D4D" w:rsidRDefault="00773B18" w:rsidP="00DB0BC7">
            <w:pPr>
              <w:rPr>
                <w:rFonts w:ascii="Times New Roman" w:hAnsi="Times New Roman" w:cs="Times New Roman"/>
                <w:i/>
                <w:iCs/>
              </w:rPr>
            </w:pPr>
            <w:r w:rsidRPr="00A86D4D">
              <w:rPr>
                <w:rFonts w:ascii="Times New Roman" w:hAnsi="Times New Roman" w:cs="Times New Roman"/>
                <w:i/>
                <w:iCs/>
              </w:rPr>
              <w:t>Intercorrelations among Variables for Regression Analysis</w:t>
            </w:r>
          </w:p>
          <w:p w:rsidR="00773B18" w:rsidRPr="00A86D4D" w:rsidRDefault="00773B18" w:rsidP="00DB0BC7">
            <w:pPr>
              <w:rPr>
                <w:rFonts w:ascii="Times New Roman" w:hAnsi="Times New Roman" w:cs="Times New Roman"/>
                <w:i/>
              </w:rPr>
            </w:pPr>
          </w:p>
        </w:tc>
      </w:tr>
      <w:tr w:rsidR="00773B18" w:rsidRPr="00A86D4D" w:rsidTr="00DB0BC7">
        <w:tc>
          <w:tcPr>
            <w:tcW w:w="2552" w:type="dxa"/>
            <w:tcBorders>
              <w:top w:val="single" w:sz="4" w:space="0" w:color="auto"/>
              <w:left w:val="nil"/>
              <w:bottom w:val="single" w:sz="4" w:space="0" w:color="auto"/>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Variable</w:t>
            </w:r>
          </w:p>
        </w:tc>
        <w:tc>
          <w:tcPr>
            <w:tcW w:w="709"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w:t>
            </w:r>
          </w:p>
        </w:tc>
        <w:tc>
          <w:tcPr>
            <w:tcW w:w="850"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w:t>
            </w:r>
          </w:p>
        </w:tc>
        <w:tc>
          <w:tcPr>
            <w:tcW w:w="709"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3</w:t>
            </w:r>
          </w:p>
        </w:tc>
        <w:tc>
          <w:tcPr>
            <w:tcW w:w="709"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w:t>
            </w:r>
          </w:p>
        </w:tc>
        <w:tc>
          <w:tcPr>
            <w:tcW w:w="850"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5</w:t>
            </w:r>
          </w:p>
        </w:tc>
        <w:tc>
          <w:tcPr>
            <w:tcW w:w="709"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6</w:t>
            </w:r>
          </w:p>
        </w:tc>
        <w:tc>
          <w:tcPr>
            <w:tcW w:w="850"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7</w:t>
            </w:r>
          </w:p>
        </w:tc>
        <w:tc>
          <w:tcPr>
            <w:tcW w:w="851"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8</w:t>
            </w:r>
          </w:p>
        </w:tc>
        <w:tc>
          <w:tcPr>
            <w:tcW w:w="850"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9</w:t>
            </w:r>
          </w:p>
        </w:tc>
        <w:tc>
          <w:tcPr>
            <w:tcW w:w="567" w:type="dxa"/>
            <w:tcBorders>
              <w:top w:val="single" w:sz="4" w:space="0" w:color="auto"/>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10</w:t>
            </w:r>
          </w:p>
        </w:tc>
      </w:tr>
      <w:tr w:rsidR="00773B18" w:rsidRPr="00A86D4D" w:rsidTr="00DB0BC7">
        <w:tc>
          <w:tcPr>
            <w:tcW w:w="2552" w:type="dxa"/>
            <w:tcBorders>
              <w:top w:val="single" w:sz="4" w:space="0" w:color="auto"/>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1. Age</w:t>
            </w:r>
          </w:p>
        </w:tc>
        <w:tc>
          <w:tcPr>
            <w:tcW w:w="709"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850"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single" w:sz="4" w:space="0" w:color="auto"/>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single" w:sz="4" w:space="0" w:color="auto"/>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2. Gender</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.03</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3. Education</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-.05</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-.58*</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4. Stroke Time</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.56*</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-.28</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-.18</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 xml:space="preserve">5. m-OCSP </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.33</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.03</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.04</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-.11</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6. Stroke Type</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-.38</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.26</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.12</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-.43</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.49</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7. Cognitive Composite</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.47</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.09</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.01</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-.06</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.89**</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.61</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8. Apples Test Neglect</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-.10</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-.18</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.21</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-.10</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-.29</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-.42</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-.72*</w:t>
            </w: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9. Eye tracking Neglect</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-.03</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-.38</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.25</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.05</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.00</w:t>
            </w:r>
          </w:p>
        </w:tc>
        <w:tc>
          <w:tcPr>
            <w:tcW w:w="709"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-.21</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-.42</w:t>
            </w:r>
          </w:p>
        </w:tc>
        <w:tc>
          <w:tcPr>
            <w:tcW w:w="851"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.82**</w:t>
            </w:r>
          </w:p>
        </w:tc>
        <w:tc>
          <w:tcPr>
            <w:tcW w:w="850" w:type="dxa"/>
            <w:tcBorders>
              <w:top w:val="nil"/>
              <w:left w:val="nil"/>
              <w:bottom w:val="nil"/>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w:t>
            </w:r>
          </w:p>
        </w:tc>
        <w:tc>
          <w:tcPr>
            <w:tcW w:w="567" w:type="dxa"/>
            <w:tcBorders>
              <w:top w:val="nil"/>
              <w:left w:val="nil"/>
              <w:bottom w:val="nil"/>
              <w:right w:val="nil"/>
            </w:tcBorders>
          </w:tcPr>
          <w:p w:rsidR="00773B18" w:rsidRPr="00A86D4D" w:rsidRDefault="00773B18" w:rsidP="00DB0BC7">
            <w:pPr>
              <w:jc w:val="right"/>
              <w:rPr>
                <w:rFonts w:ascii="Times New Roman" w:hAnsi="Times New Roman" w:cs="Times New Roman"/>
              </w:rPr>
            </w:pPr>
          </w:p>
        </w:tc>
      </w:tr>
      <w:tr w:rsidR="00773B18" w:rsidRPr="00A86D4D" w:rsidTr="00DB0BC7">
        <w:tc>
          <w:tcPr>
            <w:tcW w:w="2552" w:type="dxa"/>
            <w:tcBorders>
              <w:top w:val="nil"/>
              <w:left w:val="nil"/>
              <w:bottom w:val="single" w:sz="4" w:space="0" w:color="auto"/>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 xml:space="preserve">10. MPAI-4 </w:t>
            </w:r>
          </w:p>
        </w:tc>
        <w:tc>
          <w:tcPr>
            <w:tcW w:w="709"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-.30</w:t>
            </w:r>
          </w:p>
        </w:tc>
        <w:tc>
          <w:tcPr>
            <w:tcW w:w="850"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-.09</w:t>
            </w:r>
          </w:p>
        </w:tc>
        <w:tc>
          <w:tcPr>
            <w:tcW w:w="709"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.21</w:t>
            </w:r>
          </w:p>
        </w:tc>
        <w:tc>
          <w:tcPr>
            <w:tcW w:w="709"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-.13</w:t>
            </w:r>
          </w:p>
        </w:tc>
        <w:tc>
          <w:tcPr>
            <w:tcW w:w="850"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-.25</w:t>
            </w:r>
          </w:p>
        </w:tc>
        <w:tc>
          <w:tcPr>
            <w:tcW w:w="709"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-.17</w:t>
            </w:r>
          </w:p>
        </w:tc>
        <w:tc>
          <w:tcPr>
            <w:tcW w:w="850"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-.76**</w:t>
            </w:r>
          </w:p>
        </w:tc>
        <w:tc>
          <w:tcPr>
            <w:tcW w:w="851"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.78**</w:t>
            </w:r>
          </w:p>
        </w:tc>
        <w:tc>
          <w:tcPr>
            <w:tcW w:w="850" w:type="dxa"/>
            <w:tcBorders>
              <w:top w:val="nil"/>
              <w:left w:val="nil"/>
              <w:bottom w:val="single" w:sz="4" w:space="0" w:color="auto"/>
              <w:right w:val="nil"/>
            </w:tcBorders>
          </w:tcPr>
          <w:p w:rsidR="00773B18" w:rsidRPr="00A86D4D" w:rsidRDefault="00773B18" w:rsidP="00DB0BC7">
            <w:pPr>
              <w:jc w:val="center"/>
              <w:rPr>
                <w:rFonts w:ascii="Times New Roman" w:hAnsi="Times New Roman" w:cs="Times New Roman"/>
              </w:rPr>
            </w:pPr>
            <w:r w:rsidRPr="00A86D4D">
              <w:rPr>
                <w:rFonts w:ascii="Times New Roman" w:hAnsi="Times New Roman" w:cs="Times New Roman"/>
              </w:rPr>
              <w:t>.83**</w:t>
            </w:r>
          </w:p>
        </w:tc>
        <w:tc>
          <w:tcPr>
            <w:tcW w:w="567" w:type="dxa"/>
            <w:tcBorders>
              <w:top w:val="nil"/>
              <w:left w:val="nil"/>
              <w:bottom w:val="single" w:sz="4" w:space="0" w:color="auto"/>
              <w:right w:val="nil"/>
            </w:tcBorders>
          </w:tcPr>
          <w:p w:rsidR="00773B18" w:rsidRPr="00A86D4D" w:rsidRDefault="00773B18" w:rsidP="00DB0BC7">
            <w:pPr>
              <w:jc w:val="right"/>
              <w:rPr>
                <w:rFonts w:ascii="Times New Roman" w:hAnsi="Times New Roman" w:cs="Times New Roman"/>
              </w:rPr>
            </w:pPr>
            <w:r w:rsidRPr="00A86D4D">
              <w:rPr>
                <w:rFonts w:ascii="Times New Roman" w:hAnsi="Times New Roman" w:cs="Times New Roman"/>
              </w:rPr>
              <w:t>--</w:t>
            </w:r>
          </w:p>
        </w:tc>
      </w:tr>
      <w:tr w:rsidR="00773B18" w:rsidRPr="00A86D4D" w:rsidTr="00DB0BC7">
        <w:tc>
          <w:tcPr>
            <w:tcW w:w="10206" w:type="dxa"/>
            <w:gridSpan w:val="11"/>
            <w:tcBorders>
              <w:top w:val="single" w:sz="4" w:space="0" w:color="auto"/>
              <w:left w:val="nil"/>
              <w:bottom w:val="nil"/>
              <w:right w:val="nil"/>
            </w:tcBorders>
          </w:tcPr>
          <w:p w:rsidR="00773B18" w:rsidRPr="00A86D4D" w:rsidRDefault="00773B18" w:rsidP="00DB0BC7">
            <w:pPr>
              <w:rPr>
                <w:rFonts w:ascii="Times New Roman" w:hAnsi="Times New Roman" w:cs="Times New Roman"/>
              </w:rPr>
            </w:pPr>
            <w:r w:rsidRPr="00A86D4D">
              <w:rPr>
                <w:rFonts w:ascii="Times New Roman" w:hAnsi="Times New Roman" w:cs="Times New Roman"/>
              </w:rPr>
              <w:t>Note: *</w:t>
            </w:r>
            <w:r w:rsidRPr="00A86D4D">
              <w:rPr>
                <w:rFonts w:ascii="Times New Roman" w:hAnsi="Times New Roman" w:cs="Times New Roman"/>
                <w:i/>
                <w:iCs/>
              </w:rPr>
              <w:t>p</w:t>
            </w:r>
            <w:r w:rsidRPr="00A86D4D">
              <w:rPr>
                <w:rFonts w:ascii="Times New Roman" w:hAnsi="Times New Roman" w:cs="Times New Roman"/>
              </w:rPr>
              <w:t>&lt;.05, **</w:t>
            </w:r>
            <w:r w:rsidRPr="00A86D4D">
              <w:rPr>
                <w:rFonts w:ascii="Times New Roman" w:hAnsi="Times New Roman" w:cs="Times New Roman"/>
                <w:i/>
                <w:iCs/>
              </w:rPr>
              <w:t>p</w:t>
            </w:r>
            <w:r w:rsidRPr="00A86D4D">
              <w:rPr>
                <w:rFonts w:ascii="Times New Roman" w:hAnsi="Times New Roman" w:cs="Times New Roman"/>
              </w:rPr>
              <w:t>&lt;.01. Education (years); Stroke Time = time from stroke to testing (days); m-OCSP Classification = modified - Oxfordshire Community Stroke Project Classification (i.e., anterior, posterior, lacunar); Stroke Type (i.e., ischemic vs. hemorrhagic); Apples Test Neglect (i.e., egocentric, allocentric, both, none); Eye tracking Neglect (i.e., egocentric, allocentric, both, none); MPAI-4 = Mayo-Portland Adaptability Inventory – 4 Total Score.</w:t>
            </w:r>
          </w:p>
        </w:tc>
      </w:tr>
    </w:tbl>
    <w:p w:rsidR="00773B18" w:rsidRPr="00773B18" w:rsidRDefault="00773B18">
      <w:pPr>
        <w:rPr>
          <w:rFonts w:ascii="Times New Roman" w:hAnsi="Times New Roman" w:cs="Times New Roman"/>
        </w:rPr>
      </w:pPr>
    </w:p>
    <w:sectPr w:rsidR="00773B18" w:rsidRPr="00773B18" w:rsidSect="00FF1A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8"/>
    <w:rsid w:val="00074FEC"/>
    <w:rsid w:val="00203830"/>
    <w:rsid w:val="00611738"/>
    <w:rsid w:val="00773B18"/>
    <w:rsid w:val="00FF1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8D712A"/>
  <w15:chartTrackingRefBased/>
  <w15:docId w15:val="{C4BCDD1A-3DE4-1E45-876E-697B53E8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2018-07-31T18:40:00Z</dcterms:created>
  <dcterms:modified xsi:type="dcterms:W3CDTF">2018-08-01T18:20:00Z</dcterms:modified>
</cp:coreProperties>
</file>