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4092" w14:textId="77777777" w:rsidR="000964A2" w:rsidRPr="00D00906" w:rsidRDefault="000964A2" w:rsidP="000964A2">
      <w:pPr>
        <w:rPr>
          <w:b/>
          <w:color w:val="000000" w:themeColor="text1"/>
        </w:rPr>
      </w:pPr>
      <w:r w:rsidRPr="00D00906">
        <w:rPr>
          <w:b/>
          <w:color w:val="000000" w:themeColor="text1"/>
        </w:rPr>
        <w:t xml:space="preserve">Supplemental Table 1.  </w:t>
      </w:r>
      <w:r w:rsidRPr="00D00906">
        <w:rPr>
          <w:color w:val="000000" w:themeColor="text1"/>
        </w:rPr>
        <w:t xml:space="preserve">Adjusted group scores on cognitive tests controlling for surgical treatment for OSA and family income  </w:t>
      </w:r>
    </w:p>
    <w:p w14:paraId="7544EE70" w14:textId="77777777" w:rsidR="000964A2" w:rsidRPr="00D00906" w:rsidRDefault="000964A2" w:rsidP="000964A2">
      <w:pPr>
        <w:rPr>
          <w:color w:val="000000" w:themeColor="text1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30"/>
        <w:gridCol w:w="1970"/>
        <w:gridCol w:w="1835"/>
        <w:gridCol w:w="1835"/>
        <w:gridCol w:w="1590"/>
      </w:tblGrid>
      <w:tr w:rsidR="000964A2" w:rsidRPr="00D00906" w14:paraId="36ECE002" w14:textId="77777777" w:rsidTr="00E05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 w:val="restart"/>
          </w:tcPr>
          <w:p w14:paraId="707C30E0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>Cognitive Test</w:t>
            </w:r>
          </w:p>
        </w:tc>
        <w:tc>
          <w:tcPr>
            <w:tcW w:w="5640" w:type="dxa"/>
            <w:gridSpan w:val="3"/>
          </w:tcPr>
          <w:p w14:paraId="676BFAAF" w14:textId="77777777" w:rsidR="000964A2" w:rsidRPr="00D00906" w:rsidRDefault="000964A2" w:rsidP="00E0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00906">
              <w:rPr>
                <w:b w:val="0"/>
                <w:color w:val="000000" w:themeColor="text1"/>
              </w:rPr>
              <w:t>Group</w:t>
            </w:r>
          </w:p>
        </w:tc>
        <w:tc>
          <w:tcPr>
            <w:tcW w:w="1590" w:type="dxa"/>
          </w:tcPr>
          <w:p w14:paraId="347CE869" w14:textId="77777777" w:rsidR="000964A2" w:rsidRPr="00D00906" w:rsidRDefault="000964A2" w:rsidP="00E05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4A2" w:rsidRPr="00D00906" w14:paraId="01792FEB" w14:textId="77777777" w:rsidTr="00E05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385A7ABA" w14:textId="77777777" w:rsidR="000964A2" w:rsidRPr="00D00906" w:rsidRDefault="000964A2" w:rsidP="00E05C11">
            <w:pPr>
              <w:rPr>
                <w:color w:val="000000" w:themeColor="text1"/>
              </w:rPr>
            </w:pPr>
          </w:p>
        </w:tc>
        <w:tc>
          <w:tcPr>
            <w:tcW w:w="1970" w:type="dxa"/>
          </w:tcPr>
          <w:p w14:paraId="02230EC9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SCD+OSA</w:t>
            </w:r>
          </w:p>
          <w:p w14:paraId="15FAE700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(n = 26)</w:t>
            </w:r>
          </w:p>
        </w:tc>
        <w:tc>
          <w:tcPr>
            <w:tcW w:w="1835" w:type="dxa"/>
          </w:tcPr>
          <w:p w14:paraId="557CA465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SCD Only</w:t>
            </w:r>
          </w:p>
          <w:p w14:paraId="29BBACC8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(n = 39)</w:t>
            </w:r>
          </w:p>
        </w:tc>
        <w:tc>
          <w:tcPr>
            <w:tcW w:w="1835" w:type="dxa"/>
          </w:tcPr>
          <w:p w14:paraId="1FE03253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No CHC</w:t>
            </w:r>
          </w:p>
          <w:p w14:paraId="76F7606F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(n = 59)</w:t>
            </w:r>
          </w:p>
        </w:tc>
        <w:tc>
          <w:tcPr>
            <w:tcW w:w="1590" w:type="dxa"/>
          </w:tcPr>
          <w:p w14:paraId="0B3B6AB4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i/>
                <w:color w:val="000000" w:themeColor="text1"/>
              </w:rPr>
              <w:t>p</w:t>
            </w:r>
            <w:r w:rsidRPr="00D00906">
              <w:rPr>
                <w:color w:val="000000" w:themeColor="text1"/>
              </w:rPr>
              <w:t>-value</w:t>
            </w:r>
          </w:p>
        </w:tc>
      </w:tr>
      <w:tr w:rsidR="000964A2" w:rsidRPr="00D00906" w14:paraId="46546044" w14:textId="77777777" w:rsidTr="00E05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1300A83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>WJ-III Decision Speed</w:t>
            </w:r>
          </w:p>
        </w:tc>
        <w:tc>
          <w:tcPr>
            <w:tcW w:w="1970" w:type="dxa"/>
          </w:tcPr>
          <w:p w14:paraId="4B1009A6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vertAlign w:val="superscript"/>
              </w:rPr>
            </w:pPr>
            <w:r w:rsidRPr="00D00906">
              <w:rPr>
                <w:color w:val="000000" w:themeColor="text1"/>
              </w:rPr>
              <w:t>80.41 (</w:t>
            </w:r>
            <w:proofErr w:type="gramStart"/>
            <w:r w:rsidRPr="00D00906">
              <w:rPr>
                <w:color w:val="000000" w:themeColor="text1"/>
              </w:rPr>
              <w:t>4.94)</w:t>
            </w:r>
            <w:r w:rsidRPr="00D00906">
              <w:rPr>
                <w:color w:val="000000" w:themeColor="text1"/>
                <w:vertAlign w:val="superscript"/>
              </w:rPr>
              <w:t>a</w:t>
            </w:r>
            <w:proofErr w:type="gramEnd"/>
          </w:p>
        </w:tc>
        <w:tc>
          <w:tcPr>
            <w:tcW w:w="1835" w:type="dxa"/>
          </w:tcPr>
          <w:p w14:paraId="414F0447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  <w:shd w:val="clear" w:color="auto" w:fill="FFFFFF"/>
              </w:rPr>
              <w:t>93.93 (</w:t>
            </w:r>
            <w:proofErr w:type="gramStart"/>
            <w:r w:rsidRPr="00D00906">
              <w:rPr>
                <w:color w:val="000000" w:themeColor="text1"/>
                <w:shd w:val="clear" w:color="auto" w:fill="FFFFFF"/>
              </w:rPr>
              <w:t>2.67)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>b</w:t>
            </w:r>
            <w:proofErr w:type="gramEnd"/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5" w:type="dxa"/>
          </w:tcPr>
          <w:p w14:paraId="0F63E738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105.02 (</w:t>
            </w:r>
            <w:proofErr w:type="gramStart"/>
            <w:r w:rsidRPr="00D00906">
              <w:rPr>
                <w:color w:val="000000" w:themeColor="text1"/>
              </w:rPr>
              <w:t>2.27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>c</w:t>
            </w:r>
            <w:proofErr w:type="gramEnd"/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590" w:type="dxa"/>
          </w:tcPr>
          <w:p w14:paraId="06AA1781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D00906">
              <w:rPr>
                <w:i/>
                <w:color w:val="000000" w:themeColor="text1"/>
              </w:rPr>
              <w:t>p</w:t>
            </w:r>
            <w:r w:rsidRPr="00D00906">
              <w:rPr>
                <w:color w:val="000000" w:themeColor="text1"/>
              </w:rPr>
              <w:t xml:space="preserve"> &lt; .001</w:t>
            </w:r>
          </w:p>
        </w:tc>
      </w:tr>
      <w:tr w:rsidR="000964A2" w:rsidRPr="00D00906" w14:paraId="581A1DB4" w14:textId="77777777" w:rsidTr="00E05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DFDF795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 xml:space="preserve">TOLD Oral Vocabulary </w:t>
            </w:r>
          </w:p>
        </w:tc>
        <w:tc>
          <w:tcPr>
            <w:tcW w:w="1970" w:type="dxa"/>
          </w:tcPr>
          <w:p w14:paraId="030FD1AB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7.24 (.77)</w:t>
            </w:r>
            <w:r w:rsidRPr="00D00906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10EB4BFD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9.66 (.42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vertAlign w:val="superscript"/>
              </w:rPr>
              <w:t xml:space="preserve"> b</w:t>
            </w:r>
          </w:p>
        </w:tc>
        <w:tc>
          <w:tcPr>
            <w:tcW w:w="1835" w:type="dxa"/>
          </w:tcPr>
          <w:p w14:paraId="2DCEEB9A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10.10 (.35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vertAlign w:val="superscript"/>
              </w:rPr>
              <w:t xml:space="preserve"> b</w:t>
            </w:r>
          </w:p>
        </w:tc>
        <w:tc>
          <w:tcPr>
            <w:tcW w:w="1590" w:type="dxa"/>
          </w:tcPr>
          <w:p w14:paraId="76313062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D00906">
              <w:rPr>
                <w:i/>
                <w:color w:val="000000" w:themeColor="text1"/>
              </w:rPr>
              <w:t>p</w:t>
            </w:r>
            <w:r w:rsidRPr="00D00906">
              <w:rPr>
                <w:color w:val="000000" w:themeColor="text1"/>
              </w:rPr>
              <w:t xml:space="preserve"> = 013 </w:t>
            </w:r>
          </w:p>
        </w:tc>
      </w:tr>
      <w:tr w:rsidR="000964A2" w:rsidRPr="00D00906" w14:paraId="753DCC3D" w14:textId="77777777" w:rsidTr="00E05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CF27733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 xml:space="preserve">TOLD Grammatical Understanding </w:t>
            </w:r>
          </w:p>
        </w:tc>
        <w:tc>
          <w:tcPr>
            <w:tcW w:w="1970" w:type="dxa"/>
          </w:tcPr>
          <w:p w14:paraId="7CD3E68B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  <w:shd w:val="clear" w:color="auto" w:fill="FFFFFF"/>
              </w:rPr>
              <w:t>7.65 (.90)</w:t>
            </w:r>
            <w:r w:rsidRPr="00D00906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68406EFC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8.86 (.49)</w:t>
            </w:r>
            <w:r w:rsidRPr="00D00906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0AEEA991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9.72 (.41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1590" w:type="dxa"/>
          </w:tcPr>
          <w:p w14:paraId="00EBE85C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i/>
                <w:color w:val="000000" w:themeColor="text1"/>
              </w:rPr>
              <w:t>p</w:t>
            </w:r>
            <w:r w:rsidRPr="00D00906">
              <w:rPr>
                <w:color w:val="000000" w:themeColor="text1"/>
              </w:rPr>
              <w:t xml:space="preserve"> = .098</w:t>
            </w:r>
          </w:p>
        </w:tc>
      </w:tr>
      <w:tr w:rsidR="000964A2" w:rsidRPr="00D00906" w14:paraId="7D0740AA" w14:textId="77777777" w:rsidTr="00E05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ED1308D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 xml:space="preserve">TOLD Word Discrimination </w:t>
            </w:r>
          </w:p>
        </w:tc>
        <w:tc>
          <w:tcPr>
            <w:tcW w:w="1970" w:type="dxa"/>
          </w:tcPr>
          <w:p w14:paraId="1A408849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7.61 (</w:t>
            </w:r>
            <w:proofErr w:type="gramStart"/>
            <w:r w:rsidRPr="00D00906">
              <w:rPr>
                <w:color w:val="000000" w:themeColor="text1"/>
              </w:rPr>
              <w:t>1.06)</w:t>
            </w:r>
            <w:r w:rsidRPr="00D00906">
              <w:rPr>
                <w:color w:val="000000" w:themeColor="text1"/>
                <w:vertAlign w:val="superscript"/>
              </w:rPr>
              <w:t>a</w:t>
            </w:r>
            <w:proofErr w:type="gramEnd"/>
          </w:p>
        </w:tc>
        <w:tc>
          <w:tcPr>
            <w:tcW w:w="1835" w:type="dxa"/>
          </w:tcPr>
          <w:p w14:paraId="38B9240C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8.34 (.57)</w:t>
            </w:r>
            <w:r w:rsidRPr="00D00906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31A8BDCC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9.10 (.48)</w:t>
            </w:r>
            <w:r w:rsidRPr="00D00906">
              <w:rPr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1590" w:type="dxa"/>
          </w:tcPr>
          <w:p w14:paraId="318601FE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i/>
                <w:color w:val="000000" w:themeColor="text1"/>
              </w:rPr>
              <w:t>p</w:t>
            </w:r>
            <w:r w:rsidRPr="00D00906">
              <w:rPr>
                <w:color w:val="000000" w:themeColor="text1"/>
              </w:rPr>
              <w:t xml:space="preserve"> = .351</w:t>
            </w:r>
          </w:p>
        </w:tc>
      </w:tr>
      <w:tr w:rsidR="000964A2" w:rsidRPr="00D00906" w14:paraId="5CF5D093" w14:textId="77777777" w:rsidTr="00E05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A48C055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>DTVMI</w:t>
            </w:r>
          </w:p>
        </w:tc>
        <w:tc>
          <w:tcPr>
            <w:tcW w:w="1970" w:type="dxa"/>
          </w:tcPr>
          <w:p w14:paraId="7407390B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81.74 (3.93)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542455BA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88.64 (2.15)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10F9AECB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97.35 (1.80)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 xml:space="preserve"> b</w:t>
            </w:r>
          </w:p>
        </w:tc>
        <w:tc>
          <w:tcPr>
            <w:tcW w:w="1590" w:type="dxa"/>
          </w:tcPr>
          <w:p w14:paraId="55B35CA4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D00906">
              <w:rPr>
                <w:i/>
                <w:color w:val="000000" w:themeColor="text1"/>
              </w:rPr>
              <w:t xml:space="preserve">p </w:t>
            </w:r>
            <w:r w:rsidRPr="00D00906">
              <w:rPr>
                <w:color w:val="000000" w:themeColor="text1"/>
              </w:rPr>
              <w:t>&lt; .001</w:t>
            </w:r>
          </w:p>
        </w:tc>
      </w:tr>
      <w:tr w:rsidR="000964A2" w:rsidRPr="00D00906" w14:paraId="7D858156" w14:textId="77777777" w:rsidTr="00E05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D4F7ECD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 xml:space="preserve">WJ-III Letter-Word Identification </w:t>
            </w:r>
          </w:p>
        </w:tc>
        <w:tc>
          <w:tcPr>
            <w:tcW w:w="1970" w:type="dxa"/>
          </w:tcPr>
          <w:p w14:paraId="4DC071C9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96.31 (3.95)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 xml:space="preserve"> a</w:t>
            </w:r>
          </w:p>
        </w:tc>
        <w:tc>
          <w:tcPr>
            <w:tcW w:w="1835" w:type="dxa"/>
          </w:tcPr>
          <w:p w14:paraId="6ADA1AC3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97.95 (2.13)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 xml:space="preserve"> a</w:t>
            </w:r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5" w:type="dxa"/>
          </w:tcPr>
          <w:p w14:paraId="4C419683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109.96 (1.80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 xml:space="preserve"> b</w:t>
            </w:r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590" w:type="dxa"/>
          </w:tcPr>
          <w:p w14:paraId="0B37FA2F" w14:textId="77777777" w:rsidR="000964A2" w:rsidRPr="00D00906" w:rsidRDefault="000964A2" w:rsidP="00E05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 w:rsidRPr="00D00906">
              <w:rPr>
                <w:i/>
                <w:color w:val="000000" w:themeColor="text1"/>
              </w:rPr>
              <w:t xml:space="preserve">p </w:t>
            </w:r>
            <w:r w:rsidRPr="00D00906">
              <w:rPr>
                <w:color w:val="000000" w:themeColor="text1"/>
              </w:rPr>
              <w:t>&lt; .001</w:t>
            </w:r>
          </w:p>
        </w:tc>
      </w:tr>
      <w:tr w:rsidR="000964A2" w:rsidRPr="00D00906" w14:paraId="55BE2E07" w14:textId="77777777" w:rsidTr="00E05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5BFBD27" w14:textId="77777777" w:rsidR="000964A2" w:rsidRPr="00D00906" w:rsidRDefault="000964A2" w:rsidP="00E05C11">
            <w:pPr>
              <w:rPr>
                <w:b w:val="0"/>
                <w:color w:val="000000" w:themeColor="text1"/>
              </w:rPr>
            </w:pPr>
            <w:r w:rsidRPr="00D00906">
              <w:rPr>
                <w:color w:val="000000" w:themeColor="text1"/>
              </w:rPr>
              <w:t xml:space="preserve">WJ-III Applied Problems </w:t>
            </w:r>
          </w:p>
        </w:tc>
        <w:tc>
          <w:tcPr>
            <w:tcW w:w="1970" w:type="dxa"/>
          </w:tcPr>
          <w:p w14:paraId="27C82CDA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  <w:shd w:val="clear" w:color="auto" w:fill="FFFFFF"/>
              </w:rPr>
              <w:t>89.11 (</w:t>
            </w:r>
            <w:proofErr w:type="gramStart"/>
            <w:r w:rsidRPr="00D00906">
              <w:rPr>
                <w:color w:val="000000" w:themeColor="text1"/>
                <w:shd w:val="clear" w:color="auto" w:fill="FFFFFF"/>
              </w:rPr>
              <w:t>4.25)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>a</w:t>
            </w:r>
            <w:proofErr w:type="gramEnd"/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5" w:type="dxa"/>
          </w:tcPr>
          <w:p w14:paraId="456D7D10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97.18 (</w:t>
            </w:r>
            <w:proofErr w:type="gramStart"/>
            <w:r w:rsidRPr="00D00906">
              <w:rPr>
                <w:color w:val="000000" w:themeColor="text1"/>
              </w:rPr>
              <w:t>2.29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>a</w:t>
            </w:r>
            <w:proofErr w:type="gramEnd"/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5" w:type="dxa"/>
          </w:tcPr>
          <w:p w14:paraId="1463AECC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color w:val="000000" w:themeColor="text1"/>
              </w:rPr>
              <w:t>104.28 (</w:t>
            </w:r>
            <w:proofErr w:type="gramStart"/>
            <w:r w:rsidRPr="00D00906">
              <w:rPr>
                <w:color w:val="000000" w:themeColor="text1"/>
              </w:rPr>
              <w:t>1.94</w:t>
            </w:r>
            <w:r w:rsidRPr="00D00906">
              <w:rPr>
                <w:color w:val="000000" w:themeColor="text1"/>
                <w:shd w:val="clear" w:color="auto" w:fill="FFFFFF"/>
              </w:rPr>
              <w:t>)</w:t>
            </w:r>
            <w:r w:rsidRPr="00D00906">
              <w:rPr>
                <w:color w:val="000000" w:themeColor="text1"/>
                <w:shd w:val="clear" w:color="auto" w:fill="FFFFFF"/>
                <w:vertAlign w:val="superscript"/>
              </w:rPr>
              <w:t>b</w:t>
            </w:r>
            <w:proofErr w:type="gramEnd"/>
            <w:r w:rsidRPr="00D00906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590" w:type="dxa"/>
          </w:tcPr>
          <w:p w14:paraId="4F3595BC" w14:textId="77777777" w:rsidR="000964A2" w:rsidRPr="00D00906" w:rsidRDefault="000964A2" w:rsidP="00E05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00906">
              <w:rPr>
                <w:i/>
                <w:color w:val="000000" w:themeColor="text1"/>
              </w:rPr>
              <w:t>p</w:t>
            </w:r>
            <w:r w:rsidRPr="00D00906">
              <w:rPr>
                <w:color w:val="000000" w:themeColor="text1"/>
              </w:rPr>
              <w:t xml:space="preserve"> = .003</w:t>
            </w:r>
          </w:p>
        </w:tc>
      </w:tr>
    </w:tbl>
    <w:p w14:paraId="7BF8AF7C" w14:textId="77777777" w:rsidR="000964A2" w:rsidRPr="00D00906" w:rsidRDefault="000964A2" w:rsidP="000964A2">
      <w:pPr>
        <w:rPr>
          <w:color w:val="000000" w:themeColor="text1"/>
        </w:rPr>
      </w:pPr>
    </w:p>
    <w:p w14:paraId="0E712C4C" w14:textId="77777777" w:rsidR="000964A2" w:rsidRPr="00D00906" w:rsidRDefault="000964A2" w:rsidP="000964A2">
      <w:pPr>
        <w:rPr>
          <w:color w:val="000000" w:themeColor="text1"/>
        </w:rPr>
      </w:pPr>
      <w:r w:rsidRPr="00D00906">
        <w:rPr>
          <w:color w:val="000000" w:themeColor="text1"/>
        </w:rPr>
        <w:t xml:space="preserve">Note. </w:t>
      </w:r>
    </w:p>
    <w:p w14:paraId="26BD2A04" w14:textId="77777777" w:rsidR="000964A2" w:rsidRPr="00D00906" w:rsidRDefault="000964A2" w:rsidP="000964A2">
      <w:pPr>
        <w:rPr>
          <w:color w:val="000000" w:themeColor="text1"/>
        </w:rPr>
      </w:pPr>
    </w:p>
    <w:p w14:paraId="1EBAF8AB" w14:textId="6EC44B93" w:rsidR="000A1BB4" w:rsidRPr="000A1BB4" w:rsidRDefault="000964A2" w:rsidP="00A779B5">
      <w:pPr>
        <w:rPr>
          <w:color w:val="FF0000"/>
        </w:rPr>
      </w:pPr>
      <w:r w:rsidRPr="00D00906">
        <w:rPr>
          <w:color w:val="000000" w:themeColor="text1"/>
        </w:rPr>
        <w:t>Values are presented as mean score (SD). Standardized WJ-III and DVTMI scores are based on a scale with a mean of 100 and standard deviation of 15.  Standard scores for the TOLD are based on a scale with a mean of 10 and standard deviation of 3.   DTVMI = Developmental Test of Visual-Motor Integration; TOLD = Test of Language Development Primary; WJ = Woodcock Johnson</w:t>
      </w:r>
      <w:r w:rsidR="00A779B5">
        <w:rPr>
          <w:color w:val="000000" w:themeColor="text1"/>
        </w:rPr>
        <w:t xml:space="preserve">; </w:t>
      </w:r>
      <w:r w:rsidR="00A779B5" w:rsidRPr="002744EB">
        <w:rPr>
          <w:color w:val="FF0000"/>
        </w:rPr>
        <w:t xml:space="preserve">Cells in each row with different superscripts </w:t>
      </w:r>
      <w:r w:rsidR="00A779B5" w:rsidRPr="000A1BB4">
        <w:rPr>
          <w:color w:val="FF0000"/>
        </w:rPr>
        <w:t>represent statistically significant differences in group means (p &lt; .05)</w:t>
      </w:r>
      <w:r w:rsidR="00A779B5">
        <w:rPr>
          <w:color w:val="FF0000"/>
        </w:rPr>
        <w:t>.</w:t>
      </w:r>
      <w:bookmarkStart w:id="0" w:name="_GoBack"/>
      <w:bookmarkEnd w:id="0"/>
    </w:p>
    <w:sectPr w:rsidR="000A1BB4" w:rsidRPr="000A1BB4" w:rsidSect="007C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A2"/>
    <w:rsid w:val="00012875"/>
    <w:rsid w:val="000964A2"/>
    <w:rsid w:val="000A1BB4"/>
    <w:rsid w:val="00233C63"/>
    <w:rsid w:val="002B5F1E"/>
    <w:rsid w:val="003236DB"/>
    <w:rsid w:val="005071D0"/>
    <w:rsid w:val="005A184F"/>
    <w:rsid w:val="00636EE9"/>
    <w:rsid w:val="00707AD5"/>
    <w:rsid w:val="007C084D"/>
    <w:rsid w:val="007C1FA8"/>
    <w:rsid w:val="0085302F"/>
    <w:rsid w:val="00854118"/>
    <w:rsid w:val="0086730E"/>
    <w:rsid w:val="0090680A"/>
    <w:rsid w:val="009A437D"/>
    <w:rsid w:val="009A5D74"/>
    <w:rsid w:val="00A02E8A"/>
    <w:rsid w:val="00A779B5"/>
    <w:rsid w:val="00B64D4F"/>
    <w:rsid w:val="00B77ECA"/>
    <w:rsid w:val="00B77FD8"/>
    <w:rsid w:val="00B91F98"/>
    <w:rsid w:val="00BA731D"/>
    <w:rsid w:val="00BF5DEC"/>
    <w:rsid w:val="00C962FB"/>
    <w:rsid w:val="00E43AC3"/>
    <w:rsid w:val="00EE5E0E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AE0D"/>
  <w14:defaultImageDpi w14:val="32767"/>
  <w15:chartTrackingRefBased/>
  <w15:docId w15:val="{B4AB3893-E107-A94F-998C-230863F6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64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096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BILLS, SARAH E</dc:creator>
  <cp:keywords/>
  <dc:description/>
  <cp:lastModifiedBy>BILLS, SARAH E</cp:lastModifiedBy>
  <cp:revision>3</cp:revision>
  <dcterms:created xsi:type="dcterms:W3CDTF">2019-05-28T14:27:00Z</dcterms:created>
  <dcterms:modified xsi:type="dcterms:W3CDTF">2019-05-28T15:48:00Z</dcterms:modified>
</cp:coreProperties>
</file>