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6A38" w:rsidRDefault="006B2C37" w:rsidP="00C66A38">
      <w:r>
        <w:rPr>
          <w:rFonts w:ascii="Times New Roman" w:hAnsi="Times New Roman" w:cs="Times New Roman"/>
        </w:rPr>
        <w:t>Supplemental Table A</w:t>
      </w:r>
      <w:r w:rsidRPr="00993943">
        <w:rPr>
          <w:rFonts w:ascii="Times New Roman" w:hAnsi="Times New Roman" w:cs="Times New Roman"/>
        </w:rPr>
        <w:t>: Neuropsychological tests and their specific components used for DELTA score calculation</w:t>
      </w:r>
    </w:p>
    <w:tbl>
      <w:tblPr>
        <w:tblStyle w:val="TableGrid"/>
        <w:tblW w:w="0" w:type="auto"/>
        <w:tblBorders>
          <w:left w:val="none" w:sz="0" w:space="0" w:color="auto"/>
          <w:right w:val="none" w:sz="0" w:space="0" w:color="auto"/>
        </w:tblBorders>
        <w:tblLook w:val="04A0"/>
      </w:tblPr>
      <w:tblGrid>
        <w:gridCol w:w="2394"/>
        <w:gridCol w:w="2394"/>
        <w:gridCol w:w="3240"/>
        <w:gridCol w:w="1548"/>
      </w:tblGrid>
      <w:tr w:rsidR="00C66A38" w:rsidRPr="00993943" w:rsidTr="00816146">
        <w:tc>
          <w:tcPr>
            <w:tcW w:w="2394" w:type="dxa"/>
            <w:tcBorders>
              <w:bottom w:val="single" w:sz="4" w:space="0" w:color="auto"/>
            </w:tcBorders>
          </w:tcPr>
          <w:p w:rsidR="00C66A38" w:rsidRPr="00993943" w:rsidRDefault="00C66A38" w:rsidP="00816146">
            <w:pPr>
              <w:jc w:val="center"/>
              <w:rPr>
                <w:rFonts w:ascii="Times New Roman" w:hAnsi="Times New Roman" w:cs="Times New Roman"/>
                <w:b/>
              </w:rPr>
            </w:pPr>
            <w:r w:rsidRPr="00993943">
              <w:rPr>
                <w:rFonts w:ascii="Times New Roman" w:hAnsi="Times New Roman" w:cs="Times New Roman"/>
                <w:b/>
              </w:rPr>
              <w:t>Cognitive Domain</w:t>
            </w:r>
          </w:p>
        </w:tc>
        <w:tc>
          <w:tcPr>
            <w:tcW w:w="2394" w:type="dxa"/>
            <w:tcBorders>
              <w:bottom w:val="single" w:sz="4" w:space="0" w:color="auto"/>
            </w:tcBorders>
          </w:tcPr>
          <w:p w:rsidR="00C66A38" w:rsidRPr="00993943" w:rsidRDefault="00C66A38" w:rsidP="00816146">
            <w:pPr>
              <w:jc w:val="center"/>
              <w:rPr>
                <w:rFonts w:ascii="Times New Roman" w:hAnsi="Times New Roman" w:cs="Times New Roman"/>
                <w:b/>
              </w:rPr>
            </w:pPr>
            <w:r w:rsidRPr="00993943">
              <w:rPr>
                <w:rFonts w:ascii="Times New Roman" w:hAnsi="Times New Roman" w:cs="Times New Roman"/>
                <w:b/>
              </w:rPr>
              <w:t>Test Name</w:t>
            </w:r>
          </w:p>
        </w:tc>
        <w:tc>
          <w:tcPr>
            <w:tcW w:w="3240" w:type="dxa"/>
            <w:tcBorders>
              <w:bottom w:val="single" w:sz="4" w:space="0" w:color="auto"/>
            </w:tcBorders>
          </w:tcPr>
          <w:p w:rsidR="00C66A38" w:rsidRPr="00993943" w:rsidRDefault="00C66A38" w:rsidP="00816146">
            <w:pPr>
              <w:jc w:val="center"/>
              <w:rPr>
                <w:rFonts w:ascii="Times New Roman" w:hAnsi="Times New Roman" w:cs="Times New Roman"/>
                <w:b/>
              </w:rPr>
            </w:pPr>
            <w:r w:rsidRPr="00993943">
              <w:rPr>
                <w:rFonts w:ascii="Times New Roman" w:hAnsi="Times New Roman" w:cs="Times New Roman"/>
                <w:b/>
              </w:rPr>
              <w:t>Test Component(s)</w:t>
            </w:r>
          </w:p>
        </w:tc>
        <w:tc>
          <w:tcPr>
            <w:tcW w:w="1548" w:type="dxa"/>
            <w:tcBorders>
              <w:bottom w:val="single" w:sz="4" w:space="0" w:color="auto"/>
            </w:tcBorders>
          </w:tcPr>
          <w:p w:rsidR="00C66A38" w:rsidRPr="00993943" w:rsidRDefault="00C66A38" w:rsidP="00816146">
            <w:pPr>
              <w:jc w:val="center"/>
              <w:rPr>
                <w:rFonts w:ascii="Times New Roman" w:hAnsi="Times New Roman" w:cs="Times New Roman"/>
                <w:b/>
              </w:rPr>
            </w:pPr>
            <w:r w:rsidRPr="00993943">
              <w:rPr>
                <w:rFonts w:ascii="Times New Roman" w:hAnsi="Times New Roman" w:cs="Times New Roman"/>
                <w:b/>
              </w:rPr>
              <w:t>Score Range</w:t>
            </w:r>
          </w:p>
        </w:tc>
      </w:tr>
      <w:tr w:rsidR="00C66A38" w:rsidRPr="00993943" w:rsidTr="00816146">
        <w:trPr>
          <w:trHeight w:val="422"/>
        </w:trPr>
        <w:tc>
          <w:tcPr>
            <w:tcW w:w="2394" w:type="dxa"/>
            <w:vMerge w:val="restart"/>
            <w:tcBorders>
              <w:bottom w:val="single" w:sz="4" w:space="0" w:color="auto"/>
              <w:right w:val="nil"/>
            </w:tcBorders>
            <w:vAlign w:val="center"/>
          </w:tcPr>
          <w:p w:rsidR="00C66A38" w:rsidRPr="00993943" w:rsidRDefault="00C66A38" w:rsidP="00816146">
            <w:pPr>
              <w:jc w:val="center"/>
              <w:rPr>
                <w:rFonts w:ascii="Times New Roman" w:hAnsi="Times New Roman" w:cs="Times New Roman"/>
              </w:rPr>
            </w:pPr>
            <w:r w:rsidRPr="00993943">
              <w:rPr>
                <w:rFonts w:ascii="Times New Roman" w:hAnsi="Times New Roman" w:cs="Times New Roman"/>
              </w:rPr>
              <w:t>Memory</w:t>
            </w:r>
          </w:p>
        </w:tc>
        <w:tc>
          <w:tcPr>
            <w:tcW w:w="2394" w:type="dxa"/>
            <w:vMerge w:val="restart"/>
            <w:tcBorders>
              <w:left w:val="nil"/>
              <w:bottom w:val="single" w:sz="4" w:space="0" w:color="auto"/>
              <w:right w:val="nil"/>
            </w:tcBorders>
            <w:vAlign w:val="center"/>
          </w:tcPr>
          <w:p w:rsidR="00C66A38" w:rsidRPr="00993943" w:rsidRDefault="00C66A38" w:rsidP="00816146">
            <w:pPr>
              <w:jc w:val="center"/>
              <w:rPr>
                <w:rFonts w:ascii="Times New Roman" w:hAnsi="Times New Roman" w:cs="Times New Roman"/>
              </w:rPr>
            </w:pPr>
            <w:r w:rsidRPr="00993943">
              <w:rPr>
                <w:rFonts w:ascii="Times New Roman" w:hAnsi="Times New Roman" w:cs="Times New Roman"/>
              </w:rPr>
              <w:t>Rey Auditory Verbal Learning Test (AVLT)</w:t>
            </w:r>
          </w:p>
        </w:tc>
        <w:tc>
          <w:tcPr>
            <w:tcW w:w="3240" w:type="dxa"/>
            <w:tcBorders>
              <w:left w:val="nil"/>
              <w:bottom w:val="single" w:sz="4" w:space="0" w:color="auto"/>
              <w:right w:val="nil"/>
            </w:tcBorders>
            <w:vAlign w:val="center"/>
          </w:tcPr>
          <w:p w:rsidR="00C66A38" w:rsidRPr="00993943" w:rsidRDefault="00C66A38" w:rsidP="00816146">
            <w:pPr>
              <w:jc w:val="center"/>
              <w:rPr>
                <w:rFonts w:ascii="Times New Roman" w:hAnsi="Times New Roman" w:cs="Times New Roman"/>
              </w:rPr>
            </w:pPr>
            <w:r w:rsidRPr="00993943">
              <w:rPr>
                <w:rFonts w:ascii="Times New Roman" w:hAnsi="Times New Roman" w:cs="Times New Roman"/>
              </w:rPr>
              <w:t>Delayed Recall</w:t>
            </w:r>
          </w:p>
        </w:tc>
        <w:tc>
          <w:tcPr>
            <w:tcW w:w="1548" w:type="dxa"/>
            <w:tcBorders>
              <w:left w:val="nil"/>
              <w:bottom w:val="single" w:sz="4" w:space="0" w:color="auto"/>
            </w:tcBorders>
            <w:vAlign w:val="center"/>
          </w:tcPr>
          <w:p w:rsidR="00C66A38" w:rsidRPr="00993943" w:rsidRDefault="00C66A38" w:rsidP="00816146">
            <w:pPr>
              <w:jc w:val="center"/>
              <w:rPr>
                <w:rFonts w:ascii="Times New Roman" w:hAnsi="Times New Roman" w:cs="Times New Roman"/>
              </w:rPr>
            </w:pPr>
            <w:r w:rsidRPr="00993943">
              <w:rPr>
                <w:rFonts w:ascii="Times New Roman" w:hAnsi="Times New Roman" w:cs="Times New Roman"/>
              </w:rPr>
              <w:t>0-15</w:t>
            </w:r>
          </w:p>
        </w:tc>
      </w:tr>
      <w:tr w:rsidR="00C66A38" w:rsidRPr="00993943" w:rsidTr="00816146">
        <w:trPr>
          <w:trHeight w:val="270"/>
        </w:trPr>
        <w:tc>
          <w:tcPr>
            <w:tcW w:w="2394" w:type="dxa"/>
            <w:vMerge/>
            <w:tcBorders>
              <w:top w:val="single" w:sz="4" w:space="0" w:color="auto"/>
              <w:bottom w:val="single" w:sz="4" w:space="0" w:color="auto"/>
              <w:right w:val="nil"/>
            </w:tcBorders>
            <w:vAlign w:val="center"/>
          </w:tcPr>
          <w:p w:rsidR="00C66A38" w:rsidRPr="00993943" w:rsidRDefault="00C66A38" w:rsidP="00816146">
            <w:pPr>
              <w:jc w:val="center"/>
              <w:rPr>
                <w:rFonts w:ascii="Times New Roman" w:hAnsi="Times New Roman" w:cs="Times New Roman"/>
              </w:rPr>
            </w:pPr>
          </w:p>
        </w:tc>
        <w:tc>
          <w:tcPr>
            <w:tcW w:w="2394" w:type="dxa"/>
            <w:vMerge/>
            <w:tcBorders>
              <w:top w:val="single" w:sz="4" w:space="0" w:color="auto"/>
              <w:left w:val="nil"/>
              <w:bottom w:val="single" w:sz="4" w:space="0" w:color="auto"/>
              <w:right w:val="nil"/>
            </w:tcBorders>
            <w:vAlign w:val="center"/>
          </w:tcPr>
          <w:p w:rsidR="00C66A38" w:rsidRPr="00993943" w:rsidRDefault="00C66A38" w:rsidP="00816146">
            <w:pPr>
              <w:jc w:val="center"/>
              <w:rPr>
                <w:rFonts w:ascii="Times New Roman" w:hAnsi="Times New Roman" w:cs="Times New Roman"/>
              </w:rPr>
            </w:pPr>
          </w:p>
        </w:tc>
        <w:tc>
          <w:tcPr>
            <w:tcW w:w="3240" w:type="dxa"/>
            <w:tcBorders>
              <w:top w:val="single" w:sz="4" w:space="0" w:color="auto"/>
              <w:left w:val="nil"/>
              <w:bottom w:val="single" w:sz="4" w:space="0" w:color="auto"/>
              <w:right w:val="nil"/>
            </w:tcBorders>
            <w:vAlign w:val="center"/>
          </w:tcPr>
          <w:p w:rsidR="00C66A38" w:rsidRPr="00993943" w:rsidRDefault="00C66A38" w:rsidP="00816146">
            <w:pPr>
              <w:jc w:val="center"/>
              <w:rPr>
                <w:rFonts w:ascii="Times New Roman" w:hAnsi="Times New Roman" w:cs="Times New Roman"/>
              </w:rPr>
            </w:pPr>
            <w:r w:rsidRPr="00993943">
              <w:rPr>
                <w:rFonts w:ascii="Times New Roman" w:hAnsi="Times New Roman" w:cs="Times New Roman"/>
              </w:rPr>
              <w:t xml:space="preserve">% Retention </w:t>
            </w:r>
          </w:p>
          <w:p w:rsidR="00C66A38" w:rsidRPr="00993943" w:rsidRDefault="00C66A38" w:rsidP="00816146">
            <w:pPr>
              <w:jc w:val="center"/>
              <w:rPr>
                <w:rFonts w:ascii="Times New Roman" w:hAnsi="Times New Roman" w:cs="Times New Roman"/>
              </w:rPr>
            </w:pPr>
            <w:r w:rsidRPr="00993943">
              <w:rPr>
                <w:rFonts w:ascii="Times New Roman" w:hAnsi="Times New Roman" w:cs="Times New Roman"/>
              </w:rPr>
              <w:t>(Delayed Recall / Trial 6)</w:t>
            </w:r>
          </w:p>
        </w:tc>
        <w:tc>
          <w:tcPr>
            <w:tcW w:w="1548" w:type="dxa"/>
            <w:tcBorders>
              <w:top w:val="single" w:sz="4" w:space="0" w:color="auto"/>
              <w:left w:val="nil"/>
              <w:bottom w:val="single" w:sz="4" w:space="0" w:color="auto"/>
            </w:tcBorders>
            <w:vAlign w:val="center"/>
          </w:tcPr>
          <w:p w:rsidR="00C66A38" w:rsidRPr="00993943" w:rsidRDefault="00C66A38" w:rsidP="00816146">
            <w:pPr>
              <w:jc w:val="center"/>
              <w:rPr>
                <w:rFonts w:ascii="Times New Roman" w:hAnsi="Times New Roman" w:cs="Times New Roman"/>
              </w:rPr>
            </w:pPr>
            <w:r w:rsidRPr="00993943">
              <w:rPr>
                <w:rFonts w:ascii="Times New Roman" w:hAnsi="Times New Roman" w:cs="Times New Roman"/>
              </w:rPr>
              <w:t>0-100+%</w:t>
            </w:r>
          </w:p>
        </w:tc>
      </w:tr>
      <w:tr w:rsidR="00C66A38" w:rsidRPr="00993943" w:rsidTr="00816146">
        <w:trPr>
          <w:trHeight w:val="503"/>
        </w:trPr>
        <w:tc>
          <w:tcPr>
            <w:tcW w:w="2394" w:type="dxa"/>
            <w:vMerge/>
            <w:tcBorders>
              <w:top w:val="single" w:sz="4" w:space="0" w:color="auto"/>
              <w:bottom w:val="single" w:sz="4" w:space="0" w:color="auto"/>
              <w:right w:val="nil"/>
            </w:tcBorders>
            <w:vAlign w:val="center"/>
          </w:tcPr>
          <w:p w:rsidR="00C66A38" w:rsidRPr="00993943" w:rsidRDefault="00C66A38" w:rsidP="00816146">
            <w:pPr>
              <w:jc w:val="center"/>
              <w:rPr>
                <w:rFonts w:ascii="Times New Roman" w:hAnsi="Times New Roman" w:cs="Times New Roman"/>
              </w:rPr>
            </w:pPr>
          </w:p>
        </w:tc>
        <w:tc>
          <w:tcPr>
            <w:tcW w:w="2394" w:type="dxa"/>
            <w:vMerge w:val="restart"/>
            <w:tcBorders>
              <w:top w:val="single" w:sz="4" w:space="0" w:color="auto"/>
              <w:left w:val="nil"/>
              <w:bottom w:val="single" w:sz="4" w:space="0" w:color="auto"/>
              <w:right w:val="nil"/>
            </w:tcBorders>
            <w:vAlign w:val="center"/>
          </w:tcPr>
          <w:p w:rsidR="00C66A38" w:rsidRPr="00993943" w:rsidRDefault="00C66A38" w:rsidP="00816146">
            <w:pPr>
              <w:jc w:val="center"/>
              <w:rPr>
                <w:rFonts w:ascii="Times New Roman" w:hAnsi="Times New Roman" w:cs="Times New Roman"/>
              </w:rPr>
            </w:pPr>
            <w:r w:rsidRPr="00993943">
              <w:rPr>
                <w:rFonts w:ascii="Times New Roman" w:hAnsi="Times New Roman" w:cs="Times New Roman"/>
              </w:rPr>
              <w:t>WMS-R Logical Memory (LM)</w:t>
            </w:r>
          </w:p>
        </w:tc>
        <w:tc>
          <w:tcPr>
            <w:tcW w:w="3240" w:type="dxa"/>
            <w:tcBorders>
              <w:top w:val="single" w:sz="4" w:space="0" w:color="auto"/>
              <w:left w:val="nil"/>
              <w:bottom w:val="single" w:sz="4" w:space="0" w:color="auto"/>
              <w:right w:val="nil"/>
            </w:tcBorders>
            <w:vAlign w:val="center"/>
          </w:tcPr>
          <w:p w:rsidR="00C66A38" w:rsidRPr="00993943" w:rsidRDefault="00C66A38" w:rsidP="00816146">
            <w:pPr>
              <w:jc w:val="center"/>
              <w:rPr>
                <w:rFonts w:ascii="Times New Roman" w:hAnsi="Times New Roman" w:cs="Times New Roman"/>
              </w:rPr>
            </w:pPr>
            <w:r w:rsidRPr="00993943">
              <w:rPr>
                <w:rFonts w:ascii="Times New Roman" w:hAnsi="Times New Roman" w:cs="Times New Roman"/>
              </w:rPr>
              <w:t>Delayed Recall</w:t>
            </w:r>
          </w:p>
        </w:tc>
        <w:tc>
          <w:tcPr>
            <w:tcW w:w="1548" w:type="dxa"/>
            <w:tcBorders>
              <w:top w:val="single" w:sz="4" w:space="0" w:color="auto"/>
              <w:left w:val="nil"/>
              <w:bottom w:val="single" w:sz="4" w:space="0" w:color="auto"/>
            </w:tcBorders>
            <w:vAlign w:val="center"/>
          </w:tcPr>
          <w:p w:rsidR="00C66A38" w:rsidRPr="00993943" w:rsidRDefault="00C66A38" w:rsidP="00816146">
            <w:pPr>
              <w:jc w:val="center"/>
              <w:rPr>
                <w:rFonts w:ascii="Times New Roman" w:hAnsi="Times New Roman" w:cs="Times New Roman"/>
              </w:rPr>
            </w:pPr>
            <w:r w:rsidRPr="00993943">
              <w:rPr>
                <w:rFonts w:ascii="Times New Roman" w:hAnsi="Times New Roman" w:cs="Times New Roman"/>
              </w:rPr>
              <w:t>0-25</w:t>
            </w:r>
          </w:p>
        </w:tc>
      </w:tr>
      <w:tr w:rsidR="00C66A38" w:rsidRPr="00993943" w:rsidTr="00816146">
        <w:trPr>
          <w:trHeight w:val="255"/>
        </w:trPr>
        <w:tc>
          <w:tcPr>
            <w:tcW w:w="2394" w:type="dxa"/>
            <w:vMerge/>
            <w:tcBorders>
              <w:top w:val="single" w:sz="4" w:space="0" w:color="auto"/>
              <w:bottom w:val="single" w:sz="4" w:space="0" w:color="auto"/>
              <w:right w:val="nil"/>
            </w:tcBorders>
            <w:vAlign w:val="center"/>
          </w:tcPr>
          <w:p w:rsidR="00C66A38" w:rsidRPr="00993943" w:rsidRDefault="00C66A38" w:rsidP="00816146">
            <w:pPr>
              <w:jc w:val="center"/>
              <w:rPr>
                <w:rFonts w:ascii="Times New Roman" w:hAnsi="Times New Roman" w:cs="Times New Roman"/>
              </w:rPr>
            </w:pPr>
          </w:p>
        </w:tc>
        <w:tc>
          <w:tcPr>
            <w:tcW w:w="2394" w:type="dxa"/>
            <w:vMerge/>
            <w:tcBorders>
              <w:top w:val="single" w:sz="4" w:space="0" w:color="auto"/>
              <w:left w:val="nil"/>
              <w:bottom w:val="single" w:sz="4" w:space="0" w:color="auto"/>
              <w:right w:val="nil"/>
            </w:tcBorders>
            <w:vAlign w:val="center"/>
          </w:tcPr>
          <w:p w:rsidR="00C66A38" w:rsidRPr="00993943" w:rsidRDefault="00C66A38" w:rsidP="00816146">
            <w:pPr>
              <w:jc w:val="center"/>
              <w:rPr>
                <w:rFonts w:ascii="Times New Roman" w:hAnsi="Times New Roman" w:cs="Times New Roman"/>
              </w:rPr>
            </w:pPr>
          </w:p>
        </w:tc>
        <w:tc>
          <w:tcPr>
            <w:tcW w:w="3240" w:type="dxa"/>
            <w:tcBorders>
              <w:top w:val="single" w:sz="4" w:space="0" w:color="auto"/>
              <w:left w:val="nil"/>
              <w:bottom w:val="single" w:sz="4" w:space="0" w:color="auto"/>
              <w:right w:val="nil"/>
            </w:tcBorders>
            <w:vAlign w:val="center"/>
          </w:tcPr>
          <w:p w:rsidR="00C66A38" w:rsidRPr="00993943" w:rsidRDefault="00C66A38" w:rsidP="00816146">
            <w:pPr>
              <w:jc w:val="center"/>
              <w:rPr>
                <w:rFonts w:ascii="Times New Roman" w:hAnsi="Times New Roman" w:cs="Times New Roman"/>
              </w:rPr>
            </w:pPr>
            <w:r w:rsidRPr="00993943">
              <w:rPr>
                <w:rFonts w:ascii="Times New Roman" w:hAnsi="Times New Roman" w:cs="Times New Roman"/>
              </w:rPr>
              <w:t>% Retention (Delayed Recall / Immediate Recall)</w:t>
            </w:r>
          </w:p>
        </w:tc>
        <w:tc>
          <w:tcPr>
            <w:tcW w:w="1548" w:type="dxa"/>
            <w:tcBorders>
              <w:top w:val="single" w:sz="4" w:space="0" w:color="auto"/>
              <w:left w:val="nil"/>
              <w:bottom w:val="single" w:sz="4" w:space="0" w:color="auto"/>
            </w:tcBorders>
            <w:vAlign w:val="center"/>
          </w:tcPr>
          <w:p w:rsidR="00C66A38" w:rsidRPr="00993943" w:rsidRDefault="00C66A38" w:rsidP="00816146">
            <w:pPr>
              <w:jc w:val="center"/>
              <w:rPr>
                <w:rFonts w:ascii="Times New Roman" w:hAnsi="Times New Roman" w:cs="Times New Roman"/>
              </w:rPr>
            </w:pPr>
            <w:r w:rsidRPr="00993943">
              <w:rPr>
                <w:rFonts w:ascii="Times New Roman" w:hAnsi="Times New Roman" w:cs="Times New Roman"/>
              </w:rPr>
              <w:t>0-100+%</w:t>
            </w:r>
          </w:p>
        </w:tc>
      </w:tr>
      <w:tr w:rsidR="00C66A38" w:rsidRPr="00993943" w:rsidTr="00816146">
        <w:trPr>
          <w:trHeight w:val="638"/>
        </w:trPr>
        <w:tc>
          <w:tcPr>
            <w:tcW w:w="2394" w:type="dxa"/>
            <w:vMerge w:val="restart"/>
            <w:tcBorders>
              <w:right w:val="nil"/>
            </w:tcBorders>
            <w:vAlign w:val="center"/>
          </w:tcPr>
          <w:p w:rsidR="00C66A38" w:rsidRPr="00993943" w:rsidRDefault="00C66A38" w:rsidP="00816146">
            <w:pPr>
              <w:jc w:val="center"/>
              <w:rPr>
                <w:rFonts w:ascii="Times New Roman" w:hAnsi="Times New Roman" w:cs="Times New Roman"/>
              </w:rPr>
            </w:pPr>
            <w:r w:rsidRPr="00993943">
              <w:rPr>
                <w:rFonts w:ascii="Times New Roman" w:hAnsi="Times New Roman" w:cs="Times New Roman"/>
              </w:rPr>
              <w:t>Language</w:t>
            </w:r>
          </w:p>
        </w:tc>
        <w:tc>
          <w:tcPr>
            <w:tcW w:w="2394" w:type="dxa"/>
            <w:tcBorders>
              <w:left w:val="nil"/>
              <w:right w:val="nil"/>
            </w:tcBorders>
            <w:vAlign w:val="center"/>
          </w:tcPr>
          <w:p w:rsidR="00C66A38" w:rsidRPr="00993943" w:rsidRDefault="00C66A38" w:rsidP="00816146">
            <w:pPr>
              <w:jc w:val="center"/>
              <w:rPr>
                <w:rFonts w:ascii="Times New Roman" w:hAnsi="Times New Roman" w:cs="Times New Roman"/>
              </w:rPr>
            </w:pPr>
            <w:r w:rsidRPr="00993943">
              <w:rPr>
                <w:rFonts w:ascii="Times New Roman" w:hAnsi="Times New Roman" w:cs="Times New Roman"/>
              </w:rPr>
              <w:t>Animal Fluency</w:t>
            </w:r>
          </w:p>
        </w:tc>
        <w:tc>
          <w:tcPr>
            <w:tcW w:w="3240" w:type="dxa"/>
            <w:tcBorders>
              <w:left w:val="nil"/>
              <w:right w:val="nil"/>
            </w:tcBorders>
            <w:vAlign w:val="center"/>
          </w:tcPr>
          <w:p w:rsidR="00C66A38" w:rsidRPr="00993943" w:rsidRDefault="00C66A38" w:rsidP="00816146">
            <w:pPr>
              <w:jc w:val="center"/>
              <w:rPr>
                <w:rFonts w:ascii="Times New Roman" w:hAnsi="Times New Roman" w:cs="Times New Roman"/>
              </w:rPr>
            </w:pPr>
            <w:r w:rsidRPr="00993943">
              <w:rPr>
                <w:rFonts w:ascii="Times New Roman" w:hAnsi="Times New Roman" w:cs="Times New Roman"/>
              </w:rPr>
              <w:t>Total Correct</w:t>
            </w:r>
          </w:p>
        </w:tc>
        <w:tc>
          <w:tcPr>
            <w:tcW w:w="1548" w:type="dxa"/>
            <w:tcBorders>
              <w:left w:val="nil"/>
            </w:tcBorders>
            <w:vAlign w:val="center"/>
          </w:tcPr>
          <w:p w:rsidR="00C66A38" w:rsidRPr="00993943" w:rsidRDefault="00C66A38" w:rsidP="00816146">
            <w:pPr>
              <w:jc w:val="center"/>
              <w:rPr>
                <w:rFonts w:ascii="Times New Roman" w:hAnsi="Times New Roman" w:cs="Times New Roman"/>
              </w:rPr>
            </w:pPr>
            <w:r w:rsidRPr="00993943">
              <w:rPr>
                <w:rFonts w:ascii="Times New Roman" w:hAnsi="Times New Roman" w:cs="Times New Roman"/>
              </w:rPr>
              <w:t>0-(no max)</w:t>
            </w:r>
          </w:p>
        </w:tc>
      </w:tr>
      <w:tr w:rsidR="00C66A38" w:rsidRPr="00993943" w:rsidTr="00816146">
        <w:tc>
          <w:tcPr>
            <w:tcW w:w="2394" w:type="dxa"/>
            <w:vMerge/>
            <w:tcBorders>
              <w:bottom w:val="single" w:sz="4" w:space="0" w:color="auto"/>
              <w:right w:val="nil"/>
            </w:tcBorders>
            <w:vAlign w:val="center"/>
          </w:tcPr>
          <w:p w:rsidR="00C66A38" w:rsidRPr="00993943" w:rsidRDefault="00C66A38" w:rsidP="00816146">
            <w:pPr>
              <w:jc w:val="center"/>
              <w:rPr>
                <w:rFonts w:ascii="Times New Roman" w:hAnsi="Times New Roman" w:cs="Times New Roman"/>
              </w:rPr>
            </w:pPr>
          </w:p>
        </w:tc>
        <w:tc>
          <w:tcPr>
            <w:tcW w:w="2394" w:type="dxa"/>
            <w:tcBorders>
              <w:left w:val="nil"/>
              <w:bottom w:val="single" w:sz="4" w:space="0" w:color="auto"/>
              <w:right w:val="nil"/>
            </w:tcBorders>
            <w:vAlign w:val="center"/>
          </w:tcPr>
          <w:p w:rsidR="00C66A38" w:rsidRPr="00993943" w:rsidRDefault="00C66A38" w:rsidP="00816146">
            <w:pPr>
              <w:jc w:val="center"/>
              <w:rPr>
                <w:rFonts w:ascii="Times New Roman" w:hAnsi="Times New Roman" w:cs="Times New Roman"/>
              </w:rPr>
            </w:pPr>
            <w:r w:rsidRPr="00993943">
              <w:rPr>
                <w:rFonts w:ascii="Times New Roman" w:hAnsi="Times New Roman" w:cs="Times New Roman"/>
              </w:rPr>
              <w:t>30-Item Boston Naming Test (BNT30)</w:t>
            </w:r>
          </w:p>
        </w:tc>
        <w:tc>
          <w:tcPr>
            <w:tcW w:w="3240" w:type="dxa"/>
            <w:tcBorders>
              <w:left w:val="nil"/>
              <w:bottom w:val="single" w:sz="4" w:space="0" w:color="auto"/>
              <w:right w:val="nil"/>
            </w:tcBorders>
            <w:vAlign w:val="center"/>
          </w:tcPr>
          <w:p w:rsidR="00C66A38" w:rsidRPr="00993943" w:rsidRDefault="00C66A38" w:rsidP="00816146">
            <w:pPr>
              <w:jc w:val="center"/>
              <w:rPr>
                <w:rFonts w:ascii="Times New Roman" w:hAnsi="Times New Roman" w:cs="Times New Roman"/>
              </w:rPr>
            </w:pPr>
            <w:r w:rsidRPr="00993943">
              <w:rPr>
                <w:rFonts w:ascii="Times New Roman" w:hAnsi="Times New Roman" w:cs="Times New Roman"/>
              </w:rPr>
              <w:t>Total Correct (spontaneous + semantic cue)</w:t>
            </w:r>
          </w:p>
        </w:tc>
        <w:tc>
          <w:tcPr>
            <w:tcW w:w="1548" w:type="dxa"/>
            <w:tcBorders>
              <w:left w:val="nil"/>
              <w:bottom w:val="single" w:sz="4" w:space="0" w:color="auto"/>
            </w:tcBorders>
            <w:vAlign w:val="center"/>
          </w:tcPr>
          <w:p w:rsidR="00C66A38" w:rsidRPr="00993943" w:rsidRDefault="00C66A38" w:rsidP="00816146">
            <w:pPr>
              <w:jc w:val="center"/>
              <w:rPr>
                <w:rFonts w:ascii="Times New Roman" w:hAnsi="Times New Roman" w:cs="Times New Roman"/>
              </w:rPr>
            </w:pPr>
            <w:r w:rsidRPr="00993943">
              <w:rPr>
                <w:rFonts w:ascii="Times New Roman" w:hAnsi="Times New Roman" w:cs="Times New Roman"/>
              </w:rPr>
              <w:t>0-30</w:t>
            </w:r>
          </w:p>
        </w:tc>
      </w:tr>
      <w:tr w:rsidR="00C66A38" w:rsidRPr="00993943" w:rsidTr="00816146">
        <w:trPr>
          <w:trHeight w:val="530"/>
        </w:trPr>
        <w:tc>
          <w:tcPr>
            <w:tcW w:w="2394" w:type="dxa"/>
            <w:vMerge w:val="restart"/>
            <w:tcBorders>
              <w:right w:val="nil"/>
            </w:tcBorders>
            <w:vAlign w:val="center"/>
          </w:tcPr>
          <w:p w:rsidR="00C66A38" w:rsidRPr="00993943" w:rsidRDefault="00C66A38" w:rsidP="00816146">
            <w:pPr>
              <w:jc w:val="center"/>
              <w:rPr>
                <w:rFonts w:ascii="Times New Roman" w:hAnsi="Times New Roman" w:cs="Times New Roman"/>
              </w:rPr>
            </w:pPr>
            <w:r w:rsidRPr="00993943">
              <w:rPr>
                <w:rFonts w:ascii="Times New Roman" w:hAnsi="Times New Roman" w:cs="Times New Roman"/>
              </w:rPr>
              <w:t>Executive Function</w:t>
            </w:r>
          </w:p>
        </w:tc>
        <w:tc>
          <w:tcPr>
            <w:tcW w:w="2394" w:type="dxa"/>
            <w:tcBorders>
              <w:left w:val="nil"/>
              <w:right w:val="nil"/>
            </w:tcBorders>
            <w:vAlign w:val="center"/>
          </w:tcPr>
          <w:p w:rsidR="00C66A38" w:rsidRPr="00993943" w:rsidRDefault="00C66A38" w:rsidP="00816146">
            <w:pPr>
              <w:jc w:val="center"/>
              <w:rPr>
                <w:rFonts w:ascii="Times New Roman" w:hAnsi="Times New Roman" w:cs="Times New Roman"/>
              </w:rPr>
            </w:pPr>
            <w:r w:rsidRPr="00993943">
              <w:rPr>
                <w:rFonts w:ascii="Times New Roman" w:hAnsi="Times New Roman" w:cs="Times New Roman"/>
              </w:rPr>
              <w:t>Clock Drawing</w:t>
            </w:r>
          </w:p>
        </w:tc>
        <w:tc>
          <w:tcPr>
            <w:tcW w:w="3240" w:type="dxa"/>
            <w:tcBorders>
              <w:left w:val="nil"/>
              <w:right w:val="nil"/>
            </w:tcBorders>
            <w:vAlign w:val="center"/>
          </w:tcPr>
          <w:p w:rsidR="00C66A38" w:rsidRPr="00993943" w:rsidRDefault="00C66A38" w:rsidP="00816146">
            <w:pPr>
              <w:jc w:val="center"/>
              <w:rPr>
                <w:rFonts w:ascii="Times New Roman" w:hAnsi="Times New Roman" w:cs="Times New Roman"/>
              </w:rPr>
            </w:pPr>
            <w:r w:rsidRPr="00993943">
              <w:rPr>
                <w:rFonts w:ascii="Times New Roman" w:hAnsi="Times New Roman" w:cs="Times New Roman"/>
              </w:rPr>
              <w:t>Total Score</w:t>
            </w:r>
          </w:p>
        </w:tc>
        <w:tc>
          <w:tcPr>
            <w:tcW w:w="1548" w:type="dxa"/>
            <w:tcBorders>
              <w:left w:val="nil"/>
            </w:tcBorders>
            <w:vAlign w:val="center"/>
          </w:tcPr>
          <w:p w:rsidR="00C66A38" w:rsidRPr="00993943" w:rsidRDefault="00C66A38" w:rsidP="00816146">
            <w:pPr>
              <w:jc w:val="center"/>
              <w:rPr>
                <w:rFonts w:ascii="Times New Roman" w:hAnsi="Times New Roman" w:cs="Times New Roman"/>
              </w:rPr>
            </w:pPr>
            <w:r w:rsidRPr="00993943">
              <w:rPr>
                <w:rFonts w:ascii="Times New Roman" w:hAnsi="Times New Roman" w:cs="Times New Roman"/>
              </w:rPr>
              <w:t>0-5</w:t>
            </w:r>
          </w:p>
        </w:tc>
      </w:tr>
      <w:tr w:rsidR="00C66A38" w:rsidRPr="00993943" w:rsidTr="00816146">
        <w:tc>
          <w:tcPr>
            <w:tcW w:w="2394" w:type="dxa"/>
            <w:vMerge/>
            <w:tcBorders>
              <w:right w:val="nil"/>
            </w:tcBorders>
            <w:vAlign w:val="center"/>
          </w:tcPr>
          <w:p w:rsidR="00C66A38" w:rsidRPr="00993943" w:rsidRDefault="00C66A38" w:rsidP="00816146">
            <w:pPr>
              <w:jc w:val="center"/>
              <w:rPr>
                <w:rFonts w:ascii="Times New Roman" w:hAnsi="Times New Roman" w:cs="Times New Roman"/>
              </w:rPr>
            </w:pPr>
          </w:p>
        </w:tc>
        <w:tc>
          <w:tcPr>
            <w:tcW w:w="2394" w:type="dxa"/>
            <w:tcBorders>
              <w:left w:val="nil"/>
              <w:right w:val="nil"/>
            </w:tcBorders>
            <w:vAlign w:val="center"/>
          </w:tcPr>
          <w:p w:rsidR="00C66A38" w:rsidRPr="00993943" w:rsidRDefault="00C66A38" w:rsidP="00816146">
            <w:pPr>
              <w:jc w:val="center"/>
              <w:rPr>
                <w:rFonts w:ascii="Times New Roman" w:hAnsi="Times New Roman" w:cs="Times New Roman"/>
              </w:rPr>
            </w:pPr>
            <w:r w:rsidRPr="00993943">
              <w:rPr>
                <w:rFonts w:ascii="Times New Roman" w:hAnsi="Times New Roman" w:cs="Times New Roman"/>
              </w:rPr>
              <w:t>Trail Making Test</w:t>
            </w:r>
          </w:p>
        </w:tc>
        <w:tc>
          <w:tcPr>
            <w:tcW w:w="3240" w:type="dxa"/>
            <w:tcBorders>
              <w:left w:val="nil"/>
              <w:right w:val="nil"/>
            </w:tcBorders>
            <w:vAlign w:val="center"/>
          </w:tcPr>
          <w:p w:rsidR="00C66A38" w:rsidRPr="00993943" w:rsidRDefault="00C66A38" w:rsidP="00816146">
            <w:pPr>
              <w:jc w:val="center"/>
              <w:rPr>
                <w:rFonts w:ascii="Times New Roman" w:hAnsi="Times New Roman" w:cs="Times New Roman"/>
              </w:rPr>
            </w:pPr>
            <w:r w:rsidRPr="00993943">
              <w:rPr>
                <w:rFonts w:ascii="Times New Roman" w:hAnsi="Times New Roman" w:cs="Times New Roman"/>
              </w:rPr>
              <w:t>Trails B/A Proportion (Trails B Completion Time / Trails A Completion Time)</w:t>
            </w:r>
          </w:p>
        </w:tc>
        <w:tc>
          <w:tcPr>
            <w:tcW w:w="1548" w:type="dxa"/>
            <w:tcBorders>
              <w:left w:val="nil"/>
            </w:tcBorders>
            <w:vAlign w:val="center"/>
          </w:tcPr>
          <w:p w:rsidR="00C66A38" w:rsidRPr="00993943" w:rsidRDefault="00C66A38" w:rsidP="00816146">
            <w:pPr>
              <w:jc w:val="center"/>
              <w:rPr>
                <w:rFonts w:ascii="Times New Roman" w:hAnsi="Times New Roman" w:cs="Times New Roman"/>
              </w:rPr>
            </w:pPr>
            <w:r w:rsidRPr="00993943">
              <w:rPr>
                <w:rFonts w:ascii="Times New Roman" w:hAnsi="Times New Roman" w:cs="Times New Roman"/>
              </w:rPr>
              <w:t>&gt;1.0</w:t>
            </w:r>
          </w:p>
        </w:tc>
      </w:tr>
    </w:tbl>
    <w:p w:rsidR="00C66A38" w:rsidRDefault="00C66A38" w:rsidP="00C66A38">
      <w:pPr>
        <w:rPr>
          <w:rFonts w:ascii="Times New Roman" w:hAnsi="Times New Roman" w:cs="Times New Roman"/>
        </w:rPr>
      </w:pPr>
    </w:p>
    <w:p w:rsidR="006B2C37" w:rsidRPr="003F7F45" w:rsidRDefault="006B2C37" w:rsidP="006B2C37">
      <w:pPr>
        <w:spacing w:line="240" w:lineRule="auto"/>
        <w:contextualSpacing/>
        <w:rPr>
          <w:rFonts w:ascii="Times New Roman" w:hAnsi="Times New Roman" w:cs="Times New Roman"/>
        </w:rPr>
      </w:pPr>
      <w:r w:rsidRPr="003F7F45">
        <w:rPr>
          <w:rFonts w:ascii="Times New Roman" w:hAnsi="Times New Roman" w:cs="Times New Roman"/>
        </w:rPr>
        <w:t>Supplemental Table B: Change in DELTA group status based on BL DELTA group for the Robust Cognitively Normal subsample.  Values represent the percentage of participants with follow-up DELTA scores within each DELTA group.  DELTA subgroups were determined based on the distribution of DELTA scores in the RCN sample.</w:t>
      </w:r>
    </w:p>
    <w:p w:rsidR="006B2C37" w:rsidRDefault="006B2C37" w:rsidP="006B2C37">
      <w:pPr>
        <w:spacing w:line="240" w:lineRule="auto"/>
        <w:contextualSpacing/>
        <w:rPr>
          <w:rFonts w:ascii="Times New Roman" w:hAnsi="Times New Roman" w:cs="Times New Roman"/>
        </w:rPr>
      </w:pPr>
      <w:r w:rsidRPr="003F7F45">
        <w:rPr>
          <w:rFonts w:ascii="Times New Roman" w:hAnsi="Times New Roman" w:cs="Times New Roman"/>
        </w:rPr>
        <w:t>Abbrev: DELTA – Discrepancy-based Evidence for Loss of Thinking Abilities, RCN – Robust Cognitively Normal</w:t>
      </w:r>
    </w:p>
    <w:p w:rsidR="00C66A38" w:rsidRDefault="00C66A38" w:rsidP="00C66A38">
      <w:pPr>
        <w:rPr>
          <w:rFonts w:cstheme="minorHAnsi"/>
        </w:rPr>
      </w:pPr>
    </w:p>
    <w:tbl>
      <w:tblPr>
        <w:tblStyle w:val="TableGrid"/>
        <w:tblW w:w="0" w:type="auto"/>
        <w:tblInd w:w="-252" w:type="dxa"/>
        <w:tblBorders>
          <w:left w:val="none" w:sz="0" w:space="0" w:color="auto"/>
          <w:right w:val="none" w:sz="0" w:space="0" w:color="auto"/>
        </w:tblBorders>
        <w:tblLook w:val="04A0"/>
      </w:tblPr>
      <w:tblGrid>
        <w:gridCol w:w="2352"/>
        <w:gridCol w:w="2352"/>
        <w:gridCol w:w="1711"/>
        <w:gridCol w:w="1604"/>
        <w:gridCol w:w="1761"/>
      </w:tblGrid>
      <w:tr w:rsidR="00C66A38" w:rsidRPr="003F7F45" w:rsidTr="00816146">
        <w:trPr>
          <w:trHeight w:val="642"/>
        </w:trPr>
        <w:tc>
          <w:tcPr>
            <w:tcW w:w="2352" w:type="dxa"/>
            <w:tcBorders>
              <w:bottom w:val="single" w:sz="4" w:space="0" w:color="auto"/>
              <w:right w:val="nil"/>
            </w:tcBorders>
            <w:vAlign w:val="center"/>
          </w:tcPr>
          <w:p w:rsidR="00C66A38" w:rsidRPr="003F7F45" w:rsidRDefault="00C66A38" w:rsidP="00816146">
            <w:pPr>
              <w:jc w:val="center"/>
              <w:rPr>
                <w:rFonts w:ascii="Times New Roman" w:hAnsi="Times New Roman" w:cs="Times New Roman"/>
                <w:b/>
              </w:rPr>
            </w:pPr>
            <w:r w:rsidRPr="003F7F45">
              <w:rPr>
                <w:rFonts w:ascii="Times New Roman" w:hAnsi="Times New Roman" w:cs="Times New Roman"/>
                <w:b/>
              </w:rPr>
              <w:t>RCN Baseline DELTA Group (Score Range)</w:t>
            </w:r>
          </w:p>
        </w:tc>
        <w:tc>
          <w:tcPr>
            <w:tcW w:w="2352" w:type="dxa"/>
            <w:tcBorders>
              <w:left w:val="nil"/>
              <w:bottom w:val="single" w:sz="4" w:space="0" w:color="auto"/>
              <w:right w:val="nil"/>
            </w:tcBorders>
            <w:vAlign w:val="center"/>
          </w:tcPr>
          <w:p w:rsidR="00C66A38" w:rsidRPr="003F7F45" w:rsidRDefault="00C66A38" w:rsidP="00816146">
            <w:pPr>
              <w:jc w:val="center"/>
              <w:rPr>
                <w:rFonts w:ascii="Times New Roman" w:hAnsi="Times New Roman" w:cs="Times New Roman"/>
                <w:b/>
              </w:rPr>
            </w:pPr>
            <w:r w:rsidRPr="003F7F45">
              <w:rPr>
                <w:rFonts w:ascii="Times New Roman" w:hAnsi="Times New Roman" w:cs="Times New Roman"/>
                <w:b/>
              </w:rPr>
              <w:t>Follow-Up DELTA Group (Score Range)</w:t>
            </w:r>
          </w:p>
        </w:tc>
        <w:tc>
          <w:tcPr>
            <w:tcW w:w="1711" w:type="dxa"/>
            <w:tcBorders>
              <w:left w:val="nil"/>
              <w:bottom w:val="single" w:sz="4" w:space="0" w:color="auto"/>
              <w:right w:val="nil"/>
            </w:tcBorders>
            <w:vAlign w:val="center"/>
          </w:tcPr>
          <w:p w:rsidR="00C66A38" w:rsidRPr="003F7F45" w:rsidRDefault="00C66A38" w:rsidP="00816146">
            <w:pPr>
              <w:jc w:val="center"/>
              <w:rPr>
                <w:rFonts w:ascii="Times New Roman" w:hAnsi="Times New Roman" w:cs="Times New Roman"/>
                <w:b/>
              </w:rPr>
            </w:pPr>
            <w:r w:rsidRPr="003F7F45">
              <w:rPr>
                <w:rFonts w:ascii="Times New Roman" w:hAnsi="Times New Roman" w:cs="Times New Roman"/>
                <w:b/>
              </w:rPr>
              <w:t>Year 1</w:t>
            </w:r>
          </w:p>
        </w:tc>
        <w:tc>
          <w:tcPr>
            <w:tcW w:w="1604" w:type="dxa"/>
            <w:tcBorders>
              <w:left w:val="nil"/>
              <w:bottom w:val="single" w:sz="4" w:space="0" w:color="auto"/>
              <w:right w:val="nil"/>
            </w:tcBorders>
            <w:vAlign w:val="center"/>
          </w:tcPr>
          <w:p w:rsidR="00C66A38" w:rsidRPr="003F7F45" w:rsidRDefault="00C66A38" w:rsidP="00816146">
            <w:pPr>
              <w:jc w:val="center"/>
              <w:rPr>
                <w:rFonts w:ascii="Times New Roman" w:hAnsi="Times New Roman" w:cs="Times New Roman"/>
                <w:b/>
              </w:rPr>
            </w:pPr>
            <w:r w:rsidRPr="003F7F45">
              <w:rPr>
                <w:rFonts w:ascii="Times New Roman" w:hAnsi="Times New Roman" w:cs="Times New Roman"/>
                <w:b/>
              </w:rPr>
              <w:t>Year 2</w:t>
            </w:r>
          </w:p>
        </w:tc>
        <w:tc>
          <w:tcPr>
            <w:tcW w:w="1761" w:type="dxa"/>
            <w:tcBorders>
              <w:left w:val="nil"/>
              <w:bottom w:val="single" w:sz="4" w:space="0" w:color="auto"/>
            </w:tcBorders>
            <w:vAlign w:val="center"/>
          </w:tcPr>
          <w:p w:rsidR="00C66A38" w:rsidRPr="003F7F45" w:rsidRDefault="00C66A38" w:rsidP="00816146">
            <w:pPr>
              <w:jc w:val="center"/>
              <w:rPr>
                <w:rFonts w:ascii="Times New Roman" w:hAnsi="Times New Roman" w:cs="Times New Roman"/>
                <w:b/>
              </w:rPr>
            </w:pPr>
            <w:r w:rsidRPr="003F7F45">
              <w:rPr>
                <w:rFonts w:ascii="Times New Roman" w:hAnsi="Times New Roman" w:cs="Times New Roman"/>
                <w:b/>
              </w:rPr>
              <w:t>Year 3</w:t>
            </w:r>
          </w:p>
        </w:tc>
      </w:tr>
      <w:tr w:rsidR="00C66A38" w:rsidRPr="003F7F45" w:rsidTr="00816146">
        <w:trPr>
          <w:trHeight w:val="661"/>
        </w:trPr>
        <w:tc>
          <w:tcPr>
            <w:tcW w:w="2352" w:type="dxa"/>
            <w:tcBorders>
              <w:bottom w:val="single" w:sz="4" w:space="0" w:color="auto"/>
              <w:right w:val="nil"/>
            </w:tcBorders>
            <w:vAlign w:val="center"/>
          </w:tcPr>
          <w:p w:rsidR="00C66A38" w:rsidRPr="003F7F45" w:rsidRDefault="00C66A38" w:rsidP="00816146">
            <w:pPr>
              <w:jc w:val="center"/>
              <w:rPr>
                <w:rFonts w:ascii="Times New Roman" w:hAnsi="Times New Roman" w:cs="Times New Roman"/>
                <w:i/>
              </w:rPr>
            </w:pPr>
            <w:r>
              <w:rPr>
                <w:rFonts w:ascii="Times New Roman" w:hAnsi="Times New Roman" w:cs="Times New Roman"/>
                <w:i/>
              </w:rPr>
              <w:t>“Level of Evidence”</w:t>
            </w:r>
          </w:p>
        </w:tc>
        <w:tc>
          <w:tcPr>
            <w:tcW w:w="2352" w:type="dxa"/>
            <w:tcBorders>
              <w:left w:val="nil"/>
              <w:bottom w:val="single" w:sz="4" w:space="0" w:color="auto"/>
              <w:right w:val="nil"/>
            </w:tcBorders>
            <w:vAlign w:val="center"/>
          </w:tcPr>
          <w:p w:rsidR="00C66A38" w:rsidRPr="003F7F45" w:rsidRDefault="00C66A38" w:rsidP="00816146">
            <w:pPr>
              <w:jc w:val="center"/>
              <w:rPr>
                <w:rFonts w:ascii="Times New Roman" w:hAnsi="Times New Roman" w:cs="Times New Roman"/>
                <w:i/>
              </w:rPr>
            </w:pPr>
            <w:r>
              <w:rPr>
                <w:rFonts w:ascii="Times New Roman" w:hAnsi="Times New Roman" w:cs="Times New Roman"/>
                <w:i/>
              </w:rPr>
              <w:t>“Level of Evidence”</w:t>
            </w:r>
          </w:p>
        </w:tc>
        <w:tc>
          <w:tcPr>
            <w:tcW w:w="1711" w:type="dxa"/>
            <w:tcBorders>
              <w:left w:val="nil"/>
              <w:bottom w:val="single" w:sz="4" w:space="0" w:color="auto"/>
              <w:right w:val="nil"/>
            </w:tcBorders>
            <w:vAlign w:val="center"/>
          </w:tcPr>
          <w:p w:rsidR="00C66A38" w:rsidRPr="003F7F45" w:rsidRDefault="00C66A38" w:rsidP="00816146">
            <w:pPr>
              <w:jc w:val="center"/>
              <w:rPr>
                <w:rFonts w:ascii="Times New Roman" w:hAnsi="Times New Roman" w:cs="Times New Roman"/>
                <w:i/>
              </w:rPr>
            </w:pPr>
            <w:r w:rsidRPr="003F7F45">
              <w:rPr>
                <w:rFonts w:ascii="Times New Roman" w:hAnsi="Times New Roman" w:cs="Times New Roman"/>
                <w:i/>
              </w:rPr>
              <w:t>(N=187)</w:t>
            </w:r>
          </w:p>
        </w:tc>
        <w:tc>
          <w:tcPr>
            <w:tcW w:w="1604" w:type="dxa"/>
            <w:tcBorders>
              <w:left w:val="nil"/>
              <w:bottom w:val="single" w:sz="4" w:space="0" w:color="auto"/>
              <w:right w:val="nil"/>
            </w:tcBorders>
            <w:vAlign w:val="center"/>
          </w:tcPr>
          <w:p w:rsidR="00C66A38" w:rsidRPr="003F7F45" w:rsidRDefault="00C66A38" w:rsidP="00816146">
            <w:pPr>
              <w:jc w:val="center"/>
              <w:rPr>
                <w:rFonts w:ascii="Times New Roman" w:hAnsi="Times New Roman" w:cs="Times New Roman"/>
                <w:i/>
              </w:rPr>
            </w:pPr>
            <w:r w:rsidRPr="003F7F45">
              <w:rPr>
                <w:rFonts w:ascii="Times New Roman" w:hAnsi="Times New Roman" w:cs="Times New Roman"/>
                <w:i/>
              </w:rPr>
              <w:t>(N=176)</w:t>
            </w:r>
          </w:p>
        </w:tc>
        <w:tc>
          <w:tcPr>
            <w:tcW w:w="1761" w:type="dxa"/>
            <w:tcBorders>
              <w:left w:val="nil"/>
              <w:bottom w:val="single" w:sz="4" w:space="0" w:color="auto"/>
            </w:tcBorders>
            <w:vAlign w:val="center"/>
          </w:tcPr>
          <w:p w:rsidR="00C66A38" w:rsidRPr="003F7F45" w:rsidRDefault="00C66A38" w:rsidP="00816146">
            <w:pPr>
              <w:jc w:val="center"/>
              <w:rPr>
                <w:rFonts w:ascii="Times New Roman" w:hAnsi="Times New Roman" w:cs="Times New Roman"/>
                <w:i/>
              </w:rPr>
            </w:pPr>
            <w:r w:rsidRPr="003F7F45">
              <w:rPr>
                <w:rFonts w:ascii="Times New Roman" w:hAnsi="Times New Roman" w:cs="Times New Roman"/>
                <w:i/>
              </w:rPr>
              <w:t>(N=95)</w:t>
            </w:r>
          </w:p>
        </w:tc>
      </w:tr>
      <w:tr w:rsidR="00C66A38" w:rsidRPr="003F7F45" w:rsidTr="00816146">
        <w:trPr>
          <w:trHeight w:val="330"/>
        </w:trPr>
        <w:tc>
          <w:tcPr>
            <w:tcW w:w="2352" w:type="dxa"/>
            <w:vMerge w:val="restart"/>
            <w:tcBorders>
              <w:bottom w:val="nil"/>
              <w:right w:val="nil"/>
            </w:tcBorders>
            <w:vAlign w:val="center"/>
          </w:tcPr>
          <w:p w:rsidR="00C66A38" w:rsidRPr="003F7F45" w:rsidRDefault="00C66A38" w:rsidP="00816146">
            <w:pPr>
              <w:jc w:val="center"/>
              <w:rPr>
                <w:rFonts w:ascii="Times New Roman" w:hAnsi="Times New Roman" w:cs="Times New Roman"/>
              </w:rPr>
            </w:pPr>
            <w:r w:rsidRPr="003F7F45">
              <w:rPr>
                <w:rFonts w:ascii="Times New Roman" w:hAnsi="Times New Roman" w:cs="Times New Roman"/>
              </w:rPr>
              <w:t>No Evidence (0)</w:t>
            </w:r>
          </w:p>
          <w:p w:rsidR="00C66A38" w:rsidRPr="003F7F45" w:rsidRDefault="00C66A38" w:rsidP="00816146">
            <w:pPr>
              <w:jc w:val="center"/>
              <w:rPr>
                <w:rFonts w:ascii="Times New Roman" w:hAnsi="Times New Roman" w:cs="Times New Roman"/>
              </w:rPr>
            </w:pPr>
            <w:r w:rsidRPr="003F7F45">
              <w:rPr>
                <w:rFonts w:ascii="Times New Roman" w:hAnsi="Times New Roman" w:cs="Times New Roman"/>
              </w:rPr>
              <w:t>N=189</w:t>
            </w:r>
          </w:p>
        </w:tc>
        <w:tc>
          <w:tcPr>
            <w:tcW w:w="2352" w:type="dxa"/>
            <w:tcBorders>
              <w:left w:val="nil"/>
              <w:bottom w:val="nil"/>
              <w:right w:val="nil"/>
            </w:tcBorders>
            <w:vAlign w:val="center"/>
          </w:tcPr>
          <w:p w:rsidR="00C66A38" w:rsidRPr="003F7F45" w:rsidRDefault="00C66A38" w:rsidP="00816146">
            <w:pPr>
              <w:jc w:val="right"/>
              <w:rPr>
                <w:rFonts w:ascii="Times New Roman" w:hAnsi="Times New Roman" w:cs="Times New Roman"/>
              </w:rPr>
            </w:pPr>
            <w:r w:rsidRPr="003F7F45">
              <w:rPr>
                <w:rFonts w:ascii="Times New Roman" w:hAnsi="Times New Roman" w:cs="Times New Roman"/>
              </w:rPr>
              <w:t>No Evidence (0)</w:t>
            </w:r>
          </w:p>
        </w:tc>
        <w:tc>
          <w:tcPr>
            <w:tcW w:w="1711" w:type="dxa"/>
            <w:tcBorders>
              <w:left w:val="nil"/>
              <w:bottom w:val="nil"/>
              <w:right w:val="nil"/>
            </w:tcBorders>
            <w:vAlign w:val="center"/>
          </w:tcPr>
          <w:p w:rsidR="00C66A38" w:rsidRPr="003F7F45" w:rsidRDefault="00C66A38" w:rsidP="00816146">
            <w:pPr>
              <w:jc w:val="center"/>
              <w:rPr>
                <w:rFonts w:ascii="Times New Roman" w:hAnsi="Times New Roman" w:cs="Times New Roman"/>
              </w:rPr>
            </w:pPr>
            <w:r w:rsidRPr="003F7F45">
              <w:rPr>
                <w:rFonts w:ascii="Times New Roman" w:hAnsi="Times New Roman" w:cs="Times New Roman"/>
              </w:rPr>
              <w:t>86.6</w:t>
            </w:r>
          </w:p>
        </w:tc>
        <w:tc>
          <w:tcPr>
            <w:tcW w:w="1604" w:type="dxa"/>
            <w:tcBorders>
              <w:left w:val="nil"/>
              <w:bottom w:val="nil"/>
              <w:right w:val="nil"/>
            </w:tcBorders>
            <w:vAlign w:val="center"/>
          </w:tcPr>
          <w:p w:rsidR="00C66A38" w:rsidRPr="003F7F45" w:rsidRDefault="00C66A38" w:rsidP="00816146">
            <w:pPr>
              <w:jc w:val="center"/>
              <w:rPr>
                <w:rFonts w:ascii="Times New Roman" w:hAnsi="Times New Roman" w:cs="Times New Roman"/>
              </w:rPr>
            </w:pPr>
            <w:r w:rsidRPr="003F7F45">
              <w:rPr>
                <w:rFonts w:ascii="Times New Roman" w:hAnsi="Times New Roman" w:cs="Times New Roman"/>
              </w:rPr>
              <w:t>83.5</w:t>
            </w:r>
          </w:p>
        </w:tc>
        <w:tc>
          <w:tcPr>
            <w:tcW w:w="1761" w:type="dxa"/>
            <w:tcBorders>
              <w:left w:val="nil"/>
              <w:bottom w:val="nil"/>
            </w:tcBorders>
            <w:vAlign w:val="center"/>
          </w:tcPr>
          <w:p w:rsidR="00C66A38" w:rsidRPr="003F7F45" w:rsidRDefault="00C66A38" w:rsidP="00816146">
            <w:pPr>
              <w:jc w:val="center"/>
              <w:rPr>
                <w:rFonts w:ascii="Times New Roman" w:hAnsi="Times New Roman" w:cs="Times New Roman"/>
              </w:rPr>
            </w:pPr>
            <w:r w:rsidRPr="003F7F45">
              <w:rPr>
                <w:rFonts w:ascii="Times New Roman" w:hAnsi="Times New Roman" w:cs="Times New Roman"/>
              </w:rPr>
              <w:t>88.4</w:t>
            </w:r>
          </w:p>
        </w:tc>
      </w:tr>
      <w:tr w:rsidR="00C66A38" w:rsidRPr="003F7F45" w:rsidTr="00816146">
        <w:trPr>
          <w:trHeight w:val="177"/>
        </w:trPr>
        <w:tc>
          <w:tcPr>
            <w:tcW w:w="2352" w:type="dxa"/>
            <w:vMerge/>
            <w:tcBorders>
              <w:top w:val="nil"/>
              <w:bottom w:val="nil"/>
              <w:right w:val="nil"/>
            </w:tcBorders>
          </w:tcPr>
          <w:p w:rsidR="00C66A38" w:rsidRPr="003F7F45" w:rsidRDefault="00C66A38" w:rsidP="00816146">
            <w:pPr>
              <w:rPr>
                <w:rFonts w:ascii="Times New Roman" w:hAnsi="Times New Roman" w:cs="Times New Roman"/>
              </w:rPr>
            </w:pPr>
          </w:p>
        </w:tc>
        <w:tc>
          <w:tcPr>
            <w:tcW w:w="2352" w:type="dxa"/>
            <w:tcBorders>
              <w:top w:val="nil"/>
              <w:left w:val="nil"/>
              <w:bottom w:val="nil"/>
              <w:right w:val="nil"/>
            </w:tcBorders>
            <w:vAlign w:val="center"/>
          </w:tcPr>
          <w:p w:rsidR="00C66A38" w:rsidRPr="003F7F45" w:rsidRDefault="00C66A38" w:rsidP="00816146">
            <w:pPr>
              <w:jc w:val="right"/>
              <w:rPr>
                <w:rFonts w:ascii="Times New Roman" w:hAnsi="Times New Roman" w:cs="Times New Roman"/>
              </w:rPr>
            </w:pPr>
            <w:r w:rsidRPr="003F7F45">
              <w:rPr>
                <w:rFonts w:ascii="Times New Roman" w:hAnsi="Times New Roman" w:cs="Times New Roman"/>
              </w:rPr>
              <w:t>Low (1-3)</w:t>
            </w:r>
          </w:p>
        </w:tc>
        <w:tc>
          <w:tcPr>
            <w:tcW w:w="1711" w:type="dxa"/>
            <w:tcBorders>
              <w:top w:val="nil"/>
              <w:left w:val="nil"/>
              <w:bottom w:val="nil"/>
              <w:right w:val="nil"/>
            </w:tcBorders>
            <w:vAlign w:val="center"/>
          </w:tcPr>
          <w:p w:rsidR="00C66A38" w:rsidRPr="003F7F45" w:rsidRDefault="00C66A38" w:rsidP="00816146">
            <w:pPr>
              <w:jc w:val="center"/>
              <w:rPr>
                <w:rFonts w:ascii="Times New Roman" w:hAnsi="Times New Roman" w:cs="Times New Roman"/>
              </w:rPr>
            </w:pPr>
            <w:r w:rsidRPr="003F7F45">
              <w:rPr>
                <w:rFonts w:ascii="Times New Roman" w:hAnsi="Times New Roman" w:cs="Times New Roman"/>
              </w:rPr>
              <w:t>11.8</w:t>
            </w:r>
          </w:p>
        </w:tc>
        <w:tc>
          <w:tcPr>
            <w:tcW w:w="1604" w:type="dxa"/>
            <w:tcBorders>
              <w:top w:val="nil"/>
              <w:left w:val="nil"/>
              <w:bottom w:val="nil"/>
              <w:right w:val="nil"/>
            </w:tcBorders>
            <w:vAlign w:val="center"/>
          </w:tcPr>
          <w:p w:rsidR="00C66A38" w:rsidRPr="003F7F45" w:rsidRDefault="00C66A38" w:rsidP="00816146">
            <w:pPr>
              <w:jc w:val="center"/>
              <w:rPr>
                <w:rFonts w:ascii="Times New Roman" w:hAnsi="Times New Roman" w:cs="Times New Roman"/>
              </w:rPr>
            </w:pPr>
            <w:r w:rsidRPr="003F7F45">
              <w:rPr>
                <w:rFonts w:ascii="Times New Roman" w:hAnsi="Times New Roman" w:cs="Times New Roman"/>
              </w:rPr>
              <w:t>16.5</w:t>
            </w:r>
          </w:p>
        </w:tc>
        <w:tc>
          <w:tcPr>
            <w:tcW w:w="1761" w:type="dxa"/>
            <w:tcBorders>
              <w:top w:val="nil"/>
              <w:left w:val="nil"/>
              <w:bottom w:val="nil"/>
            </w:tcBorders>
            <w:vAlign w:val="center"/>
          </w:tcPr>
          <w:p w:rsidR="00C66A38" w:rsidRPr="003F7F45" w:rsidRDefault="00C66A38" w:rsidP="00816146">
            <w:pPr>
              <w:jc w:val="center"/>
              <w:rPr>
                <w:rFonts w:ascii="Times New Roman" w:hAnsi="Times New Roman" w:cs="Times New Roman"/>
              </w:rPr>
            </w:pPr>
            <w:r w:rsidRPr="003F7F45">
              <w:rPr>
                <w:rFonts w:ascii="Times New Roman" w:hAnsi="Times New Roman" w:cs="Times New Roman"/>
              </w:rPr>
              <w:t>11.6</w:t>
            </w:r>
          </w:p>
        </w:tc>
      </w:tr>
      <w:tr w:rsidR="00C66A38" w:rsidRPr="003F7F45" w:rsidTr="00816146">
        <w:trPr>
          <w:trHeight w:val="177"/>
        </w:trPr>
        <w:tc>
          <w:tcPr>
            <w:tcW w:w="2352" w:type="dxa"/>
            <w:vMerge/>
            <w:tcBorders>
              <w:top w:val="nil"/>
              <w:bottom w:val="nil"/>
              <w:right w:val="nil"/>
            </w:tcBorders>
          </w:tcPr>
          <w:p w:rsidR="00C66A38" w:rsidRPr="003F7F45" w:rsidRDefault="00C66A38" w:rsidP="00816146">
            <w:pPr>
              <w:rPr>
                <w:rFonts w:ascii="Times New Roman" w:hAnsi="Times New Roman" w:cs="Times New Roman"/>
              </w:rPr>
            </w:pPr>
          </w:p>
        </w:tc>
        <w:tc>
          <w:tcPr>
            <w:tcW w:w="2352" w:type="dxa"/>
            <w:tcBorders>
              <w:top w:val="nil"/>
              <w:left w:val="nil"/>
              <w:bottom w:val="nil"/>
              <w:right w:val="nil"/>
            </w:tcBorders>
            <w:vAlign w:val="center"/>
          </w:tcPr>
          <w:p w:rsidR="00C66A38" w:rsidRPr="003F7F45" w:rsidRDefault="00C66A38" w:rsidP="00816146">
            <w:pPr>
              <w:jc w:val="right"/>
              <w:rPr>
                <w:rFonts w:ascii="Times New Roman" w:hAnsi="Times New Roman" w:cs="Times New Roman"/>
              </w:rPr>
            </w:pPr>
            <w:r w:rsidRPr="003F7F45">
              <w:rPr>
                <w:rFonts w:ascii="Times New Roman" w:hAnsi="Times New Roman" w:cs="Times New Roman"/>
              </w:rPr>
              <w:t>Moderate (4-6)</w:t>
            </w:r>
          </w:p>
        </w:tc>
        <w:tc>
          <w:tcPr>
            <w:tcW w:w="1711" w:type="dxa"/>
            <w:tcBorders>
              <w:top w:val="nil"/>
              <w:left w:val="nil"/>
              <w:bottom w:val="nil"/>
              <w:right w:val="nil"/>
            </w:tcBorders>
            <w:vAlign w:val="center"/>
          </w:tcPr>
          <w:p w:rsidR="00C66A38" w:rsidRPr="003F7F45" w:rsidRDefault="00C66A38" w:rsidP="00816146">
            <w:pPr>
              <w:jc w:val="center"/>
              <w:rPr>
                <w:rFonts w:ascii="Times New Roman" w:hAnsi="Times New Roman" w:cs="Times New Roman"/>
              </w:rPr>
            </w:pPr>
            <w:r w:rsidRPr="003F7F45">
              <w:rPr>
                <w:rFonts w:ascii="Times New Roman" w:hAnsi="Times New Roman" w:cs="Times New Roman"/>
              </w:rPr>
              <w:t>1.6</w:t>
            </w:r>
          </w:p>
        </w:tc>
        <w:tc>
          <w:tcPr>
            <w:tcW w:w="1604" w:type="dxa"/>
            <w:tcBorders>
              <w:top w:val="nil"/>
              <w:left w:val="nil"/>
              <w:bottom w:val="nil"/>
              <w:right w:val="nil"/>
            </w:tcBorders>
            <w:vAlign w:val="center"/>
          </w:tcPr>
          <w:p w:rsidR="00C66A38" w:rsidRPr="003F7F45" w:rsidRDefault="00C66A38" w:rsidP="00816146">
            <w:pPr>
              <w:jc w:val="center"/>
              <w:rPr>
                <w:rFonts w:ascii="Times New Roman" w:hAnsi="Times New Roman" w:cs="Times New Roman"/>
              </w:rPr>
            </w:pPr>
            <w:r w:rsidRPr="003F7F45">
              <w:rPr>
                <w:rFonts w:ascii="Times New Roman" w:hAnsi="Times New Roman" w:cs="Times New Roman"/>
              </w:rPr>
              <w:t>0.0</w:t>
            </w:r>
          </w:p>
        </w:tc>
        <w:tc>
          <w:tcPr>
            <w:tcW w:w="1761" w:type="dxa"/>
            <w:tcBorders>
              <w:top w:val="nil"/>
              <w:left w:val="nil"/>
              <w:bottom w:val="nil"/>
            </w:tcBorders>
            <w:vAlign w:val="center"/>
          </w:tcPr>
          <w:p w:rsidR="00C66A38" w:rsidRPr="003F7F45" w:rsidRDefault="00C66A38" w:rsidP="00816146">
            <w:pPr>
              <w:jc w:val="center"/>
              <w:rPr>
                <w:rFonts w:ascii="Times New Roman" w:hAnsi="Times New Roman" w:cs="Times New Roman"/>
              </w:rPr>
            </w:pPr>
            <w:r w:rsidRPr="003F7F45">
              <w:rPr>
                <w:rFonts w:ascii="Times New Roman" w:hAnsi="Times New Roman" w:cs="Times New Roman"/>
              </w:rPr>
              <w:t>0.0</w:t>
            </w:r>
          </w:p>
        </w:tc>
      </w:tr>
      <w:tr w:rsidR="00C66A38" w:rsidRPr="003F7F45" w:rsidTr="00816146">
        <w:trPr>
          <w:trHeight w:val="177"/>
        </w:trPr>
        <w:tc>
          <w:tcPr>
            <w:tcW w:w="2352" w:type="dxa"/>
            <w:vMerge/>
            <w:tcBorders>
              <w:top w:val="nil"/>
              <w:bottom w:val="nil"/>
              <w:right w:val="nil"/>
            </w:tcBorders>
          </w:tcPr>
          <w:p w:rsidR="00C66A38" w:rsidRPr="003F7F45" w:rsidRDefault="00C66A38" w:rsidP="00816146">
            <w:pPr>
              <w:rPr>
                <w:rFonts w:ascii="Times New Roman" w:hAnsi="Times New Roman" w:cs="Times New Roman"/>
              </w:rPr>
            </w:pPr>
          </w:p>
        </w:tc>
        <w:tc>
          <w:tcPr>
            <w:tcW w:w="2352" w:type="dxa"/>
            <w:tcBorders>
              <w:top w:val="nil"/>
              <w:left w:val="nil"/>
              <w:bottom w:val="nil"/>
              <w:right w:val="nil"/>
            </w:tcBorders>
            <w:vAlign w:val="center"/>
          </w:tcPr>
          <w:p w:rsidR="00C66A38" w:rsidRPr="003F7F45" w:rsidRDefault="00C66A38" w:rsidP="00816146">
            <w:pPr>
              <w:jc w:val="right"/>
              <w:rPr>
                <w:rFonts w:ascii="Times New Roman" w:hAnsi="Times New Roman" w:cs="Times New Roman"/>
              </w:rPr>
            </w:pPr>
            <w:r w:rsidRPr="003F7F45">
              <w:rPr>
                <w:rFonts w:ascii="Times New Roman" w:hAnsi="Times New Roman" w:cs="Times New Roman"/>
              </w:rPr>
              <w:t>Strong (7-9)</w:t>
            </w:r>
          </w:p>
        </w:tc>
        <w:tc>
          <w:tcPr>
            <w:tcW w:w="1711" w:type="dxa"/>
            <w:tcBorders>
              <w:top w:val="nil"/>
              <w:left w:val="nil"/>
              <w:bottom w:val="nil"/>
              <w:right w:val="nil"/>
            </w:tcBorders>
            <w:vAlign w:val="center"/>
          </w:tcPr>
          <w:p w:rsidR="00C66A38" w:rsidRPr="003F7F45" w:rsidRDefault="00C66A38" w:rsidP="00816146">
            <w:pPr>
              <w:jc w:val="center"/>
              <w:rPr>
                <w:rFonts w:ascii="Times New Roman" w:hAnsi="Times New Roman" w:cs="Times New Roman"/>
              </w:rPr>
            </w:pPr>
            <w:r w:rsidRPr="003F7F45">
              <w:rPr>
                <w:rFonts w:ascii="Times New Roman" w:hAnsi="Times New Roman" w:cs="Times New Roman"/>
              </w:rPr>
              <w:t>0.0</w:t>
            </w:r>
          </w:p>
        </w:tc>
        <w:tc>
          <w:tcPr>
            <w:tcW w:w="1604" w:type="dxa"/>
            <w:tcBorders>
              <w:top w:val="nil"/>
              <w:left w:val="nil"/>
              <w:bottom w:val="nil"/>
              <w:right w:val="nil"/>
            </w:tcBorders>
            <w:vAlign w:val="center"/>
          </w:tcPr>
          <w:p w:rsidR="00C66A38" w:rsidRPr="003F7F45" w:rsidRDefault="00C66A38" w:rsidP="00816146">
            <w:pPr>
              <w:jc w:val="center"/>
              <w:rPr>
                <w:rFonts w:ascii="Times New Roman" w:hAnsi="Times New Roman" w:cs="Times New Roman"/>
              </w:rPr>
            </w:pPr>
            <w:r w:rsidRPr="003F7F45">
              <w:rPr>
                <w:rFonts w:ascii="Times New Roman" w:hAnsi="Times New Roman" w:cs="Times New Roman"/>
              </w:rPr>
              <w:t>0.0</w:t>
            </w:r>
          </w:p>
        </w:tc>
        <w:tc>
          <w:tcPr>
            <w:tcW w:w="1761" w:type="dxa"/>
            <w:tcBorders>
              <w:top w:val="nil"/>
              <w:left w:val="nil"/>
              <w:bottom w:val="nil"/>
            </w:tcBorders>
            <w:vAlign w:val="center"/>
          </w:tcPr>
          <w:p w:rsidR="00C66A38" w:rsidRPr="003F7F45" w:rsidRDefault="00C66A38" w:rsidP="00816146">
            <w:pPr>
              <w:jc w:val="center"/>
              <w:rPr>
                <w:rFonts w:ascii="Times New Roman" w:hAnsi="Times New Roman" w:cs="Times New Roman"/>
              </w:rPr>
            </w:pPr>
            <w:r w:rsidRPr="003F7F45">
              <w:rPr>
                <w:rFonts w:ascii="Times New Roman" w:hAnsi="Times New Roman" w:cs="Times New Roman"/>
              </w:rPr>
              <w:t>0.0</w:t>
            </w:r>
          </w:p>
        </w:tc>
      </w:tr>
      <w:tr w:rsidR="00C66A38" w:rsidRPr="003F7F45" w:rsidTr="00816146">
        <w:trPr>
          <w:trHeight w:val="177"/>
        </w:trPr>
        <w:tc>
          <w:tcPr>
            <w:tcW w:w="2352" w:type="dxa"/>
            <w:vMerge/>
            <w:tcBorders>
              <w:top w:val="nil"/>
              <w:bottom w:val="single" w:sz="4" w:space="0" w:color="auto"/>
              <w:right w:val="nil"/>
            </w:tcBorders>
          </w:tcPr>
          <w:p w:rsidR="00C66A38" w:rsidRPr="003F7F45" w:rsidRDefault="00C66A38" w:rsidP="00816146">
            <w:pPr>
              <w:rPr>
                <w:rFonts w:ascii="Times New Roman" w:hAnsi="Times New Roman" w:cs="Times New Roman"/>
              </w:rPr>
            </w:pPr>
          </w:p>
        </w:tc>
        <w:tc>
          <w:tcPr>
            <w:tcW w:w="2352" w:type="dxa"/>
            <w:tcBorders>
              <w:top w:val="nil"/>
              <w:left w:val="nil"/>
              <w:bottom w:val="single" w:sz="4" w:space="0" w:color="auto"/>
              <w:right w:val="nil"/>
            </w:tcBorders>
            <w:vAlign w:val="center"/>
          </w:tcPr>
          <w:p w:rsidR="00C66A38" w:rsidRPr="003F7F45" w:rsidRDefault="00C66A38" w:rsidP="00816146">
            <w:pPr>
              <w:jc w:val="right"/>
              <w:rPr>
                <w:rFonts w:ascii="Times New Roman" w:hAnsi="Times New Roman" w:cs="Times New Roman"/>
              </w:rPr>
            </w:pPr>
            <w:r w:rsidRPr="003F7F45">
              <w:rPr>
                <w:rFonts w:ascii="Times New Roman" w:hAnsi="Times New Roman" w:cs="Times New Roman"/>
              </w:rPr>
              <w:t>Very Strong (10-15)</w:t>
            </w:r>
          </w:p>
        </w:tc>
        <w:tc>
          <w:tcPr>
            <w:tcW w:w="1711" w:type="dxa"/>
            <w:tcBorders>
              <w:top w:val="nil"/>
              <w:left w:val="nil"/>
              <w:bottom w:val="single" w:sz="4" w:space="0" w:color="auto"/>
              <w:right w:val="nil"/>
            </w:tcBorders>
            <w:vAlign w:val="center"/>
          </w:tcPr>
          <w:p w:rsidR="00C66A38" w:rsidRPr="003F7F45" w:rsidRDefault="00C66A38" w:rsidP="00816146">
            <w:pPr>
              <w:jc w:val="center"/>
              <w:rPr>
                <w:rFonts w:ascii="Times New Roman" w:hAnsi="Times New Roman" w:cs="Times New Roman"/>
              </w:rPr>
            </w:pPr>
            <w:r w:rsidRPr="003F7F45">
              <w:rPr>
                <w:rFonts w:ascii="Times New Roman" w:hAnsi="Times New Roman" w:cs="Times New Roman"/>
              </w:rPr>
              <w:t>0.0</w:t>
            </w:r>
          </w:p>
        </w:tc>
        <w:tc>
          <w:tcPr>
            <w:tcW w:w="1604" w:type="dxa"/>
            <w:tcBorders>
              <w:top w:val="nil"/>
              <w:left w:val="nil"/>
              <w:bottom w:val="single" w:sz="4" w:space="0" w:color="auto"/>
              <w:right w:val="nil"/>
            </w:tcBorders>
            <w:vAlign w:val="center"/>
          </w:tcPr>
          <w:p w:rsidR="00C66A38" w:rsidRPr="003F7F45" w:rsidRDefault="00C66A38" w:rsidP="00816146">
            <w:pPr>
              <w:jc w:val="center"/>
              <w:rPr>
                <w:rFonts w:ascii="Times New Roman" w:hAnsi="Times New Roman" w:cs="Times New Roman"/>
              </w:rPr>
            </w:pPr>
            <w:r w:rsidRPr="003F7F45">
              <w:rPr>
                <w:rFonts w:ascii="Times New Roman" w:hAnsi="Times New Roman" w:cs="Times New Roman"/>
              </w:rPr>
              <w:t>0.0</w:t>
            </w:r>
          </w:p>
        </w:tc>
        <w:tc>
          <w:tcPr>
            <w:tcW w:w="1761" w:type="dxa"/>
            <w:tcBorders>
              <w:top w:val="nil"/>
              <w:left w:val="nil"/>
              <w:bottom w:val="single" w:sz="4" w:space="0" w:color="auto"/>
            </w:tcBorders>
            <w:vAlign w:val="center"/>
          </w:tcPr>
          <w:p w:rsidR="00C66A38" w:rsidRPr="003F7F45" w:rsidRDefault="00C66A38" w:rsidP="00816146">
            <w:pPr>
              <w:jc w:val="center"/>
              <w:rPr>
                <w:rFonts w:ascii="Times New Roman" w:hAnsi="Times New Roman" w:cs="Times New Roman"/>
              </w:rPr>
            </w:pPr>
            <w:r w:rsidRPr="003F7F45">
              <w:rPr>
                <w:rFonts w:ascii="Times New Roman" w:hAnsi="Times New Roman" w:cs="Times New Roman"/>
              </w:rPr>
              <w:t>0.0</w:t>
            </w:r>
          </w:p>
        </w:tc>
      </w:tr>
      <w:tr w:rsidR="00C66A38" w:rsidRPr="003F7F45" w:rsidTr="00816146">
        <w:trPr>
          <w:trHeight w:val="312"/>
        </w:trPr>
        <w:tc>
          <w:tcPr>
            <w:tcW w:w="2352" w:type="dxa"/>
            <w:tcBorders>
              <w:bottom w:val="single" w:sz="4" w:space="0" w:color="auto"/>
              <w:right w:val="nil"/>
            </w:tcBorders>
          </w:tcPr>
          <w:p w:rsidR="00C66A38" w:rsidRPr="003F7F45" w:rsidRDefault="00C66A38" w:rsidP="00816146">
            <w:pPr>
              <w:rPr>
                <w:rFonts w:ascii="Times New Roman" w:hAnsi="Times New Roman" w:cs="Times New Roman"/>
              </w:rPr>
            </w:pPr>
          </w:p>
        </w:tc>
        <w:tc>
          <w:tcPr>
            <w:tcW w:w="2352" w:type="dxa"/>
            <w:tcBorders>
              <w:left w:val="nil"/>
              <w:bottom w:val="single" w:sz="4" w:space="0" w:color="auto"/>
              <w:right w:val="nil"/>
            </w:tcBorders>
            <w:vAlign w:val="center"/>
          </w:tcPr>
          <w:p w:rsidR="00C66A38" w:rsidRPr="003F7F45" w:rsidRDefault="00C66A38" w:rsidP="00816146">
            <w:pPr>
              <w:jc w:val="right"/>
              <w:rPr>
                <w:rFonts w:ascii="Times New Roman" w:hAnsi="Times New Roman" w:cs="Times New Roman"/>
              </w:rPr>
            </w:pPr>
          </w:p>
        </w:tc>
        <w:tc>
          <w:tcPr>
            <w:tcW w:w="1711" w:type="dxa"/>
            <w:tcBorders>
              <w:left w:val="nil"/>
              <w:bottom w:val="single" w:sz="4" w:space="0" w:color="auto"/>
              <w:right w:val="nil"/>
            </w:tcBorders>
            <w:vAlign w:val="center"/>
          </w:tcPr>
          <w:p w:rsidR="00C66A38" w:rsidRPr="003F7F45" w:rsidRDefault="00C66A38" w:rsidP="00816146">
            <w:pPr>
              <w:jc w:val="center"/>
              <w:rPr>
                <w:rFonts w:ascii="Times New Roman" w:hAnsi="Times New Roman" w:cs="Times New Roman"/>
                <w:i/>
              </w:rPr>
            </w:pPr>
            <w:r w:rsidRPr="003F7F45">
              <w:rPr>
                <w:rFonts w:ascii="Times New Roman" w:hAnsi="Times New Roman" w:cs="Times New Roman"/>
                <w:i/>
              </w:rPr>
              <w:t>(N=63)</w:t>
            </w:r>
          </w:p>
        </w:tc>
        <w:tc>
          <w:tcPr>
            <w:tcW w:w="1604" w:type="dxa"/>
            <w:tcBorders>
              <w:left w:val="nil"/>
              <w:bottom w:val="single" w:sz="4" w:space="0" w:color="auto"/>
              <w:right w:val="nil"/>
            </w:tcBorders>
            <w:vAlign w:val="center"/>
          </w:tcPr>
          <w:p w:rsidR="00C66A38" w:rsidRPr="003F7F45" w:rsidRDefault="00C66A38" w:rsidP="00816146">
            <w:pPr>
              <w:jc w:val="center"/>
              <w:rPr>
                <w:rFonts w:ascii="Times New Roman" w:hAnsi="Times New Roman" w:cs="Times New Roman"/>
                <w:i/>
              </w:rPr>
            </w:pPr>
            <w:r w:rsidRPr="003F7F45">
              <w:rPr>
                <w:rFonts w:ascii="Times New Roman" w:hAnsi="Times New Roman" w:cs="Times New Roman"/>
                <w:i/>
              </w:rPr>
              <w:t>(N=57)</w:t>
            </w:r>
          </w:p>
        </w:tc>
        <w:tc>
          <w:tcPr>
            <w:tcW w:w="1761" w:type="dxa"/>
            <w:tcBorders>
              <w:left w:val="nil"/>
              <w:bottom w:val="single" w:sz="4" w:space="0" w:color="auto"/>
            </w:tcBorders>
            <w:vAlign w:val="center"/>
          </w:tcPr>
          <w:p w:rsidR="00C66A38" w:rsidRPr="003F7F45" w:rsidRDefault="00C66A38" w:rsidP="00816146">
            <w:pPr>
              <w:jc w:val="center"/>
              <w:rPr>
                <w:rFonts w:ascii="Times New Roman" w:hAnsi="Times New Roman" w:cs="Times New Roman"/>
                <w:i/>
              </w:rPr>
            </w:pPr>
            <w:r w:rsidRPr="003F7F45">
              <w:rPr>
                <w:rFonts w:ascii="Times New Roman" w:hAnsi="Times New Roman" w:cs="Times New Roman"/>
                <w:i/>
              </w:rPr>
              <w:t>(N=35)</w:t>
            </w:r>
          </w:p>
        </w:tc>
      </w:tr>
      <w:tr w:rsidR="00C66A38" w:rsidRPr="003F7F45" w:rsidTr="00816146">
        <w:trPr>
          <w:trHeight w:val="330"/>
        </w:trPr>
        <w:tc>
          <w:tcPr>
            <w:tcW w:w="2352" w:type="dxa"/>
            <w:vMerge w:val="restart"/>
            <w:tcBorders>
              <w:bottom w:val="nil"/>
              <w:right w:val="nil"/>
            </w:tcBorders>
            <w:vAlign w:val="center"/>
          </w:tcPr>
          <w:p w:rsidR="00C66A38" w:rsidRPr="003F7F45" w:rsidRDefault="00C66A38" w:rsidP="00816146">
            <w:pPr>
              <w:jc w:val="center"/>
              <w:rPr>
                <w:rFonts w:ascii="Times New Roman" w:hAnsi="Times New Roman" w:cs="Times New Roman"/>
              </w:rPr>
            </w:pPr>
            <w:r w:rsidRPr="003F7F45">
              <w:rPr>
                <w:rFonts w:ascii="Times New Roman" w:hAnsi="Times New Roman" w:cs="Times New Roman"/>
              </w:rPr>
              <w:t>Low (1-3)</w:t>
            </w:r>
          </w:p>
          <w:p w:rsidR="00C66A38" w:rsidRPr="003F7F45" w:rsidRDefault="00C66A38" w:rsidP="00816146">
            <w:pPr>
              <w:jc w:val="center"/>
              <w:rPr>
                <w:rFonts w:ascii="Times New Roman" w:hAnsi="Times New Roman" w:cs="Times New Roman"/>
              </w:rPr>
            </w:pPr>
            <w:r w:rsidRPr="003F7F45">
              <w:rPr>
                <w:rFonts w:ascii="Times New Roman" w:hAnsi="Times New Roman" w:cs="Times New Roman"/>
              </w:rPr>
              <w:t>N=63</w:t>
            </w:r>
          </w:p>
        </w:tc>
        <w:tc>
          <w:tcPr>
            <w:tcW w:w="2352" w:type="dxa"/>
            <w:tcBorders>
              <w:left w:val="nil"/>
              <w:bottom w:val="nil"/>
              <w:right w:val="nil"/>
            </w:tcBorders>
            <w:vAlign w:val="center"/>
          </w:tcPr>
          <w:p w:rsidR="00C66A38" w:rsidRPr="003F7F45" w:rsidRDefault="00C66A38" w:rsidP="00816146">
            <w:pPr>
              <w:jc w:val="right"/>
              <w:rPr>
                <w:rFonts w:ascii="Times New Roman" w:hAnsi="Times New Roman" w:cs="Times New Roman"/>
              </w:rPr>
            </w:pPr>
            <w:r w:rsidRPr="003F7F45">
              <w:rPr>
                <w:rFonts w:ascii="Times New Roman" w:hAnsi="Times New Roman" w:cs="Times New Roman"/>
              </w:rPr>
              <w:t>No Evidence (0)</w:t>
            </w:r>
          </w:p>
        </w:tc>
        <w:tc>
          <w:tcPr>
            <w:tcW w:w="1711" w:type="dxa"/>
            <w:tcBorders>
              <w:left w:val="nil"/>
              <w:bottom w:val="nil"/>
              <w:right w:val="nil"/>
            </w:tcBorders>
            <w:vAlign w:val="center"/>
          </w:tcPr>
          <w:p w:rsidR="00C66A38" w:rsidRPr="003F7F45" w:rsidRDefault="00C66A38" w:rsidP="00816146">
            <w:pPr>
              <w:jc w:val="center"/>
              <w:rPr>
                <w:rFonts w:ascii="Times New Roman" w:hAnsi="Times New Roman" w:cs="Times New Roman"/>
              </w:rPr>
            </w:pPr>
            <w:r w:rsidRPr="003F7F45">
              <w:rPr>
                <w:rFonts w:ascii="Times New Roman" w:hAnsi="Times New Roman" w:cs="Times New Roman"/>
              </w:rPr>
              <w:t>68.3</w:t>
            </w:r>
          </w:p>
        </w:tc>
        <w:tc>
          <w:tcPr>
            <w:tcW w:w="1604" w:type="dxa"/>
            <w:tcBorders>
              <w:left w:val="nil"/>
              <w:bottom w:val="nil"/>
              <w:right w:val="nil"/>
            </w:tcBorders>
            <w:vAlign w:val="center"/>
          </w:tcPr>
          <w:p w:rsidR="00C66A38" w:rsidRPr="003F7F45" w:rsidRDefault="00C66A38" w:rsidP="00816146">
            <w:pPr>
              <w:jc w:val="center"/>
              <w:rPr>
                <w:rFonts w:ascii="Times New Roman" w:hAnsi="Times New Roman" w:cs="Times New Roman"/>
              </w:rPr>
            </w:pPr>
            <w:r w:rsidRPr="003F7F45">
              <w:rPr>
                <w:rFonts w:ascii="Times New Roman" w:hAnsi="Times New Roman" w:cs="Times New Roman"/>
              </w:rPr>
              <w:t>56.1</w:t>
            </w:r>
          </w:p>
        </w:tc>
        <w:tc>
          <w:tcPr>
            <w:tcW w:w="1761" w:type="dxa"/>
            <w:tcBorders>
              <w:left w:val="nil"/>
              <w:bottom w:val="nil"/>
            </w:tcBorders>
            <w:vAlign w:val="center"/>
          </w:tcPr>
          <w:p w:rsidR="00C66A38" w:rsidRPr="003F7F45" w:rsidRDefault="00C66A38" w:rsidP="00816146">
            <w:pPr>
              <w:jc w:val="center"/>
              <w:rPr>
                <w:rFonts w:ascii="Times New Roman" w:hAnsi="Times New Roman" w:cs="Times New Roman"/>
              </w:rPr>
            </w:pPr>
            <w:r w:rsidRPr="003F7F45">
              <w:rPr>
                <w:rFonts w:ascii="Times New Roman" w:hAnsi="Times New Roman" w:cs="Times New Roman"/>
              </w:rPr>
              <w:t>54.3</w:t>
            </w:r>
          </w:p>
        </w:tc>
      </w:tr>
      <w:tr w:rsidR="00C66A38" w:rsidRPr="003F7F45" w:rsidTr="00816146">
        <w:trPr>
          <w:trHeight w:val="177"/>
        </w:trPr>
        <w:tc>
          <w:tcPr>
            <w:tcW w:w="2352" w:type="dxa"/>
            <w:vMerge/>
            <w:tcBorders>
              <w:top w:val="nil"/>
              <w:bottom w:val="nil"/>
              <w:right w:val="nil"/>
            </w:tcBorders>
          </w:tcPr>
          <w:p w:rsidR="00C66A38" w:rsidRPr="003F7F45" w:rsidRDefault="00C66A38" w:rsidP="00816146">
            <w:pPr>
              <w:rPr>
                <w:rFonts w:ascii="Times New Roman" w:hAnsi="Times New Roman" w:cs="Times New Roman"/>
              </w:rPr>
            </w:pPr>
          </w:p>
        </w:tc>
        <w:tc>
          <w:tcPr>
            <w:tcW w:w="2352" w:type="dxa"/>
            <w:tcBorders>
              <w:top w:val="nil"/>
              <w:left w:val="nil"/>
              <w:bottom w:val="nil"/>
              <w:right w:val="nil"/>
            </w:tcBorders>
            <w:vAlign w:val="center"/>
          </w:tcPr>
          <w:p w:rsidR="00C66A38" w:rsidRPr="003F7F45" w:rsidRDefault="00C66A38" w:rsidP="00816146">
            <w:pPr>
              <w:jc w:val="right"/>
              <w:rPr>
                <w:rFonts w:ascii="Times New Roman" w:hAnsi="Times New Roman" w:cs="Times New Roman"/>
              </w:rPr>
            </w:pPr>
            <w:r w:rsidRPr="003F7F45">
              <w:rPr>
                <w:rFonts w:ascii="Times New Roman" w:hAnsi="Times New Roman" w:cs="Times New Roman"/>
              </w:rPr>
              <w:t>Low (1-3)</w:t>
            </w:r>
          </w:p>
        </w:tc>
        <w:tc>
          <w:tcPr>
            <w:tcW w:w="1711" w:type="dxa"/>
            <w:tcBorders>
              <w:top w:val="nil"/>
              <w:left w:val="nil"/>
              <w:bottom w:val="nil"/>
              <w:right w:val="nil"/>
            </w:tcBorders>
            <w:vAlign w:val="center"/>
          </w:tcPr>
          <w:p w:rsidR="00C66A38" w:rsidRPr="003F7F45" w:rsidRDefault="00C66A38" w:rsidP="00816146">
            <w:pPr>
              <w:jc w:val="center"/>
              <w:rPr>
                <w:rFonts w:ascii="Times New Roman" w:hAnsi="Times New Roman" w:cs="Times New Roman"/>
              </w:rPr>
            </w:pPr>
            <w:r w:rsidRPr="003F7F45">
              <w:rPr>
                <w:rFonts w:ascii="Times New Roman" w:hAnsi="Times New Roman" w:cs="Times New Roman"/>
              </w:rPr>
              <w:t>28.6</w:t>
            </w:r>
          </w:p>
        </w:tc>
        <w:tc>
          <w:tcPr>
            <w:tcW w:w="1604" w:type="dxa"/>
            <w:tcBorders>
              <w:top w:val="nil"/>
              <w:left w:val="nil"/>
              <w:bottom w:val="nil"/>
              <w:right w:val="nil"/>
            </w:tcBorders>
            <w:vAlign w:val="center"/>
          </w:tcPr>
          <w:p w:rsidR="00C66A38" w:rsidRPr="003F7F45" w:rsidRDefault="00C66A38" w:rsidP="00816146">
            <w:pPr>
              <w:jc w:val="center"/>
              <w:rPr>
                <w:rFonts w:ascii="Times New Roman" w:hAnsi="Times New Roman" w:cs="Times New Roman"/>
              </w:rPr>
            </w:pPr>
            <w:r w:rsidRPr="003F7F45">
              <w:rPr>
                <w:rFonts w:ascii="Times New Roman" w:hAnsi="Times New Roman" w:cs="Times New Roman"/>
              </w:rPr>
              <w:t>33.3</w:t>
            </w:r>
          </w:p>
        </w:tc>
        <w:tc>
          <w:tcPr>
            <w:tcW w:w="1761" w:type="dxa"/>
            <w:tcBorders>
              <w:top w:val="nil"/>
              <w:left w:val="nil"/>
              <w:bottom w:val="nil"/>
            </w:tcBorders>
            <w:vAlign w:val="center"/>
          </w:tcPr>
          <w:p w:rsidR="00C66A38" w:rsidRPr="003F7F45" w:rsidRDefault="00C66A38" w:rsidP="00816146">
            <w:pPr>
              <w:jc w:val="center"/>
              <w:rPr>
                <w:rFonts w:ascii="Times New Roman" w:hAnsi="Times New Roman" w:cs="Times New Roman"/>
              </w:rPr>
            </w:pPr>
            <w:r w:rsidRPr="003F7F45">
              <w:rPr>
                <w:rFonts w:ascii="Times New Roman" w:hAnsi="Times New Roman" w:cs="Times New Roman"/>
              </w:rPr>
              <w:t>42.9</w:t>
            </w:r>
          </w:p>
        </w:tc>
      </w:tr>
      <w:tr w:rsidR="00C66A38" w:rsidRPr="003F7F45" w:rsidTr="00816146">
        <w:trPr>
          <w:trHeight w:val="177"/>
        </w:trPr>
        <w:tc>
          <w:tcPr>
            <w:tcW w:w="2352" w:type="dxa"/>
            <w:vMerge/>
            <w:tcBorders>
              <w:top w:val="nil"/>
              <w:bottom w:val="nil"/>
              <w:right w:val="nil"/>
            </w:tcBorders>
          </w:tcPr>
          <w:p w:rsidR="00C66A38" w:rsidRPr="003F7F45" w:rsidRDefault="00C66A38" w:rsidP="00816146">
            <w:pPr>
              <w:rPr>
                <w:rFonts w:ascii="Times New Roman" w:hAnsi="Times New Roman" w:cs="Times New Roman"/>
              </w:rPr>
            </w:pPr>
          </w:p>
        </w:tc>
        <w:tc>
          <w:tcPr>
            <w:tcW w:w="2352" w:type="dxa"/>
            <w:tcBorders>
              <w:top w:val="nil"/>
              <w:left w:val="nil"/>
              <w:bottom w:val="nil"/>
              <w:right w:val="nil"/>
            </w:tcBorders>
            <w:vAlign w:val="center"/>
          </w:tcPr>
          <w:p w:rsidR="00C66A38" w:rsidRPr="003F7F45" w:rsidRDefault="00C66A38" w:rsidP="00816146">
            <w:pPr>
              <w:jc w:val="right"/>
              <w:rPr>
                <w:rFonts w:ascii="Times New Roman" w:hAnsi="Times New Roman" w:cs="Times New Roman"/>
              </w:rPr>
            </w:pPr>
            <w:r w:rsidRPr="003F7F45">
              <w:rPr>
                <w:rFonts w:ascii="Times New Roman" w:hAnsi="Times New Roman" w:cs="Times New Roman"/>
              </w:rPr>
              <w:t>Moderate (4-6)</w:t>
            </w:r>
          </w:p>
        </w:tc>
        <w:tc>
          <w:tcPr>
            <w:tcW w:w="1711" w:type="dxa"/>
            <w:tcBorders>
              <w:top w:val="nil"/>
              <w:left w:val="nil"/>
              <w:bottom w:val="nil"/>
              <w:right w:val="nil"/>
            </w:tcBorders>
            <w:vAlign w:val="center"/>
          </w:tcPr>
          <w:p w:rsidR="00C66A38" w:rsidRPr="003F7F45" w:rsidRDefault="00C66A38" w:rsidP="00816146">
            <w:pPr>
              <w:jc w:val="center"/>
              <w:rPr>
                <w:rFonts w:ascii="Times New Roman" w:hAnsi="Times New Roman" w:cs="Times New Roman"/>
              </w:rPr>
            </w:pPr>
            <w:r w:rsidRPr="003F7F45">
              <w:rPr>
                <w:rFonts w:ascii="Times New Roman" w:hAnsi="Times New Roman" w:cs="Times New Roman"/>
              </w:rPr>
              <w:t>3.2</w:t>
            </w:r>
          </w:p>
        </w:tc>
        <w:tc>
          <w:tcPr>
            <w:tcW w:w="1604" w:type="dxa"/>
            <w:tcBorders>
              <w:top w:val="nil"/>
              <w:left w:val="nil"/>
              <w:bottom w:val="nil"/>
              <w:right w:val="nil"/>
            </w:tcBorders>
            <w:vAlign w:val="center"/>
          </w:tcPr>
          <w:p w:rsidR="00C66A38" w:rsidRPr="003F7F45" w:rsidRDefault="00C66A38" w:rsidP="00816146">
            <w:pPr>
              <w:jc w:val="center"/>
              <w:rPr>
                <w:rFonts w:ascii="Times New Roman" w:hAnsi="Times New Roman" w:cs="Times New Roman"/>
              </w:rPr>
            </w:pPr>
            <w:r w:rsidRPr="003F7F45">
              <w:rPr>
                <w:rFonts w:ascii="Times New Roman" w:hAnsi="Times New Roman" w:cs="Times New Roman"/>
              </w:rPr>
              <w:t>8.8</w:t>
            </w:r>
          </w:p>
        </w:tc>
        <w:tc>
          <w:tcPr>
            <w:tcW w:w="1761" w:type="dxa"/>
            <w:tcBorders>
              <w:top w:val="nil"/>
              <w:left w:val="nil"/>
              <w:bottom w:val="nil"/>
            </w:tcBorders>
            <w:vAlign w:val="center"/>
          </w:tcPr>
          <w:p w:rsidR="00C66A38" w:rsidRPr="003F7F45" w:rsidRDefault="00C66A38" w:rsidP="00816146">
            <w:pPr>
              <w:jc w:val="center"/>
              <w:rPr>
                <w:rFonts w:ascii="Times New Roman" w:hAnsi="Times New Roman" w:cs="Times New Roman"/>
              </w:rPr>
            </w:pPr>
            <w:r w:rsidRPr="003F7F45">
              <w:rPr>
                <w:rFonts w:ascii="Times New Roman" w:hAnsi="Times New Roman" w:cs="Times New Roman"/>
              </w:rPr>
              <w:t>2.9</w:t>
            </w:r>
          </w:p>
        </w:tc>
      </w:tr>
      <w:tr w:rsidR="00C66A38" w:rsidRPr="003F7F45" w:rsidTr="00816146">
        <w:trPr>
          <w:trHeight w:val="177"/>
        </w:trPr>
        <w:tc>
          <w:tcPr>
            <w:tcW w:w="2352" w:type="dxa"/>
            <w:vMerge/>
            <w:tcBorders>
              <w:top w:val="nil"/>
              <w:bottom w:val="nil"/>
              <w:right w:val="nil"/>
            </w:tcBorders>
          </w:tcPr>
          <w:p w:rsidR="00C66A38" w:rsidRPr="003F7F45" w:rsidRDefault="00C66A38" w:rsidP="00816146">
            <w:pPr>
              <w:rPr>
                <w:rFonts w:ascii="Times New Roman" w:hAnsi="Times New Roman" w:cs="Times New Roman"/>
              </w:rPr>
            </w:pPr>
          </w:p>
        </w:tc>
        <w:tc>
          <w:tcPr>
            <w:tcW w:w="2352" w:type="dxa"/>
            <w:tcBorders>
              <w:top w:val="nil"/>
              <w:left w:val="nil"/>
              <w:bottom w:val="nil"/>
              <w:right w:val="nil"/>
            </w:tcBorders>
            <w:vAlign w:val="center"/>
          </w:tcPr>
          <w:p w:rsidR="00C66A38" w:rsidRPr="003F7F45" w:rsidRDefault="00C66A38" w:rsidP="00816146">
            <w:pPr>
              <w:jc w:val="right"/>
              <w:rPr>
                <w:rFonts w:ascii="Times New Roman" w:hAnsi="Times New Roman" w:cs="Times New Roman"/>
              </w:rPr>
            </w:pPr>
            <w:r w:rsidRPr="003F7F45">
              <w:rPr>
                <w:rFonts w:ascii="Times New Roman" w:hAnsi="Times New Roman" w:cs="Times New Roman"/>
              </w:rPr>
              <w:t>Strong (7-9)</w:t>
            </w:r>
          </w:p>
        </w:tc>
        <w:tc>
          <w:tcPr>
            <w:tcW w:w="1711" w:type="dxa"/>
            <w:tcBorders>
              <w:top w:val="nil"/>
              <w:left w:val="nil"/>
              <w:bottom w:val="nil"/>
              <w:right w:val="nil"/>
            </w:tcBorders>
            <w:vAlign w:val="center"/>
          </w:tcPr>
          <w:p w:rsidR="00C66A38" w:rsidRPr="003F7F45" w:rsidRDefault="00C66A38" w:rsidP="00816146">
            <w:pPr>
              <w:jc w:val="center"/>
              <w:rPr>
                <w:rFonts w:ascii="Times New Roman" w:hAnsi="Times New Roman" w:cs="Times New Roman"/>
              </w:rPr>
            </w:pPr>
            <w:r w:rsidRPr="003F7F45">
              <w:rPr>
                <w:rFonts w:ascii="Times New Roman" w:hAnsi="Times New Roman" w:cs="Times New Roman"/>
              </w:rPr>
              <w:t>0.0</w:t>
            </w:r>
          </w:p>
        </w:tc>
        <w:tc>
          <w:tcPr>
            <w:tcW w:w="1604" w:type="dxa"/>
            <w:tcBorders>
              <w:top w:val="nil"/>
              <w:left w:val="nil"/>
              <w:bottom w:val="nil"/>
              <w:right w:val="nil"/>
            </w:tcBorders>
            <w:vAlign w:val="center"/>
          </w:tcPr>
          <w:p w:rsidR="00C66A38" w:rsidRPr="003F7F45" w:rsidRDefault="00C66A38" w:rsidP="00816146">
            <w:pPr>
              <w:jc w:val="center"/>
              <w:rPr>
                <w:rFonts w:ascii="Times New Roman" w:hAnsi="Times New Roman" w:cs="Times New Roman"/>
              </w:rPr>
            </w:pPr>
            <w:r w:rsidRPr="003F7F45">
              <w:rPr>
                <w:rFonts w:ascii="Times New Roman" w:hAnsi="Times New Roman" w:cs="Times New Roman"/>
              </w:rPr>
              <w:t>1.8</w:t>
            </w:r>
          </w:p>
        </w:tc>
        <w:tc>
          <w:tcPr>
            <w:tcW w:w="1761" w:type="dxa"/>
            <w:tcBorders>
              <w:top w:val="nil"/>
              <w:left w:val="nil"/>
              <w:bottom w:val="nil"/>
            </w:tcBorders>
            <w:vAlign w:val="center"/>
          </w:tcPr>
          <w:p w:rsidR="00C66A38" w:rsidRPr="003F7F45" w:rsidRDefault="00C66A38" w:rsidP="00816146">
            <w:pPr>
              <w:jc w:val="center"/>
              <w:rPr>
                <w:rFonts w:ascii="Times New Roman" w:hAnsi="Times New Roman" w:cs="Times New Roman"/>
              </w:rPr>
            </w:pPr>
            <w:r w:rsidRPr="003F7F45">
              <w:rPr>
                <w:rFonts w:ascii="Times New Roman" w:hAnsi="Times New Roman" w:cs="Times New Roman"/>
              </w:rPr>
              <w:t>0.0</w:t>
            </w:r>
          </w:p>
        </w:tc>
      </w:tr>
      <w:tr w:rsidR="00C66A38" w:rsidRPr="003F7F45" w:rsidTr="00816146">
        <w:trPr>
          <w:trHeight w:val="177"/>
        </w:trPr>
        <w:tc>
          <w:tcPr>
            <w:tcW w:w="2352" w:type="dxa"/>
            <w:vMerge/>
            <w:tcBorders>
              <w:top w:val="nil"/>
              <w:right w:val="nil"/>
            </w:tcBorders>
          </w:tcPr>
          <w:p w:rsidR="00C66A38" w:rsidRPr="003F7F45" w:rsidRDefault="00C66A38" w:rsidP="00816146">
            <w:pPr>
              <w:rPr>
                <w:rFonts w:ascii="Times New Roman" w:hAnsi="Times New Roman" w:cs="Times New Roman"/>
              </w:rPr>
            </w:pPr>
          </w:p>
        </w:tc>
        <w:tc>
          <w:tcPr>
            <w:tcW w:w="2352" w:type="dxa"/>
            <w:tcBorders>
              <w:top w:val="nil"/>
              <w:left w:val="nil"/>
              <w:right w:val="nil"/>
            </w:tcBorders>
            <w:vAlign w:val="center"/>
          </w:tcPr>
          <w:p w:rsidR="00C66A38" w:rsidRPr="003F7F45" w:rsidRDefault="00C66A38" w:rsidP="00816146">
            <w:pPr>
              <w:jc w:val="right"/>
              <w:rPr>
                <w:rFonts w:ascii="Times New Roman" w:hAnsi="Times New Roman" w:cs="Times New Roman"/>
              </w:rPr>
            </w:pPr>
            <w:r w:rsidRPr="003F7F45">
              <w:rPr>
                <w:rFonts w:ascii="Times New Roman" w:hAnsi="Times New Roman" w:cs="Times New Roman"/>
              </w:rPr>
              <w:t>Very Strong (10-15)</w:t>
            </w:r>
          </w:p>
        </w:tc>
        <w:tc>
          <w:tcPr>
            <w:tcW w:w="1711" w:type="dxa"/>
            <w:tcBorders>
              <w:top w:val="nil"/>
              <w:left w:val="nil"/>
              <w:right w:val="nil"/>
            </w:tcBorders>
            <w:vAlign w:val="center"/>
          </w:tcPr>
          <w:p w:rsidR="00C66A38" w:rsidRPr="003F7F45" w:rsidRDefault="00C66A38" w:rsidP="00816146">
            <w:pPr>
              <w:jc w:val="center"/>
              <w:rPr>
                <w:rFonts w:ascii="Times New Roman" w:hAnsi="Times New Roman" w:cs="Times New Roman"/>
              </w:rPr>
            </w:pPr>
            <w:r w:rsidRPr="003F7F45">
              <w:rPr>
                <w:rFonts w:ascii="Times New Roman" w:hAnsi="Times New Roman" w:cs="Times New Roman"/>
              </w:rPr>
              <w:t>0.0</w:t>
            </w:r>
          </w:p>
        </w:tc>
        <w:tc>
          <w:tcPr>
            <w:tcW w:w="1604" w:type="dxa"/>
            <w:tcBorders>
              <w:top w:val="nil"/>
              <w:left w:val="nil"/>
              <w:right w:val="nil"/>
            </w:tcBorders>
            <w:vAlign w:val="center"/>
          </w:tcPr>
          <w:p w:rsidR="00C66A38" w:rsidRPr="003F7F45" w:rsidRDefault="00C66A38" w:rsidP="00816146">
            <w:pPr>
              <w:jc w:val="center"/>
              <w:rPr>
                <w:rFonts w:ascii="Times New Roman" w:hAnsi="Times New Roman" w:cs="Times New Roman"/>
              </w:rPr>
            </w:pPr>
            <w:r w:rsidRPr="003F7F45">
              <w:rPr>
                <w:rFonts w:ascii="Times New Roman" w:hAnsi="Times New Roman" w:cs="Times New Roman"/>
              </w:rPr>
              <w:t>0.0</w:t>
            </w:r>
          </w:p>
        </w:tc>
        <w:tc>
          <w:tcPr>
            <w:tcW w:w="1761" w:type="dxa"/>
            <w:tcBorders>
              <w:top w:val="nil"/>
              <w:left w:val="nil"/>
            </w:tcBorders>
            <w:vAlign w:val="center"/>
          </w:tcPr>
          <w:p w:rsidR="00C66A38" w:rsidRPr="003F7F45" w:rsidRDefault="00C66A38" w:rsidP="00816146">
            <w:pPr>
              <w:jc w:val="center"/>
              <w:rPr>
                <w:rFonts w:ascii="Times New Roman" w:hAnsi="Times New Roman" w:cs="Times New Roman"/>
              </w:rPr>
            </w:pPr>
            <w:r w:rsidRPr="003F7F45">
              <w:rPr>
                <w:rFonts w:ascii="Times New Roman" w:hAnsi="Times New Roman" w:cs="Times New Roman"/>
              </w:rPr>
              <w:t>0.0</w:t>
            </w:r>
          </w:p>
        </w:tc>
      </w:tr>
    </w:tbl>
    <w:p w:rsidR="006B2C37" w:rsidRDefault="006B2C37" w:rsidP="00C66A38">
      <w:pPr>
        <w:spacing w:line="480" w:lineRule="auto"/>
        <w:jc w:val="center"/>
        <w:rPr>
          <w:rFonts w:ascii="Times New Roman" w:hAnsi="Times New Roman" w:cs="Times New Roman"/>
          <w:b/>
        </w:rPr>
      </w:pPr>
    </w:p>
    <w:p w:rsidR="00C66A38" w:rsidRPr="00835F7D" w:rsidRDefault="00C66A38" w:rsidP="00C66A38">
      <w:pPr>
        <w:spacing w:line="480" w:lineRule="auto"/>
        <w:jc w:val="center"/>
        <w:rPr>
          <w:rFonts w:ascii="Times New Roman" w:hAnsi="Times New Roman" w:cs="Times New Roman"/>
          <w:b/>
        </w:rPr>
      </w:pPr>
      <w:r w:rsidRPr="00835F7D">
        <w:rPr>
          <w:rFonts w:ascii="Times New Roman" w:hAnsi="Times New Roman" w:cs="Times New Roman"/>
          <w:b/>
        </w:rPr>
        <w:lastRenderedPageBreak/>
        <w:t>Appropriate Use of the Current DELTA Score</w:t>
      </w:r>
      <w:r>
        <w:rPr>
          <w:rFonts w:ascii="Times New Roman" w:hAnsi="Times New Roman" w:cs="Times New Roman"/>
          <w:b/>
        </w:rPr>
        <w:t xml:space="preserve"> (Supplemental)</w:t>
      </w:r>
    </w:p>
    <w:p w:rsidR="00C66A38" w:rsidRPr="00662D56" w:rsidRDefault="00C66A38" w:rsidP="00C66A38">
      <w:pPr>
        <w:spacing w:line="480" w:lineRule="auto"/>
        <w:rPr>
          <w:rFonts w:ascii="Times New Roman" w:hAnsi="Times New Roman" w:cs="Times New Roman"/>
        </w:rPr>
      </w:pPr>
      <w:r>
        <w:rPr>
          <w:rFonts w:ascii="Times New Roman" w:hAnsi="Times New Roman" w:cs="Times New Roman"/>
        </w:rPr>
        <w:t>The</w:t>
      </w:r>
      <w:r w:rsidRPr="00662D56">
        <w:rPr>
          <w:rFonts w:ascii="Times New Roman" w:hAnsi="Times New Roman" w:cs="Times New Roman"/>
        </w:rPr>
        <w:t xml:space="preserve"> DELTA score</w:t>
      </w:r>
      <w:r>
        <w:rPr>
          <w:rFonts w:ascii="Times New Roman" w:hAnsi="Times New Roman" w:cs="Times New Roman"/>
        </w:rPr>
        <w:t xml:space="preserve"> presented in this study</w:t>
      </w:r>
      <w:r w:rsidRPr="00662D56">
        <w:rPr>
          <w:rFonts w:ascii="Times New Roman" w:hAnsi="Times New Roman" w:cs="Times New Roman"/>
        </w:rPr>
        <w:t xml:space="preserve"> can only be used with white/Caucasian individuals</w:t>
      </w:r>
      <w:r>
        <w:rPr>
          <w:rFonts w:ascii="Times New Roman" w:hAnsi="Times New Roman" w:cs="Times New Roman"/>
        </w:rPr>
        <w:t xml:space="preserve"> due to the highly white/Caucasian ADNI cohort.  </w:t>
      </w:r>
      <w:r w:rsidRPr="00662D56">
        <w:rPr>
          <w:rFonts w:ascii="Times New Roman" w:hAnsi="Times New Roman" w:cs="Times New Roman"/>
        </w:rPr>
        <w:t>The neuropsychological test battery must mirror the tests administered in</w:t>
      </w:r>
      <w:r>
        <w:rPr>
          <w:rFonts w:ascii="Times New Roman" w:hAnsi="Times New Roman" w:cs="Times New Roman"/>
        </w:rPr>
        <w:t xml:space="preserve"> the ADNI cohort (Table 1</w:t>
      </w:r>
      <w:r w:rsidRPr="00662D56">
        <w:rPr>
          <w:rFonts w:ascii="Times New Roman" w:hAnsi="Times New Roman" w:cs="Times New Roman"/>
        </w:rPr>
        <w:t xml:space="preserve">).  While regression-based normative methods theoretically allow for application beyond age, education, and word-reading ability ranges included in the normative sample, we caution against this (Brooks et al., 2011).  The most appropriate cases will be over age 65 (IQR of RCN sample = 70.8-78.2) and have at least some college education (IQR of RCN sample = 15-19 years of education).   </w:t>
      </w:r>
    </w:p>
    <w:p w:rsidR="00C66A38" w:rsidRDefault="00C66A38" w:rsidP="00C66A38">
      <w:pPr>
        <w:rPr>
          <w:rFonts w:ascii="Times New Roman" w:hAnsi="Times New Roman" w:cs="Times New Roman"/>
          <w:b/>
        </w:rPr>
      </w:pPr>
    </w:p>
    <w:p w:rsidR="00C66A38" w:rsidRPr="00835F7D" w:rsidRDefault="00C66A38" w:rsidP="00C66A38">
      <w:pPr>
        <w:spacing w:line="480" w:lineRule="auto"/>
        <w:jc w:val="center"/>
        <w:rPr>
          <w:rFonts w:ascii="Times New Roman" w:hAnsi="Times New Roman" w:cs="Times New Roman"/>
          <w:b/>
        </w:rPr>
      </w:pPr>
      <w:r w:rsidRPr="00835F7D">
        <w:rPr>
          <w:rFonts w:ascii="Times New Roman" w:hAnsi="Times New Roman" w:cs="Times New Roman"/>
          <w:b/>
        </w:rPr>
        <w:t>Novel Aspects of the DELTA Approach</w:t>
      </w:r>
      <w:r>
        <w:rPr>
          <w:rFonts w:ascii="Times New Roman" w:hAnsi="Times New Roman" w:cs="Times New Roman"/>
          <w:b/>
        </w:rPr>
        <w:t xml:space="preserve"> (Supplemental)</w:t>
      </w:r>
    </w:p>
    <w:p w:rsidR="00C66A38" w:rsidRPr="00662D56" w:rsidRDefault="00C66A38" w:rsidP="00C66A38">
      <w:pPr>
        <w:spacing w:line="480" w:lineRule="auto"/>
        <w:rPr>
          <w:rFonts w:ascii="Times New Roman" w:hAnsi="Times New Roman" w:cs="Times New Roman"/>
        </w:rPr>
      </w:pPr>
      <w:r w:rsidRPr="00662D56">
        <w:rPr>
          <w:rFonts w:ascii="Times New Roman" w:hAnsi="Times New Roman" w:cs="Times New Roman"/>
        </w:rPr>
        <w:t>We did not set out to create a new definition for “MCI” or any other clinical syndrome.  Rather, the goal of the DELTA approach was advancing the clinical utility of psychometrically sound, algorithmic methods that most closely mirrors well-validated methods in the MCI literature (</w:t>
      </w:r>
      <w:proofErr w:type="spellStart"/>
      <w:r w:rsidRPr="00662D56">
        <w:rPr>
          <w:rFonts w:ascii="Times New Roman" w:hAnsi="Times New Roman" w:cs="Times New Roman"/>
        </w:rPr>
        <w:t>Bondi</w:t>
      </w:r>
      <w:proofErr w:type="spellEnd"/>
      <w:r w:rsidRPr="00662D56">
        <w:rPr>
          <w:rFonts w:ascii="Times New Roman" w:hAnsi="Times New Roman" w:cs="Times New Roman"/>
        </w:rPr>
        <w:t xml:space="preserve"> et al., 2014; </w:t>
      </w:r>
      <w:proofErr w:type="spellStart"/>
      <w:r w:rsidRPr="00662D56">
        <w:rPr>
          <w:rFonts w:ascii="Times New Roman" w:hAnsi="Times New Roman" w:cs="Times New Roman"/>
        </w:rPr>
        <w:t>Jak</w:t>
      </w:r>
      <w:proofErr w:type="spellEnd"/>
      <w:r w:rsidRPr="00662D56">
        <w:rPr>
          <w:rFonts w:ascii="Times New Roman" w:hAnsi="Times New Roman" w:cs="Times New Roman"/>
        </w:rPr>
        <w:t xml:space="preserve"> et al., 2016).  </w:t>
      </w:r>
      <w:r>
        <w:rPr>
          <w:rFonts w:ascii="Times New Roman" w:hAnsi="Times New Roman" w:cs="Times New Roman"/>
        </w:rPr>
        <w:t xml:space="preserve">The DELTA score provides a finer-grained, continuous metric for characterizing the strength of evidence for cognitive decline.  </w:t>
      </w:r>
      <w:r w:rsidRPr="00662D56">
        <w:rPr>
          <w:rFonts w:ascii="Times New Roman" w:hAnsi="Times New Roman" w:cs="Times New Roman"/>
        </w:rPr>
        <w:t xml:space="preserve">Relative to </w:t>
      </w:r>
      <w:r>
        <w:rPr>
          <w:rFonts w:ascii="Times New Roman" w:hAnsi="Times New Roman" w:cs="Times New Roman"/>
        </w:rPr>
        <w:t>other</w:t>
      </w:r>
      <w:r w:rsidRPr="00662D56">
        <w:rPr>
          <w:rFonts w:ascii="Times New Roman" w:hAnsi="Times New Roman" w:cs="Times New Roman"/>
        </w:rPr>
        <w:t xml:space="preserve"> approaches, there are several novel components of the DELTA </w:t>
      </w:r>
      <w:r>
        <w:rPr>
          <w:rFonts w:ascii="Times New Roman" w:hAnsi="Times New Roman" w:cs="Times New Roman"/>
        </w:rPr>
        <w:t>score</w:t>
      </w:r>
      <w:r w:rsidRPr="00662D56">
        <w:rPr>
          <w:rFonts w:ascii="Times New Roman" w:hAnsi="Times New Roman" w:cs="Times New Roman"/>
        </w:rPr>
        <w:t xml:space="preserve"> that we believe incrementally advances neuropsychological test score interpretation (Iverson &amp; Brooks, 2011):</w:t>
      </w:r>
    </w:p>
    <w:p w:rsidR="00C66A38" w:rsidRPr="00662D56" w:rsidRDefault="00C66A38" w:rsidP="00C66A38">
      <w:pPr>
        <w:pStyle w:val="ListParagraph"/>
        <w:numPr>
          <w:ilvl w:val="0"/>
          <w:numId w:val="1"/>
        </w:numPr>
        <w:spacing w:line="480" w:lineRule="auto"/>
        <w:rPr>
          <w:rFonts w:ascii="Times New Roman" w:hAnsi="Times New Roman" w:cs="Times New Roman"/>
        </w:rPr>
      </w:pPr>
      <w:r w:rsidRPr="00662D56">
        <w:rPr>
          <w:rFonts w:ascii="Times New Roman" w:hAnsi="Times New Roman" w:cs="Times New Roman"/>
        </w:rPr>
        <w:t>We incorporated a person-specific, performance-based metric (word-reading ability) into regression equations for predicting “</w:t>
      </w:r>
      <w:proofErr w:type="spellStart"/>
      <w:r w:rsidRPr="00662D56">
        <w:rPr>
          <w:rFonts w:ascii="Times New Roman" w:hAnsi="Times New Roman" w:cs="Times New Roman"/>
        </w:rPr>
        <w:t>premorbid</w:t>
      </w:r>
      <w:proofErr w:type="spellEnd"/>
      <w:r w:rsidRPr="00662D56">
        <w:rPr>
          <w:rFonts w:ascii="Times New Roman" w:hAnsi="Times New Roman" w:cs="Times New Roman"/>
        </w:rPr>
        <w:t>” test scores, which added value over traditional normative reference factors like age, gender, and years of education on some tests.</w:t>
      </w:r>
    </w:p>
    <w:p w:rsidR="00C66A38" w:rsidRPr="00662D56" w:rsidRDefault="00C66A38" w:rsidP="00C66A38">
      <w:pPr>
        <w:pStyle w:val="ListParagraph"/>
        <w:numPr>
          <w:ilvl w:val="0"/>
          <w:numId w:val="1"/>
        </w:numPr>
        <w:spacing w:line="480" w:lineRule="auto"/>
        <w:rPr>
          <w:rFonts w:ascii="Times New Roman" w:hAnsi="Times New Roman" w:cs="Times New Roman"/>
        </w:rPr>
      </w:pPr>
      <w:r w:rsidRPr="00662D56">
        <w:rPr>
          <w:rFonts w:ascii="Times New Roman" w:hAnsi="Times New Roman" w:cs="Times New Roman"/>
        </w:rPr>
        <w:t xml:space="preserve">We attempted to reduce confounding effects of overlapping cognitive functions on specific test scores.  For example, rather than reliance on delayed memory recall score(s) only, we required individuals demonstrate evidence of forgetfulness such that they lost at least 50% of initially-learned </w:t>
      </w:r>
      <w:r w:rsidRPr="00662D56">
        <w:rPr>
          <w:rFonts w:ascii="Times New Roman" w:hAnsi="Times New Roman" w:cs="Times New Roman"/>
        </w:rPr>
        <w:lastRenderedPageBreak/>
        <w:t xml:space="preserve">details.  We also parsed out the “executive” set-shifting component of Trails B by dividing the Trails B time by the individual’s Trails </w:t>
      </w:r>
      <w:proofErr w:type="gramStart"/>
      <w:r w:rsidRPr="00662D56">
        <w:rPr>
          <w:rFonts w:ascii="Times New Roman" w:hAnsi="Times New Roman" w:cs="Times New Roman"/>
        </w:rPr>
        <w:t>A</w:t>
      </w:r>
      <w:proofErr w:type="gramEnd"/>
      <w:r w:rsidRPr="00662D56">
        <w:rPr>
          <w:rFonts w:ascii="Times New Roman" w:hAnsi="Times New Roman" w:cs="Times New Roman"/>
        </w:rPr>
        <w:t xml:space="preserve"> time.  </w:t>
      </w:r>
    </w:p>
    <w:p w:rsidR="00C66A38" w:rsidRPr="00662D56" w:rsidRDefault="00C66A38" w:rsidP="00C66A38">
      <w:pPr>
        <w:pStyle w:val="ListParagraph"/>
        <w:numPr>
          <w:ilvl w:val="0"/>
          <w:numId w:val="1"/>
        </w:numPr>
        <w:spacing w:line="480" w:lineRule="auto"/>
        <w:rPr>
          <w:rFonts w:ascii="Times New Roman" w:hAnsi="Times New Roman" w:cs="Times New Roman"/>
        </w:rPr>
      </w:pPr>
      <w:r w:rsidRPr="00662D56">
        <w:rPr>
          <w:rFonts w:ascii="Times New Roman" w:hAnsi="Times New Roman" w:cs="Times New Roman"/>
        </w:rPr>
        <w:t>We expanded upon methods defining cognitive status using a single cut-point, like z&lt;-1.0, by assigning different levels of evidence for cognitive decline (i.e., higher or lower DELTA scores) that account for z-</w:t>
      </w:r>
      <w:proofErr w:type="spellStart"/>
      <w:r w:rsidRPr="00662D56">
        <w:rPr>
          <w:rFonts w:ascii="Times New Roman" w:hAnsi="Times New Roman" w:cs="Times New Roman"/>
        </w:rPr>
        <w:t>Discrep</w:t>
      </w:r>
      <w:proofErr w:type="spellEnd"/>
      <w:r w:rsidRPr="00662D56">
        <w:rPr>
          <w:rFonts w:ascii="Times New Roman" w:hAnsi="Times New Roman" w:cs="Times New Roman"/>
        </w:rPr>
        <w:t xml:space="preserve"> scores along multiple percentile cutoffs (16th, 7th, and 2nd).</w:t>
      </w:r>
    </w:p>
    <w:p w:rsidR="00C66A38" w:rsidRPr="00662D56" w:rsidRDefault="00C66A38" w:rsidP="00C66A38">
      <w:pPr>
        <w:pStyle w:val="ListParagraph"/>
        <w:numPr>
          <w:ilvl w:val="0"/>
          <w:numId w:val="1"/>
        </w:numPr>
        <w:spacing w:line="480" w:lineRule="auto"/>
        <w:rPr>
          <w:rFonts w:ascii="Times New Roman" w:hAnsi="Times New Roman" w:cs="Times New Roman"/>
        </w:rPr>
      </w:pPr>
      <w:r w:rsidRPr="00662D56">
        <w:rPr>
          <w:rFonts w:ascii="Times New Roman" w:hAnsi="Times New Roman" w:cs="Times New Roman"/>
        </w:rPr>
        <w:t>We further individualize the DELTA score by adjusting the required z-</w:t>
      </w:r>
      <w:proofErr w:type="spellStart"/>
      <w:r w:rsidRPr="00662D56">
        <w:rPr>
          <w:rFonts w:ascii="Times New Roman" w:hAnsi="Times New Roman" w:cs="Times New Roman"/>
        </w:rPr>
        <w:t>Discrep</w:t>
      </w:r>
      <w:proofErr w:type="spellEnd"/>
      <w:r w:rsidRPr="00662D56">
        <w:rPr>
          <w:rFonts w:ascii="Times New Roman" w:hAnsi="Times New Roman" w:cs="Times New Roman"/>
        </w:rPr>
        <w:t xml:space="preserve"> scores as a function of predicted test scores (“Low,” “</w:t>
      </w:r>
      <w:proofErr w:type="gramStart"/>
      <w:r w:rsidRPr="00662D56">
        <w:rPr>
          <w:rFonts w:ascii="Times New Roman" w:hAnsi="Times New Roman" w:cs="Times New Roman"/>
        </w:rPr>
        <w:t>Average,”</w:t>
      </w:r>
      <w:proofErr w:type="gramEnd"/>
      <w:r w:rsidRPr="00662D56">
        <w:rPr>
          <w:rFonts w:ascii="Times New Roman" w:hAnsi="Times New Roman" w:cs="Times New Roman"/>
        </w:rPr>
        <w:t xml:space="preserve"> or “High”).  While the 16th, 7th, and 2nd percentile cutoffs are applied uniformly in the DELTA scoring criteria, the z-</w:t>
      </w:r>
      <w:proofErr w:type="spellStart"/>
      <w:r w:rsidRPr="00662D56">
        <w:rPr>
          <w:rFonts w:ascii="Times New Roman" w:hAnsi="Times New Roman" w:cs="Times New Roman"/>
        </w:rPr>
        <w:t>Discrep</w:t>
      </w:r>
      <w:proofErr w:type="spellEnd"/>
      <w:r w:rsidRPr="00662D56">
        <w:rPr>
          <w:rFonts w:ascii="Times New Roman" w:hAnsi="Times New Roman" w:cs="Times New Roman"/>
        </w:rPr>
        <w:t xml:space="preserve"> values that correspond to these percentiles vary by predicted raw score.  This should raise the confidence that a given discrepancy between one’s observed and predicted score represents true change and is not an artifact of having above or below average estimated </w:t>
      </w:r>
      <w:proofErr w:type="spellStart"/>
      <w:r w:rsidRPr="00662D56">
        <w:rPr>
          <w:rFonts w:ascii="Times New Roman" w:hAnsi="Times New Roman" w:cs="Times New Roman"/>
        </w:rPr>
        <w:t>premorbid</w:t>
      </w:r>
      <w:proofErr w:type="spellEnd"/>
      <w:r w:rsidRPr="00662D56">
        <w:rPr>
          <w:rFonts w:ascii="Times New Roman" w:hAnsi="Times New Roman" w:cs="Times New Roman"/>
        </w:rPr>
        <w:t xml:space="preserve"> intellect (Horton, 1999; Tremont, Hoffman, Scott, &amp; Adams, 1998).</w:t>
      </w:r>
    </w:p>
    <w:p w:rsidR="00C66A38" w:rsidRPr="00662D56" w:rsidRDefault="00C66A38" w:rsidP="00C66A38">
      <w:pPr>
        <w:pStyle w:val="ListParagraph"/>
        <w:numPr>
          <w:ilvl w:val="0"/>
          <w:numId w:val="1"/>
        </w:numPr>
        <w:spacing w:line="480" w:lineRule="auto"/>
        <w:rPr>
          <w:rFonts w:ascii="Times New Roman" w:hAnsi="Times New Roman" w:cs="Times New Roman"/>
        </w:rPr>
      </w:pPr>
      <w:r w:rsidRPr="00662D56">
        <w:rPr>
          <w:rFonts w:ascii="Times New Roman" w:hAnsi="Times New Roman" w:cs="Times New Roman"/>
        </w:rPr>
        <w:t xml:space="preserve">We developed and provide an automated, clinic-ready scoring program that not only calculates an individual’s DELTA score but also includes data informing risk for future functional decline and for positive AD biomarkers.  </w:t>
      </w:r>
    </w:p>
    <w:p w:rsidR="00C17A05" w:rsidRDefault="00C17A05"/>
    <w:sectPr w:rsidR="00C17A05" w:rsidSect="00C17A0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2F75B78"/>
    <w:multiLevelType w:val="hybridMultilevel"/>
    <w:tmpl w:val="830E34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50"/>
  <w:displayBackgroundShape/>
  <w:proofState w:spelling="clean" w:grammar="clean"/>
  <w:defaultTabStop w:val="720"/>
  <w:characterSpacingControl w:val="doNotCompress"/>
  <w:compat/>
  <w:rsids>
    <w:rsidRoot w:val="00C66A38"/>
    <w:rsid w:val="0000408E"/>
    <w:rsid w:val="000175A1"/>
    <w:rsid w:val="000509A2"/>
    <w:rsid w:val="00051384"/>
    <w:rsid w:val="000666F6"/>
    <w:rsid w:val="0007727E"/>
    <w:rsid w:val="00083F24"/>
    <w:rsid w:val="00087742"/>
    <w:rsid w:val="0009540D"/>
    <w:rsid w:val="0009704F"/>
    <w:rsid w:val="00097328"/>
    <w:rsid w:val="000A28B5"/>
    <w:rsid w:val="000A3F5B"/>
    <w:rsid w:val="000A57E5"/>
    <w:rsid w:val="000A6206"/>
    <w:rsid w:val="000B0555"/>
    <w:rsid w:val="000B4796"/>
    <w:rsid w:val="000D0D39"/>
    <w:rsid w:val="000D410F"/>
    <w:rsid w:val="000D476C"/>
    <w:rsid w:val="00106087"/>
    <w:rsid w:val="00116153"/>
    <w:rsid w:val="00116155"/>
    <w:rsid w:val="00123267"/>
    <w:rsid w:val="00136EBB"/>
    <w:rsid w:val="001463C6"/>
    <w:rsid w:val="00150A06"/>
    <w:rsid w:val="00180807"/>
    <w:rsid w:val="00185968"/>
    <w:rsid w:val="0018701D"/>
    <w:rsid w:val="00190DA3"/>
    <w:rsid w:val="0019707A"/>
    <w:rsid w:val="001A160E"/>
    <w:rsid w:val="001A1DF7"/>
    <w:rsid w:val="001A3B4E"/>
    <w:rsid w:val="001A45EF"/>
    <w:rsid w:val="001A5576"/>
    <w:rsid w:val="001C0DCB"/>
    <w:rsid w:val="001D0D32"/>
    <w:rsid w:val="001D37BF"/>
    <w:rsid w:val="001E729D"/>
    <w:rsid w:val="002073E3"/>
    <w:rsid w:val="00215F85"/>
    <w:rsid w:val="002174B4"/>
    <w:rsid w:val="002207BE"/>
    <w:rsid w:val="002222A2"/>
    <w:rsid w:val="00224430"/>
    <w:rsid w:val="00233204"/>
    <w:rsid w:val="002368DD"/>
    <w:rsid w:val="00240057"/>
    <w:rsid w:val="00242F12"/>
    <w:rsid w:val="00244E27"/>
    <w:rsid w:val="0026458C"/>
    <w:rsid w:val="00281A0A"/>
    <w:rsid w:val="002908E2"/>
    <w:rsid w:val="00295CF5"/>
    <w:rsid w:val="002A3864"/>
    <w:rsid w:val="002B1D3B"/>
    <w:rsid w:val="002B7A32"/>
    <w:rsid w:val="002C159C"/>
    <w:rsid w:val="002C2555"/>
    <w:rsid w:val="002C7002"/>
    <w:rsid w:val="002C7DCA"/>
    <w:rsid w:val="002E6EBB"/>
    <w:rsid w:val="002F2BAB"/>
    <w:rsid w:val="002F61DB"/>
    <w:rsid w:val="0030218C"/>
    <w:rsid w:val="00307AD4"/>
    <w:rsid w:val="003128DF"/>
    <w:rsid w:val="0031592B"/>
    <w:rsid w:val="003165F2"/>
    <w:rsid w:val="00326390"/>
    <w:rsid w:val="0033110A"/>
    <w:rsid w:val="00337237"/>
    <w:rsid w:val="00347BD8"/>
    <w:rsid w:val="003509A4"/>
    <w:rsid w:val="00352D8C"/>
    <w:rsid w:val="00357EAF"/>
    <w:rsid w:val="00365C89"/>
    <w:rsid w:val="003674DD"/>
    <w:rsid w:val="00367F90"/>
    <w:rsid w:val="00370121"/>
    <w:rsid w:val="003750CB"/>
    <w:rsid w:val="003A1EE8"/>
    <w:rsid w:val="003B1A91"/>
    <w:rsid w:val="003B6B7D"/>
    <w:rsid w:val="003B74FE"/>
    <w:rsid w:val="003D15E5"/>
    <w:rsid w:val="003D1711"/>
    <w:rsid w:val="003D2624"/>
    <w:rsid w:val="003D2864"/>
    <w:rsid w:val="003D375E"/>
    <w:rsid w:val="003D5A35"/>
    <w:rsid w:val="003D7BEF"/>
    <w:rsid w:val="003E4F48"/>
    <w:rsid w:val="004011E5"/>
    <w:rsid w:val="00404687"/>
    <w:rsid w:val="00415BBE"/>
    <w:rsid w:val="00421F18"/>
    <w:rsid w:val="00422D33"/>
    <w:rsid w:val="00425BD3"/>
    <w:rsid w:val="00426CF2"/>
    <w:rsid w:val="00433EAE"/>
    <w:rsid w:val="004367BF"/>
    <w:rsid w:val="00444964"/>
    <w:rsid w:val="004479FB"/>
    <w:rsid w:val="004659D0"/>
    <w:rsid w:val="0047556E"/>
    <w:rsid w:val="00476BCA"/>
    <w:rsid w:val="004A2329"/>
    <w:rsid w:val="004B18F9"/>
    <w:rsid w:val="004B2254"/>
    <w:rsid w:val="004C59AC"/>
    <w:rsid w:val="004E7121"/>
    <w:rsid w:val="004F33A7"/>
    <w:rsid w:val="004F571A"/>
    <w:rsid w:val="0050148B"/>
    <w:rsid w:val="005226DB"/>
    <w:rsid w:val="005278D7"/>
    <w:rsid w:val="00537F54"/>
    <w:rsid w:val="005405DF"/>
    <w:rsid w:val="00566BEA"/>
    <w:rsid w:val="00576D89"/>
    <w:rsid w:val="005776C8"/>
    <w:rsid w:val="00580E5F"/>
    <w:rsid w:val="00596111"/>
    <w:rsid w:val="005B6C50"/>
    <w:rsid w:val="005C673E"/>
    <w:rsid w:val="005D07B9"/>
    <w:rsid w:val="005E0283"/>
    <w:rsid w:val="005E3480"/>
    <w:rsid w:val="005F02EC"/>
    <w:rsid w:val="00602D95"/>
    <w:rsid w:val="0060446A"/>
    <w:rsid w:val="00611679"/>
    <w:rsid w:val="006174C4"/>
    <w:rsid w:val="006250C6"/>
    <w:rsid w:val="0062669C"/>
    <w:rsid w:val="006314B0"/>
    <w:rsid w:val="006339A7"/>
    <w:rsid w:val="00641BA6"/>
    <w:rsid w:val="00646745"/>
    <w:rsid w:val="00650641"/>
    <w:rsid w:val="0065285A"/>
    <w:rsid w:val="0066149A"/>
    <w:rsid w:val="006740A9"/>
    <w:rsid w:val="006959A2"/>
    <w:rsid w:val="006A20D5"/>
    <w:rsid w:val="006B2C37"/>
    <w:rsid w:val="006B5AD0"/>
    <w:rsid w:val="006C6119"/>
    <w:rsid w:val="006E33C3"/>
    <w:rsid w:val="006E66E7"/>
    <w:rsid w:val="00711D4D"/>
    <w:rsid w:val="00723898"/>
    <w:rsid w:val="007342C9"/>
    <w:rsid w:val="00742C45"/>
    <w:rsid w:val="00745B41"/>
    <w:rsid w:val="00753B45"/>
    <w:rsid w:val="00754D36"/>
    <w:rsid w:val="00757710"/>
    <w:rsid w:val="00766CEA"/>
    <w:rsid w:val="00770BC6"/>
    <w:rsid w:val="00771833"/>
    <w:rsid w:val="00775AA3"/>
    <w:rsid w:val="00783798"/>
    <w:rsid w:val="007856C0"/>
    <w:rsid w:val="007A3610"/>
    <w:rsid w:val="007A7AF3"/>
    <w:rsid w:val="007C03D8"/>
    <w:rsid w:val="007C1097"/>
    <w:rsid w:val="007D0406"/>
    <w:rsid w:val="007D0AEF"/>
    <w:rsid w:val="007D78C2"/>
    <w:rsid w:val="007E151D"/>
    <w:rsid w:val="007F61D4"/>
    <w:rsid w:val="007F7DAF"/>
    <w:rsid w:val="0081152E"/>
    <w:rsid w:val="00814EA2"/>
    <w:rsid w:val="008467A4"/>
    <w:rsid w:val="00857CBE"/>
    <w:rsid w:val="008676F3"/>
    <w:rsid w:val="00870AF5"/>
    <w:rsid w:val="00874C71"/>
    <w:rsid w:val="0087595F"/>
    <w:rsid w:val="00875DC4"/>
    <w:rsid w:val="00882549"/>
    <w:rsid w:val="00884238"/>
    <w:rsid w:val="00887C0B"/>
    <w:rsid w:val="00892D6F"/>
    <w:rsid w:val="00894CB2"/>
    <w:rsid w:val="008A04A6"/>
    <w:rsid w:val="008A2F94"/>
    <w:rsid w:val="008B2F7E"/>
    <w:rsid w:val="008B4D43"/>
    <w:rsid w:val="008C07E7"/>
    <w:rsid w:val="008C40AD"/>
    <w:rsid w:val="008E07CB"/>
    <w:rsid w:val="008E6DCA"/>
    <w:rsid w:val="008F07D0"/>
    <w:rsid w:val="008F0D7D"/>
    <w:rsid w:val="008F2124"/>
    <w:rsid w:val="008F238B"/>
    <w:rsid w:val="008F6571"/>
    <w:rsid w:val="009060E8"/>
    <w:rsid w:val="00922C24"/>
    <w:rsid w:val="00927591"/>
    <w:rsid w:val="009345B4"/>
    <w:rsid w:val="00940BEA"/>
    <w:rsid w:val="00947DF6"/>
    <w:rsid w:val="009627C0"/>
    <w:rsid w:val="00983B5B"/>
    <w:rsid w:val="0099132F"/>
    <w:rsid w:val="009A3620"/>
    <w:rsid w:val="009A61A2"/>
    <w:rsid w:val="009B4486"/>
    <w:rsid w:val="009C1220"/>
    <w:rsid w:val="009C7A04"/>
    <w:rsid w:val="009D16F5"/>
    <w:rsid w:val="009E3C2C"/>
    <w:rsid w:val="009E6DEA"/>
    <w:rsid w:val="00A0185C"/>
    <w:rsid w:val="00A056E5"/>
    <w:rsid w:val="00A13E19"/>
    <w:rsid w:val="00A17638"/>
    <w:rsid w:val="00A3222D"/>
    <w:rsid w:val="00A62318"/>
    <w:rsid w:val="00A6569B"/>
    <w:rsid w:val="00A672DA"/>
    <w:rsid w:val="00A73D8B"/>
    <w:rsid w:val="00A844D9"/>
    <w:rsid w:val="00A84D6B"/>
    <w:rsid w:val="00A86A01"/>
    <w:rsid w:val="00A9049D"/>
    <w:rsid w:val="00AA33E3"/>
    <w:rsid w:val="00AA5C9F"/>
    <w:rsid w:val="00AB3AEE"/>
    <w:rsid w:val="00AB4FEC"/>
    <w:rsid w:val="00AC46C2"/>
    <w:rsid w:val="00AC4EA4"/>
    <w:rsid w:val="00AD1736"/>
    <w:rsid w:val="00AD5461"/>
    <w:rsid w:val="00AE141B"/>
    <w:rsid w:val="00AE2E4A"/>
    <w:rsid w:val="00AF1217"/>
    <w:rsid w:val="00AF461E"/>
    <w:rsid w:val="00B04517"/>
    <w:rsid w:val="00B2362C"/>
    <w:rsid w:val="00B260D9"/>
    <w:rsid w:val="00B426AC"/>
    <w:rsid w:val="00B50000"/>
    <w:rsid w:val="00B54C18"/>
    <w:rsid w:val="00B54D57"/>
    <w:rsid w:val="00B57796"/>
    <w:rsid w:val="00B80132"/>
    <w:rsid w:val="00B94C37"/>
    <w:rsid w:val="00B97DAE"/>
    <w:rsid w:val="00BA384A"/>
    <w:rsid w:val="00BA3992"/>
    <w:rsid w:val="00BB058E"/>
    <w:rsid w:val="00BB0EB0"/>
    <w:rsid w:val="00BE1CEC"/>
    <w:rsid w:val="00BE72B4"/>
    <w:rsid w:val="00C025A1"/>
    <w:rsid w:val="00C0739D"/>
    <w:rsid w:val="00C13D68"/>
    <w:rsid w:val="00C17A05"/>
    <w:rsid w:val="00C32816"/>
    <w:rsid w:val="00C33F01"/>
    <w:rsid w:val="00C34954"/>
    <w:rsid w:val="00C56F78"/>
    <w:rsid w:val="00C6351F"/>
    <w:rsid w:val="00C63962"/>
    <w:rsid w:val="00C66A38"/>
    <w:rsid w:val="00C72806"/>
    <w:rsid w:val="00C94691"/>
    <w:rsid w:val="00C96C18"/>
    <w:rsid w:val="00CA1222"/>
    <w:rsid w:val="00CB64AE"/>
    <w:rsid w:val="00CC483C"/>
    <w:rsid w:val="00CC4AA6"/>
    <w:rsid w:val="00D126EC"/>
    <w:rsid w:val="00D14D08"/>
    <w:rsid w:val="00D2489F"/>
    <w:rsid w:val="00D30E9E"/>
    <w:rsid w:val="00D4289E"/>
    <w:rsid w:val="00D43E62"/>
    <w:rsid w:val="00D45FFC"/>
    <w:rsid w:val="00D70A3D"/>
    <w:rsid w:val="00D75DA1"/>
    <w:rsid w:val="00D806E8"/>
    <w:rsid w:val="00D85411"/>
    <w:rsid w:val="00D86153"/>
    <w:rsid w:val="00D95D2D"/>
    <w:rsid w:val="00DA2718"/>
    <w:rsid w:val="00DC26A2"/>
    <w:rsid w:val="00DD08BE"/>
    <w:rsid w:val="00DD0931"/>
    <w:rsid w:val="00DD6C7C"/>
    <w:rsid w:val="00DD7B4A"/>
    <w:rsid w:val="00DE3265"/>
    <w:rsid w:val="00DE561F"/>
    <w:rsid w:val="00DF53AD"/>
    <w:rsid w:val="00DF636B"/>
    <w:rsid w:val="00E04600"/>
    <w:rsid w:val="00E62CE6"/>
    <w:rsid w:val="00E65C62"/>
    <w:rsid w:val="00E65CF3"/>
    <w:rsid w:val="00E80CE6"/>
    <w:rsid w:val="00E91AEE"/>
    <w:rsid w:val="00EA65C5"/>
    <w:rsid w:val="00EB6AE0"/>
    <w:rsid w:val="00EC5371"/>
    <w:rsid w:val="00EC6CB2"/>
    <w:rsid w:val="00EC7D28"/>
    <w:rsid w:val="00ED0D10"/>
    <w:rsid w:val="00ED1054"/>
    <w:rsid w:val="00EF4E00"/>
    <w:rsid w:val="00F1183B"/>
    <w:rsid w:val="00F12904"/>
    <w:rsid w:val="00F13A21"/>
    <w:rsid w:val="00F141F5"/>
    <w:rsid w:val="00F14DD4"/>
    <w:rsid w:val="00F23B4C"/>
    <w:rsid w:val="00F2419E"/>
    <w:rsid w:val="00F241E5"/>
    <w:rsid w:val="00F33975"/>
    <w:rsid w:val="00F35957"/>
    <w:rsid w:val="00F45237"/>
    <w:rsid w:val="00F550FD"/>
    <w:rsid w:val="00F64C81"/>
    <w:rsid w:val="00F82A24"/>
    <w:rsid w:val="00F86B78"/>
    <w:rsid w:val="00F90024"/>
    <w:rsid w:val="00F94790"/>
    <w:rsid w:val="00FA212E"/>
    <w:rsid w:val="00FA4407"/>
    <w:rsid w:val="00FB2BE6"/>
    <w:rsid w:val="00FD1F0D"/>
    <w:rsid w:val="00FD6AB9"/>
    <w:rsid w:val="00FE381B"/>
    <w:rsid w:val="00FE4C1F"/>
    <w:rsid w:val="00FE7973"/>
    <w:rsid w:val="00FF7D5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7A0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66A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66A38"/>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720</Words>
  <Characters>4110</Characters>
  <Application>Microsoft Office Word</Application>
  <DocSecurity>0</DocSecurity>
  <Lines>34</Lines>
  <Paragraphs>9</Paragraphs>
  <ScaleCrop>false</ScaleCrop>
  <Company/>
  <LinksUpToDate>false</LinksUpToDate>
  <CharactersWithSpaces>4821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natarajan.p</dc:creator>
  <cp:lastModifiedBy>natarajan.p</cp:lastModifiedBy>
  <cp:revision>2</cp:revision>
  <dcterms:created xsi:type="dcterms:W3CDTF">2019-11-12T02:49:00Z</dcterms:created>
  <dcterms:modified xsi:type="dcterms:W3CDTF">2019-11-12T02:51:00Z</dcterms:modified>
</cp:coreProperties>
</file>