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5331" w14:textId="5B3ED827" w:rsidR="00E24740" w:rsidRPr="00275CBF" w:rsidRDefault="00652C66">
      <w:pPr>
        <w:rPr>
          <w:rFonts w:ascii="Times New Roman" w:hAnsi="Times New Roman" w:cs="Times New Roman"/>
          <w:b/>
          <w:bCs/>
        </w:rPr>
      </w:pPr>
      <w:r w:rsidRPr="00275CBF">
        <w:rPr>
          <w:rFonts w:ascii="Times New Roman" w:hAnsi="Times New Roman" w:cs="Times New Roman"/>
          <w:b/>
          <w:bCs/>
        </w:rPr>
        <w:t xml:space="preserve">Supplementary Materials </w:t>
      </w:r>
    </w:p>
    <w:p w14:paraId="14F72E48" w14:textId="28AFD556" w:rsidR="00652C66" w:rsidRDefault="00652C66">
      <w:pPr>
        <w:rPr>
          <w:rFonts w:ascii="Times New Roman" w:hAnsi="Times New Roman" w:cs="Times New Roman"/>
        </w:rPr>
      </w:pPr>
    </w:p>
    <w:p w14:paraId="7C97FE4F" w14:textId="2AF47D55" w:rsidR="00275CBF" w:rsidRDefault="00275CBF">
      <w:pPr>
        <w:rPr>
          <w:rFonts w:ascii="Times New Roman" w:hAnsi="Times New Roman" w:cs="Times New Roman"/>
          <w:i/>
          <w:iCs/>
        </w:rPr>
      </w:pPr>
      <w:r w:rsidRPr="00275CBF">
        <w:rPr>
          <w:rFonts w:ascii="Times New Roman" w:hAnsi="Times New Roman" w:cs="Times New Roman"/>
          <w:i/>
          <w:iCs/>
        </w:rPr>
        <w:t>Validity and Reliability of Anhedonia/Amotivation Measures</w:t>
      </w:r>
    </w:p>
    <w:p w14:paraId="437BDAEA" w14:textId="77777777" w:rsidR="00275CBF" w:rsidRPr="00275CBF" w:rsidRDefault="00275CBF">
      <w:pPr>
        <w:rPr>
          <w:rFonts w:ascii="Times New Roman" w:hAnsi="Times New Roman" w:cs="Times New Roman"/>
          <w:i/>
          <w:iCs/>
        </w:rPr>
      </w:pPr>
    </w:p>
    <w:p w14:paraId="35139637" w14:textId="2CCD5B46" w:rsidR="00652C66" w:rsidRDefault="00275CBF" w:rsidP="00275CBF">
      <w:pPr>
        <w:spacing w:line="480" w:lineRule="auto"/>
        <w:ind w:firstLine="720"/>
        <w:rPr>
          <w:rFonts w:ascii="Times New Roman" w:hAnsi="Times New Roman" w:cs="Times New Roman"/>
          <w:iCs/>
          <w:color w:val="000000" w:themeColor="text1"/>
        </w:rPr>
      </w:pPr>
      <w:r w:rsidRPr="00275CBF">
        <w:rPr>
          <w:rFonts w:ascii="Times New Roman" w:hAnsi="Times New Roman" w:cs="Times New Roman"/>
          <w:iCs/>
          <w:color w:val="000000" w:themeColor="text1"/>
        </w:rPr>
        <w:t xml:space="preserve">The SHAPS has been shown to have good content validity with few non-clinical individuals scoring above 2 and with the majority of clinical patients with reduced hedonic tone scoring above 2. The questionnaire has also shown good criterion validity via correlations with the following items of a comparative measure (MADRS): hedonic tone +0.36 (p &lt; .02), suicidal preoccupation + 0.38 (p &lt; .02), anxiety +0.34 (NS), depressed mood -0.04(NS), lassitude +0.08(NS), appetite +0.10 (NS), sleep +0.01 (NS), and pessimism +0.27 (NS). Additionally, the receiver operating characteristics were determined to be satisfactory that the scale had two different cut-off points against two levels of diminished hedonic tone: ‘perceptible’ and ‘clinically significant’. Internal consistency in a non-clinical population was rated as satisfactory with only 2 participants out of 30 switched from a normal to abnormal rating in a seven-day period (Snaith et al., 1995). The GCOS has been shown to have good internal consistency using with non-standardized Cronbach’s </w:t>
      </w:r>
      <w:r w:rsidRPr="00275CBF">
        <w:rPr>
          <w:rFonts w:ascii="Times New Roman" w:hAnsi="Times New Roman" w:cs="Times New Roman"/>
          <w:iCs/>
          <w:color w:val="000000" w:themeColor="text1"/>
        </w:rPr>
        <w:sym w:font="Symbol" w:char="F061"/>
      </w:r>
      <w:r w:rsidRPr="00275CBF">
        <w:rPr>
          <w:rFonts w:ascii="Times New Roman" w:hAnsi="Times New Roman" w:cs="Times New Roman"/>
          <w:iCs/>
          <w:color w:val="000000" w:themeColor="text1"/>
        </w:rPr>
        <w:t xml:space="preserve"> values of .744 for autonomy, .694 for control, and .741 for impersonal. Additionally, test-retest reliability showed good stability for the three subscales over a 2-month period: .749 for autonomy, .711 for control, and .778 for impersonal. Scores on the GCOS have been shown to not be significantly correlated with unrelated scales such as the social desirability scale and significantly correlated with measures similar to those of the subscales such as the Rotter’s locus of control scale and the Type-A coronary-prone behavior pattern (Deci &amp; Ryan, 1985).</w:t>
      </w:r>
    </w:p>
    <w:p w14:paraId="19C8287E" w14:textId="2EC61E13" w:rsidR="002B5B18" w:rsidRDefault="002B5B18" w:rsidP="002B5B18">
      <w:pPr>
        <w:spacing w:line="480" w:lineRule="auto"/>
        <w:rPr>
          <w:rFonts w:ascii="Times New Roman" w:hAnsi="Times New Roman" w:cs="Times New Roman"/>
          <w:iCs/>
          <w:color w:val="000000" w:themeColor="text1"/>
        </w:rPr>
      </w:pPr>
    </w:p>
    <w:p w14:paraId="0BAB303D" w14:textId="77777777" w:rsidR="00A36A03" w:rsidRDefault="00A36A03">
      <w:pPr>
        <w:rPr>
          <w:rFonts w:ascii="Times New Roman" w:hAnsi="Times New Roman" w:cs="Times New Roman"/>
          <w:b/>
          <w:bCs/>
          <w:i/>
          <w:color w:val="000000" w:themeColor="text1"/>
        </w:rPr>
      </w:pPr>
      <w:r>
        <w:rPr>
          <w:rFonts w:ascii="Times New Roman" w:hAnsi="Times New Roman" w:cs="Times New Roman"/>
          <w:b/>
          <w:bCs/>
          <w:i/>
          <w:color w:val="000000" w:themeColor="text1"/>
        </w:rPr>
        <w:br w:type="page"/>
      </w:r>
    </w:p>
    <w:p w14:paraId="017C9081" w14:textId="6AC466DE" w:rsidR="002B5B18" w:rsidRDefault="00994C85" w:rsidP="000868FA">
      <w:pPr>
        <w:rPr>
          <w:rFonts w:ascii="Times New Roman" w:hAnsi="Times New Roman" w:cs="Times New Roman"/>
          <w:b/>
          <w:bCs/>
          <w:iCs/>
          <w:color w:val="000000" w:themeColor="text1"/>
        </w:rPr>
      </w:pPr>
      <w:r w:rsidRPr="00994C85">
        <w:rPr>
          <w:rFonts w:ascii="Times New Roman" w:hAnsi="Times New Roman" w:cs="Times New Roman"/>
          <w:b/>
          <w:bCs/>
          <w:i/>
          <w:color w:val="000000" w:themeColor="text1"/>
        </w:rPr>
        <w:lastRenderedPageBreak/>
        <w:t xml:space="preserve">Table S1. </w:t>
      </w:r>
      <w:r w:rsidR="00EC4645">
        <w:rPr>
          <w:rFonts w:ascii="Times New Roman" w:hAnsi="Times New Roman" w:cs="Times New Roman"/>
          <w:b/>
          <w:bCs/>
          <w:iCs/>
          <w:color w:val="000000" w:themeColor="text1"/>
        </w:rPr>
        <w:t xml:space="preserve">Comparison of </w:t>
      </w:r>
      <w:r w:rsidR="002B5B18" w:rsidRPr="00994C85">
        <w:rPr>
          <w:rFonts w:ascii="Times New Roman" w:hAnsi="Times New Roman" w:cs="Times New Roman"/>
          <w:b/>
          <w:bCs/>
          <w:iCs/>
          <w:color w:val="000000" w:themeColor="text1"/>
        </w:rPr>
        <w:t xml:space="preserve">BAS Subscale Scores </w:t>
      </w:r>
      <w:r w:rsidR="00EC4645">
        <w:rPr>
          <w:rFonts w:ascii="Times New Roman" w:hAnsi="Times New Roman" w:cs="Times New Roman"/>
          <w:b/>
          <w:bCs/>
          <w:iCs/>
          <w:color w:val="000000" w:themeColor="text1"/>
        </w:rPr>
        <w:t>Between Users and Non-Users</w:t>
      </w:r>
    </w:p>
    <w:p w14:paraId="608CCF98" w14:textId="75383F52" w:rsidR="00F14A23" w:rsidRPr="000868FA" w:rsidRDefault="000868FA" w:rsidP="000868FA">
      <w:pPr>
        <w:rPr>
          <w:rFonts w:ascii="Times New Roman" w:hAnsi="Times New Roman" w:cs="Times New Roman"/>
          <w:iCs/>
          <w:color w:val="000000" w:themeColor="text1"/>
        </w:rPr>
      </w:pPr>
      <w:r>
        <w:rPr>
          <w:rFonts w:ascii="Times New Roman" w:hAnsi="Times New Roman" w:cs="Times New Roman"/>
          <w:iCs/>
          <w:color w:val="000000" w:themeColor="text1"/>
        </w:rPr>
        <w:t xml:space="preserve">BAS subscale scores from the BIS/BAS were compared between users and non-users via an independent samples t-test. </w:t>
      </w:r>
      <w:r w:rsidR="0030211E">
        <w:rPr>
          <w:rFonts w:ascii="Times New Roman" w:hAnsi="Times New Roman" w:cs="Times New Roman"/>
          <w:iCs/>
          <w:color w:val="000000" w:themeColor="text1"/>
        </w:rPr>
        <w:t xml:space="preserve">The three subscales of BAS are: Drive (D), Fun-Seeking (FS), and Reward- Responsiveness (RR). </w:t>
      </w:r>
    </w:p>
    <w:tbl>
      <w:tblPr>
        <w:tblStyle w:val="TableGrid"/>
        <w:tblpPr w:leftFromText="180" w:rightFromText="180" w:vertAnchor="page" w:horzAnchor="margin" w:tblpY="2793"/>
        <w:tblW w:w="8545" w:type="dxa"/>
        <w:tblLook w:val="04A0" w:firstRow="1" w:lastRow="0" w:firstColumn="1" w:lastColumn="0" w:noHBand="0" w:noVBand="1"/>
      </w:tblPr>
      <w:tblGrid>
        <w:gridCol w:w="2804"/>
        <w:gridCol w:w="1591"/>
        <w:gridCol w:w="1506"/>
        <w:gridCol w:w="1400"/>
        <w:gridCol w:w="1244"/>
      </w:tblGrid>
      <w:tr w:rsidR="00C55CDE" w:rsidRPr="005424D2" w14:paraId="4C728B7C" w14:textId="77777777" w:rsidTr="00C55CDE">
        <w:trPr>
          <w:trHeight w:val="384"/>
        </w:trPr>
        <w:tc>
          <w:tcPr>
            <w:tcW w:w="2804" w:type="dxa"/>
            <w:tcBorders>
              <w:top w:val="single" w:sz="4" w:space="0" w:color="auto"/>
              <w:bottom w:val="single" w:sz="4" w:space="0" w:color="auto"/>
            </w:tcBorders>
            <w:hideMark/>
          </w:tcPr>
          <w:p w14:paraId="062FB67E" w14:textId="77777777" w:rsidR="0030211E" w:rsidRPr="005B7937" w:rsidRDefault="0030211E" w:rsidP="0030211E">
            <w:pPr>
              <w:rPr>
                <w:rFonts w:ascii="Times New Roman" w:hAnsi="Times New Roman" w:cs="Times New Roman"/>
                <w:b/>
                <w:bCs/>
              </w:rPr>
            </w:pPr>
            <w:r w:rsidRPr="005B7937">
              <w:rPr>
                <w:rFonts w:ascii="Times New Roman" w:hAnsi="Times New Roman" w:cs="Times New Roman"/>
                <w:b/>
                <w:bCs/>
              </w:rPr>
              <w:t> BAS Subscale</w:t>
            </w:r>
          </w:p>
        </w:tc>
        <w:tc>
          <w:tcPr>
            <w:tcW w:w="1591" w:type="dxa"/>
            <w:tcBorders>
              <w:top w:val="single" w:sz="4" w:space="0" w:color="auto"/>
              <w:bottom w:val="single" w:sz="4" w:space="0" w:color="auto"/>
            </w:tcBorders>
            <w:hideMark/>
          </w:tcPr>
          <w:p w14:paraId="6F78BC8A" w14:textId="77777777" w:rsidR="0030211E" w:rsidRPr="005424D2" w:rsidRDefault="0030211E" w:rsidP="0030211E">
            <w:pPr>
              <w:rPr>
                <w:rFonts w:ascii="Times New Roman" w:hAnsi="Times New Roman" w:cs="Times New Roman"/>
              </w:rPr>
            </w:pPr>
            <w:r w:rsidRPr="005424D2">
              <w:rPr>
                <w:rFonts w:ascii="Times New Roman" w:hAnsi="Times New Roman" w:cs="Times New Roman"/>
                <w:b/>
                <w:bCs/>
              </w:rPr>
              <w:t>Users</w:t>
            </w:r>
          </w:p>
        </w:tc>
        <w:tc>
          <w:tcPr>
            <w:tcW w:w="1506" w:type="dxa"/>
            <w:tcBorders>
              <w:top w:val="single" w:sz="4" w:space="0" w:color="auto"/>
              <w:bottom w:val="single" w:sz="4" w:space="0" w:color="auto"/>
            </w:tcBorders>
            <w:hideMark/>
          </w:tcPr>
          <w:p w14:paraId="05E5DFE4" w14:textId="77777777" w:rsidR="0030211E" w:rsidRPr="005424D2" w:rsidRDefault="0030211E" w:rsidP="0030211E">
            <w:pPr>
              <w:rPr>
                <w:rFonts w:ascii="Times New Roman" w:hAnsi="Times New Roman" w:cs="Times New Roman"/>
              </w:rPr>
            </w:pPr>
            <w:r w:rsidRPr="005424D2">
              <w:rPr>
                <w:rFonts w:ascii="Times New Roman" w:hAnsi="Times New Roman" w:cs="Times New Roman"/>
                <w:b/>
                <w:bCs/>
              </w:rPr>
              <w:t>Non-Users</w:t>
            </w:r>
          </w:p>
        </w:tc>
        <w:tc>
          <w:tcPr>
            <w:tcW w:w="1400" w:type="dxa"/>
            <w:tcBorders>
              <w:top w:val="single" w:sz="4" w:space="0" w:color="auto"/>
              <w:bottom w:val="single" w:sz="4" w:space="0" w:color="auto"/>
            </w:tcBorders>
          </w:tcPr>
          <w:p w14:paraId="5ECAD4B7" w14:textId="3DB695D0" w:rsidR="0030211E" w:rsidRPr="005424D2" w:rsidRDefault="009B4B4E" w:rsidP="0030211E">
            <w:pPr>
              <w:rPr>
                <w:rFonts w:ascii="Times New Roman" w:hAnsi="Times New Roman" w:cs="Times New Roman"/>
                <w:b/>
                <w:bCs/>
                <w:i/>
                <w:iCs/>
              </w:rPr>
            </w:pPr>
            <w:r>
              <w:rPr>
                <w:rFonts w:ascii="Times New Roman" w:hAnsi="Times New Roman" w:cs="Times New Roman"/>
                <w:b/>
                <w:bCs/>
                <w:i/>
                <w:iCs/>
              </w:rPr>
              <w:t>t</w:t>
            </w:r>
            <w:r w:rsidR="0030211E">
              <w:rPr>
                <w:rFonts w:ascii="Times New Roman" w:hAnsi="Times New Roman" w:cs="Times New Roman"/>
                <w:b/>
                <w:bCs/>
                <w:i/>
                <w:iCs/>
              </w:rPr>
              <w:t>, p</w:t>
            </w:r>
            <w:r w:rsidR="0030211E" w:rsidRPr="003E0F8D">
              <w:rPr>
                <w:rFonts w:ascii="Times New Roman" w:hAnsi="Times New Roman" w:cs="Times New Roman"/>
                <w:b/>
                <w:bCs/>
              </w:rPr>
              <w:t>-value</w:t>
            </w:r>
          </w:p>
        </w:tc>
        <w:tc>
          <w:tcPr>
            <w:tcW w:w="1244" w:type="dxa"/>
            <w:tcBorders>
              <w:top w:val="single" w:sz="4" w:space="0" w:color="auto"/>
              <w:bottom w:val="single" w:sz="4" w:space="0" w:color="auto"/>
            </w:tcBorders>
          </w:tcPr>
          <w:p w14:paraId="264F54BD" w14:textId="0A5E3AC3" w:rsidR="0030211E" w:rsidRPr="00C55CDE" w:rsidRDefault="00C55CDE" w:rsidP="0030211E">
            <w:pPr>
              <w:rPr>
                <w:rFonts w:ascii="Times New Roman" w:hAnsi="Times New Roman" w:cs="Times New Roman"/>
                <w:b/>
                <w:bCs/>
                <w:i/>
                <w:iCs/>
              </w:rPr>
            </w:pPr>
            <w:r w:rsidRPr="00C55CDE">
              <w:rPr>
                <w:rFonts w:ascii="Times New Roman" w:hAnsi="Times New Roman" w:cs="Times New Roman"/>
                <w:b/>
                <w:bCs/>
              </w:rPr>
              <w:t>Cohen’s</w:t>
            </w:r>
            <w:r>
              <w:rPr>
                <w:rFonts w:ascii="Times New Roman" w:hAnsi="Times New Roman" w:cs="Times New Roman"/>
                <w:b/>
                <w:bCs/>
                <w:i/>
                <w:iCs/>
              </w:rPr>
              <w:t xml:space="preserve"> d</w:t>
            </w:r>
          </w:p>
        </w:tc>
      </w:tr>
      <w:tr w:rsidR="00C55CDE" w:rsidRPr="005424D2" w14:paraId="5F704C39" w14:textId="77777777" w:rsidTr="00C55CDE">
        <w:trPr>
          <w:trHeight w:val="384"/>
        </w:trPr>
        <w:tc>
          <w:tcPr>
            <w:tcW w:w="2804" w:type="dxa"/>
            <w:tcBorders>
              <w:top w:val="nil"/>
              <w:bottom w:val="nil"/>
            </w:tcBorders>
            <w:hideMark/>
          </w:tcPr>
          <w:p w14:paraId="615DF00F" w14:textId="02FEF72C" w:rsidR="0030211E" w:rsidRPr="005B7937" w:rsidRDefault="0030211E" w:rsidP="0030211E">
            <w:pPr>
              <w:rPr>
                <w:rFonts w:ascii="Times New Roman" w:hAnsi="Times New Roman" w:cs="Times New Roman"/>
                <w:i/>
                <w:iCs/>
              </w:rPr>
            </w:pPr>
            <w:r w:rsidRPr="005B7937">
              <w:rPr>
                <w:rFonts w:ascii="Times New Roman" w:hAnsi="Times New Roman" w:cs="Times New Roman"/>
                <w:i/>
                <w:iCs/>
              </w:rPr>
              <w:t xml:space="preserve">    </w:t>
            </w:r>
            <w:r w:rsidR="00B64D4D">
              <w:rPr>
                <w:rFonts w:ascii="Times New Roman" w:hAnsi="Times New Roman" w:cs="Times New Roman"/>
                <w:i/>
                <w:iCs/>
              </w:rPr>
              <w:t>Fun-Seeking</w:t>
            </w:r>
          </w:p>
        </w:tc>
        <w:tc>
          <w:tcPr>
            <w:tcW w:w="1591" w:type="dxa"/>
            <w:tcBorders>
              <w:top w:val="nil"/>
              <w:bottom w:val="nil"/>
            </w:tcBorders>
            <w:hideMark/>
          </w:tcPr>
          <w:p w14:paraId="6BCF4B62" w14:textId="02CE6A78" w:rsidR="0030211E" w:rsidRPr="005424D2" w:rsidRDefault="009B4B4E" w:rsidP="0030211E">
            <w:pPr>
              <w:rPr>
                <w:rFonts w:ascii="Times New Roman" w:hAnsi="Times New Roman" w:cs="Times New Roman"/>
              </w:rPr>
            </w:pPr>
            <w:r>
              <w:rPr>
                <w:rFonts w:ascii="Times New Roman" w:hAnsi="Times New Roman" w:cs="Times New Roman"/>
              </w:rPr>
              <w:t>7.25</w:t>
            </w:r>
            <w:r w:rsidR="0030211E" w:rsidRPr="005424D2">
              <w:rPr>
                <w:rFonts w:ascii="Times New Roman" w:hAnsi="Times New Roman" w:cs="Times New Roman"/>
              </w:rPr>
              <w:t>±</w:t>
            </w:r>
            <w:r>
              <w:rPr>
                <w:rFonts w:ascii="Times New Roman" w:hAnsi="Times New Roman" w:cs="Times New Roman"/>
              </w:rPr>
              <w:t>2.27</w:t>
            </w:r>
          </w:p>
        </w:tc>
        <w:tc>
          <w:tcPr>
            <w:tcW w:w="1506" w:type="dxa"/>
            <w:tcBorders>
              <w:top w:val="nil"/>
              <w:bottom w:val="nil"/>
            </w:tcBorders>
            <w:hideMark/>
          </w:tcPr>
          <w:p w14:paraId="0A8BE9F0" w14:textId="7ECA0EDD" w:rsidR="0030211E" w:rsidRPr="005424D2" w:rsidRDefault="009B4B4E" w:rsidP="0030211E">
            <w:pPr>
              <w:rPr>
                <w:rFonts w:ascii="Times New Roman" w:hAnsi="Times New Roman" w:cs="Times New Roman"/>
              </w:rPr>
            </w:pPr>
            <w:r>
              <w:rPr>
                <w:rFonts w:ascii="Times New Roman" w:hAnsi="Times New Roman" w:cs="Times New Roman"/>
              </w:rPr>
              <w:t>8.07</w:t>
            </w:r>
            <w:r w:rsidRPr="005424D2">
              <w:rPr>
                <w:rFonts w:ascii="Times New Roman" w:hAnsi="Times New Roman" w:cs="Times New Roman"/>
              </w:rPr>
              <w:t>±</w:t>
            </w:r>
            <w:r>
              <w:rPr>
                <w:rFonts w:ascii="Times New Roman" w:hAnsi="Times New Roman" w:cs="Times New Roman"/>
              </w:rPr>
              <w:t>2.12</w:t>
            </w:r>
          </w:p>
        </w:tc>
        <w:tc>
          <w:tcPr>
            <w:tcW w:w="1400" w:type="dxa"/>
            <w:tcBorders>
              <w:top w:val="nil"/>
              <w:bottom w:val="nil"/>
            </w:tcBorders>
          </w:tcPr>
          <w:p w14:paraId="349A4F11" w14:textId="0A5D9B22" w:rsidR="0030211E" w:rsidRPr="005424D2" w:rsidRDefault="009B4B4E" w:rsidP="0030211E">
            <w:pPr>
              <w:rPr>
                <w:rFonts w:ascii="Times New Roman" w:hAnsi="Times New Roman" w:cs="Times New Roman"/>
              </w:rPr>
            </w:pPr>
            <w:r>
              <w:rPr>
                <w:rFonts w:ascii="Times New Roman" w:hAnsi="Times New Roman" w:cs="Times New Roman"/>
              </w:rPr>
              <w:t>1.69</w:t>
            </w:r>
            <w:r w:rsidR="0030211E">
              <w:rPr>
                <w:rFonts w:ascii="Times New Roman" w:hAnsi="Times New Roman" w:cs="Times New Roman"/>
              </w:rPr>
              <w:t>, .0</w:t>
            </w:r>
            <w:r>
              <w:rPr>
                <w:rFonts w:ascii="Times New Roman" w:hAnsi="Times New Roman" w:cs="Times New Roman"/>
              </w:rPr>
              <w:t>95</w:t>
            </w:r>
          </w:p>
        </w:tc>
        <w:tc>
          <w:tcPr>
            <w:tcW w:w="1244" w:type="dxa"/>
            <w:tcBorders>
              <w:top w:val="nil"/>
              <w:bottom w:val="nil"/>
            </w:tcBorders>
          </w:tcPr>
          <w:p w14:paraId="1ED7FF77" w14:textId="517451EA" w:rsidR="0030211E" w:rsidRDefault="008B1C76" w:rsidP="0030211E">
            <w:pPr>
              <w:rPr>
                <w:rFonts w:ascii="Times New Roman" w:hAnsi="Times New Roman" w:cs="Times New Roman"/>
              </w:rPr>
            </w:pPr>
            <w:r>
              <w:rPr>
                <w:rFonts w:ascii="Times New Roman" w:hAnsi="Times New Roman" w:cs="Times New Roman"/>
              </w:rPr>
              <w:t>.374</w:t>
            </w:r>
          </w:p>
        </w:tc>
      </w:tr>
      <w:tr w:rsidR="00C55CDE" w:rsidRPr="005424D2" w14:paraId="3ED32FE6" w14:textId="77777777" w:rsidTr="00C55CDE">
        <w:trPr>
          <w:trHeight w:val="384"/>
        </w:trPr>
        <w:tc>
          <w:tcPr>
            <w:tcW w:w="2804" w:type="dxa"/>
            <w:tcBorders>
              <w:top w:val="nil"/>
              <w:bottom w:val="nil"/>
            </w:tcBorders>
            <w:hideMark/>
          </w:tcPr>
          <w:p w14:paraId="7229184C" w14:textId="666DF6C5" w:rsidR="0030211E" w:rsidRPr="005B7937" w:rsidRDefault="00B64D4D" w:rsidP="0030211E">
            <w:pPr>
              <w:rPr>
                <w:rFonts w:ascii="Times New Roman" w:hAnsi="Times New Roman" w:cs="Times New Roman"/>
                <w:i/>
                <w:iCs/>
              </w:rPr>
            </w:pPr>
            <w:r>
              <w:rPr>
                <w:rFonts w:ascii="Times New Roman" w:hAnsi="Times New Roman" w:cs="Times New Roman"/>
                <w:i/>
                <w:iCs/>
              </w:rPr>
              <w:t xml:space="preserve">   Reward-Responsiveness</w:t>
            </w:r>
          </w:p>
        </w:tc>
        <w:tc>
          <w:tcPr>
            <w:tcW w:w="1591" w:type="dxa"/>
            <w:tcBorders>
              <w:top w:val="nil"/>
              <w:bottom w:val="nil"/>
            </w:tcBorders>
            <w:hideMark/>
          </w:tcPr>
          <w:p w14:paraId="2D960389" w14:textId="235F2415" w:rsidR="0030211E" w:rsidRPr="005424D2" w:rsidRDefault="009B4B4E" w:rsidP="0030211E">
            <w:pPr>
              <w:rPr>
                <w:rFonts w:ascii="Times New Roman" w:hAnsi="Times New Roman" w:cs="Times New Roman"/>
              </w:rPr>
            </w:pPr>
            <w:r>
              <w:rPr>
                <w:rFonts w:ascii="Times New Roman" w:hAnsi="Times New Roman" w:cs="Times New Roman"/>
              </w:rPr>
              <w:t>7.25</w:t>
            </w:r>
            <w:r w:rsidRPr="005424D2">
              <w:rPr>
                <w:rFonts w:ascii="Times New Roman" w:hAnsi="Times New Roman" w:cs="Times New Roman"/>
              </w:rPr>
              <w:t>±</w:t>
            </w:r>
            <w:r>
              <w:rPr>
                <w:rFonts w:ascii="Times New Roman" w:hAnsi="Times New Roman" w:cs="Times New Roman"/>
              </w:rPr>
              <w:t>2.07</w:t>
            </w:r>
          </w:p>
        </w:tc>
        <w:tc>
          <w:tcPr>
            <w:tcW w:w="1506" w:type="dxa"/>
            <w:tcBorders>
              <w:top w:val="nil"/>
              <w:bottom w:val="nil"/>
            </w:tcBorders>
            <w:hideMark/>
          </w:tcPr>
          <w:p w14:paraId="6F127635" w14:textId="0E357700" w:rsidR="0030211E" w:rsidRPr="005424D2" w:rsidRDefault="009B4B4E" w:rsidP="0030211E">
            <w:pPr>
              <w:rPr>
                <w:rFonts w:ascii="Times New Roman" w:hAnsi="Times New Roman" w:cs="Times New Roman"/>
              </w:rPr>
            </w:pPr>
            <w:r>
              <w:rPr>
                <w:rFonts w:ascii="Times New Roman" w:hAnsi="Times New Roman" w:cs="Times New Roman"/>
              </w:rPr>
              <w:t>7.52</w:t>
            </w:r>
            <w:r w:rsidRPr="005424D2">
              <w:rPr>
                <w:rFonts w:ascii="Times New Roman" w:hAnsi="Times New Roman" w:cs="Times New Roman"/>
              </w:rPr>
              <w:t>±</w:t>
            </w:r>
            <w:r>
              <w:rPr>
                <w:rFonts w:ascii="Times New Roman" w:hAnsi="Times New Roman" w:cs="Times New Roman"/>
              </w:rPr>
              <w:t>1.76</w:t>
            </w:r>
          </w:p>
        </w:tc>
        <w:tc>
          <w:tcPr>
            <w:tcW w:w="1400" w:type="dxa"/>
            <w:tcBorders>
              <w:top w:val="nil"/>
              <w:bottom w:val="nil"/>
            </w:tcBorders>
          </w:tcPr>
          <w:p w14:paraId="324DCE7C" w14:textId="1F4CDA28" w:rsidR="0030211E" w:rsidRPr="005424D2" w:rsidRDefault="009B4B4E" w:rsidP="0030211E">
            <w:pPr>
              <w:rPr>
                <w:rFonts w:ascii="Times New Roman" w:hAnsi="Times New Roman" w:cs="Times New Roman"/>
              </w:rPr>
            </w:pPr>
            <w:r>
              <w:rPr>
                <w:rFonts w:ascii="Times New Roman" w:hAnsi="Times New Roman" w:cs="Times New Roman"/>
              </w:rPr>
              <w:t>0.65</w:t>
            </w:r>
            <w:r w:rsidR="0030211E">
              <w:rPr>
                <w:rFonts w:ascii="Times New Roman" w:hAnsi="Times New Roman" w:cs="Times New Roman"/>
              </w:rPr>
              <w:t>, .</w:t>
            </w:r>
            <w:r>
              <w:rPr>
                <w:rFonts w:ascii="Times New Roman" w:hAnsi="Times New Roman" w:cs="Times New Roman"/>
              </w:rPr>
              <w:t>520</w:t>
            </w:r>
          </w:p>
        </w:tc>
        <w:tc>
          <w:tcPr>
            <w:tcW w:w="1244" w:type="dxa"/>
            <w:tcBorders>
              <w:top w:val="nil"/>
              <w:bottom w:val="nil"/>
            </w:tcBorders>
          </w:tcPr>
          <w:p w14:paraId="6DF72F01" w14:textId="4170E6E5" w:rsidR="0030211E" w:rsidRDefault="008B1C76" w:rsidP="0030211E">
            <w:pPr>
              <w:rPr>
                <w:rFonts w:ascii="Times New Roman" w:hAnsi="Times New Roman" w:cs="Times New Roman"/>
              </w:rPr>
            </w:pPr>
            <w:r>
              <w:rPr>
                <w:rFonts w:ascii="Times New Roman" w:hAnsi="Times New Roman" w:cs="Times New Roman"/>
              </w:rPr>
              <w:t>.143</w:t>
            </w:r>
          </w:p>
        </w:tc>
      </w:tr>
      <w:tr w:rsidR="00C55CDE" w:rsidRPr="005424D2" w14:paraId="6CE6294B" w14:textId="77777777" w:rsidTr="00C55CDE">
        <w:trPr>
          <w:trHeight w:val="384"/>
        </w:trPr>
        <w:tc>
          <w:tcPr>
            <w:tcW w:w="2804" w:type="dxa"/>
            <w:tcBorders>
              <w:top w:val="nil"/>
              <w:bottom w:val="single" w:sz="4" w:space="0" w:color="auto"/>
            </w:tcBorders>
            <w:hideMark/>
          </w:tcPr>
          <w:p w14:paraId="46E1722E" w14:textId="2B49678D" w:rsidR="0030211E" w:rsidRPr="005B7937" w:rsidRDefault="0030211E" w:rsidP="0030211E">
            <w:pPr>
              <w:rPr>
                <w:rFonts w:ascii="Times New Roman" w:hAnsi="Times New Roman" w:cs="Times New Roman"/>
                <w:i/>
                <w:iCs/>
              </w:rPr>
            </w:pPr>
            <w:r w:rsidRPr="005B7937">
              <w:rPr>
                <w:rFonts w:ascii="Times New Roman" w:hAnsi="Times New Roman" w:cs="Times New Roman"/>
                <w:i/>
                <w:iCs/>
              </w:rPr>
              <w:t xml:space="preserve">   </w:t>
            </w:r>
            <w:r w:rsidR="00B64D4D">
              <w:rPr>
                <w:rFonts w:ascii="Times New Roman" w:hAnsi="Times New Roman" w:cs="Times New Roman"/>
                <w:i/>
                <w:iCs/>
              </w:rPr>
              <w:t>Drive</w:t>
            </w:r>
          </w:p>
        </w:tc>
        <w:tc>
          <w:tcPr>
            <w:tcW w:w="1591" w:type="dxa"/>
            <w:tcBorders>
              <w:top w:val="nil"/>
              <w:bottom w:val="single" w:sz="4" w:space="0" w:color="auto"/>
            </w:tcBorders>
            <w:hideMark/>
          </w:tcPr>
          <w:p w14:paraId="51E63091" w14:textId="5C0F2C5D" w:rsidR="0030211E" w:rsidRPr="005424D2" w:rsidRDefault="009B4B4E" w:rsidP="0030211E">
            <w:pPr>
              <w:rPr>
                <w:rFonts w:ascii="Times New Roman" w:hAnsi="Times New Roman" w:cs="Times New Roman"/>
              </w:rPr>
            </w:pPr>
            <w:r>
              <w:rPr>
                <w:rFonts w:ascii="Times New Roman" w:hAnsi="Times New Roman" w:cs="Times New Roman"/>
              </w:rPr>
              <w:t>7.70</w:t>
            </w:r>
            <w:r w:rsidRPr="005424D2">
              <w:rPr>
                <w:rFonts w:ascii="Times New Roman" w:hAnsi="Times New Roman" w:cs="Times New Roman"/>
              </w:rPr>
              <w:t>±</w:t>
            </w:r>
            <w:r>
              <w:rPr>
                <w:rFonts w:ascii="Times New Roman" w:hAnsi="Times New Roman" w:cs="Times New Roman"/>
              </w:rPr>
              <w:t>2.30</w:t>
            </w:r>
          </w:p>
        </w:tc>
        <w:tc>
          <w:tcPr>
            <w:tcW w:w="1506" w:type="dxa"/>
            <w:tcBorders>
              <w:top w:val="nil"/>
              <w:bottom w:val="single" w:sz="4" w:space="0" w:color="auto"/>
            </w:tcBorders>
            <w:hideMark/>
          </w:tcPr>
          <w:p w14:paraId="06E20D0F" w14:textId="6BBD4405" w:rsidR="0030211E" w:rsidRPr="005424D2" w:rsidRDefault="009B4B4E" w:rsidP="0030211E">
            <w:pPr>
              <w:rPr>
                <w:rFonts w:ascii="Times New Roman" w:hAnsi="Times New Roman" w:cs="Times New Roman"/>
              </w:rPr>
            </w:pPr>
            <w:r>
              <w:rPr>
                <w:rFonts w:ascii="Times New Roman" w:hAnsi="Times New Roman" w:cs="Times New Roman"/>
              </w:rPr>
              <w:t>8.45</w:t>
            </w:r>
            <w:r w:rsidRPr="005424D2">
              <w:rPr>
                <w:rFonts w:ascii="Times New Roman" w:hAnsi="Times New Roman" w:cs="Times New Roman"/>
              </w:rPr>
              <w:t>±</w:t>
            </w:r>
            <w:r>
              <w:rPr>
                <w:rFonts w:ascii="Times New Roman" w:hAnsi="Times New Roman" w:cs="Times New Roman"/>
              </w:rPr>
              <w:t>2.55</w:t>
            </w:r>
          </w:p>
        </w:tc>
        <w:tc>
          <w:tcPr>
            <w:tcW w:w="1400" w:type="dxa"/>
            <w:tcBorders>
              <w:top w:val="nil"/>
              <w:bottom w:val="single" w:sz="4" w:space="0" w:color="auto"/>
            </w:tcBorders>
          </w:tcPr>
          <w:p w14:paraId="291BBEE2" w14:textId="44990A01" w:rsidR="0030211E" w:rsidRPr="005424D2" w:rsidRDefault="00EC553E" w:rsidP="0030211E">
            <w:pPr>
              <w:rPr>
                <w:rFonts w:ascii="Times New Roman" w:hAnsi="Times New Roman" w:cs="Times New Roman"/>
              </w:rPr>
            </w:pPr>
            <w:r>
              <w:rPr>
                <w:rFonts w:ascii="Times New Roman" w:hAnsi="Times New Roman" w:cs="Times New Roman"/>
              </w:rPr>
              <w:t>1.40</w:t>
            </w:r>
            <w:r w:rsidR="0030211E">
              <w:rPr>
                <w:rFonts w:ascii="Times New Roman" w:hAnsi="Times New Roman" w:cs="Times New Roman"/>
              </w:rPr>
              <w:t>, .</w:t>
            </w:r>
            <w:r>
              <w:rPr>
                <w:rFonts w:ascii="Times New Roman" w:hAnsi="Times New Roman" w:cs="Times New Roman"/>
              </w:rPr>
              <w:t>165</w:t>
            </w:r>
          </w:p>
        </w:tc>
        <w:tc>
          <w:tcPr>
            <w:tcW w:w="1244" w:type="dxa"/>
            <w:tcBorders>
              <w:top w:val="nil"/>
              <w:bottom w:val="single" w:sz="4" w:space="0" w:color="auto"/>
            </w:tcBorders>
          </w:tcPr>
          <w:p w14:paraId="2876B40D" w14:textId="1D3F806D" w:rsidR="0030211E" w:rsidRDefault="008B1C76" w:rsidP="0030211E">
            <w:pPr>
              <w:rPr>
                <w:rFonts w:ascii="Times New Roman" w:hAnsi="Times New Roman" w:cs="Times New Roman"/>
              </w:rPr>
            </w:pPr>
            <w:r>
              <w:rPr>
                <w:rFonts w:ascii="Times New Roman" w:hAnsi="Times New Roman" w:cs="Times New Roman"/>
              </w:rPr>
              <w:t>.309</w:t>
            </w:r>
          </w:p>
        </w:tc>
      </w:tr>
    </w:tbl>
    <w:p w14:paraId="753C95A3" w14:textId="30457817" w:rsidR="00F14A23" w:rsidRDefault="00F14A23" w:rsidP="002B5B18">
      <w:pPr>
        <w:spacing w:line="480" w:lineRule="auto"/>
        <w:rPr>
          <w:rFonts w:ascii="Times New Roman" w:hAnsi="Times New Roman" w:cs="Times New Roman"/>
          <w:b/>
          <w:bCs/>
          <w:i/>
          <w:color w:val="000000" w:themeColor="text1"/>
        </w:rPr>
      </w:pPr>
    </w:p>
    <w:p w14:paraId="741CD727" w14:textId="1176FA57" w:rsidR="00F14A23" w:rsidRDefault="00F14A23" w:rsidP="002B5B18">
      <w:pPr>
        <w:spacing w:line="480" w:lineRule="auto"/>
        <w:rPr>
          <w:rFonts w:ascii="Times New Roman" w:hAnsi="Times New Roman" w:cs="Times New Roman"/>
          <w:b/>
          <w:bCs/>
          <w:i/>
          <w:color w:val="000000" w:themeColor="text1"/>
        </w:rPr>
      </w:pPr>
    </w:p>
    <w:p w14:paraId="1C6EA929" w14:textId="5C5C3D4B" w:rsidR="00F14A23" w:rsidRDefault="00F14A23" w:rsidP="002B5B18">
      <w:pPr>
        <w:spacing w:line="480" w:lineRule="auto"/>
        <w:rPr>
          <w:rFonts w:ascii="Times New Roman" w:hAnsi="Times New Roman" w:cs="Times New Roman"/>
          <w:b/>
          <w:bCs/>
          <w:i/>
          <w:color w:val="000000" w:themeColor="text1"/>
        </w:rPr>
      </w:pPr>
    </w:p>
    <w:p w14:paraId="39ED5641" w14:textId="77777777" w:rsidR="00F14A23" w:rsidRPr="00994C85" w:rsidRDefault="00F14A23" w:rsidP="002B5B18">
      <w:pPr>
        <w:spacing w:line="480" w:lineRule="auto"/>
        <w:rPr>
          <w:rFonts w:ascii="Times New Roman" w:hAnsi="Times New Roman" w:cs="Times New Roman"/>
          <w:b/>
          <w:bCs/>
          <w:i/>
          <w:color w:val="000000" w:themeColor="text1"/>
        </w:rPr>
      </w:pPr>
    </w:p>
    <w:p w14:paraId="3911E7BD" w14:textId="3456CED8" w:rsidR="00F14A23" w:rsidRDefault="0065551D">
      <w:pPr>
        <w:rPr>
          <w:rFonts w:ascii="Times New Roman" w:hAnsi="Times New Roman" w:cs="Times New Roman"/>
          <w:b/>
          <w:bCs/>
          <w:iCs/>
          <w:color w:val="000000" w:themeColor="text1"/>
        </w:rPr>
      </w:pPr>
      <w:r>
        <w:rPr>
          <w:rFonts w:ascii="Times New Roman" w:hAnsi="Times New Roman" w:cs="Times New Roman"/>
          <w:b/>
          <w:bCs/>
          <w:i/>
          <w:color w:val="000000" w:themeColor="text1"/>
        </w:rPr>
        <w:t xml:space="preserve">Table S2. </w:t>
      </w:r>
      <w:r>
        <w:rPr>
          <w:rFonts w:ascii="Times New Roman" w:hAnsi="Times New Roman" w:cs="Times New Roman"/>
          <w:b/>
          <w:bCs/>
          <w:iCs/>
          <w:color w:val="000000" w:themeColor="text1"/>
        </w:rPr>
        <w:t>BAS Subscale Scores and EEfRT Performance</w:t>
      </w:r>
    </w:p>
    <w:p w14:paraId="014A1654" w14:textId="4C9B2A18" w:rsidR="00646B1F" w:rsidRDefault="00646B1F">
      <w:pPr>
        <w:rPr>
          <w:rFonts w:ascii="Times New Roman" w:hAnsi="Times New Roman" w:cs="Times New Roman"/>
          <w:b/>
          <w:bCs/>
          <w:iCs/>
          <w:color w:val="000000" w:themeColor="text1"/>
        </w:rPr>
      </w:pPr>
      <w:r>
        <w:rPr>
          <w:rFonts w:ascii="Times New Roman" w:hAnsi="Times New Roman" w:cs="Times New Roman"/>
          <w:iCs/>
          <w:color w:val="000000" w:themeColor="text1"/>
        </w:rPr>
        <w:t xml:space="preserve">Pearson correlations were computed between the three BAS subscale scores and the percent of hard condition choices overall on the EEfRT. The three subscales of BAS are: Drive (D), Fun-Seeking (FS), and Reward- Responsiveness (RR). </w:t>
      </w:r>
    </w:p>
    <w:p w14:paraId="44E35B91" w14:textId="77777777" w:rsidR="00F14A23" w:rsidRPr="00F14A23" w:rsidRDefault="00F14A23" w:rsidP="00F14A23">
      <w:pPr>
        <w:autoSpaceDE w:val="0"/>
        <w:autoSpaceDN w:val="0"/>
        <w:adjustRightInd w:val="0"/>
        <w:rPr>
          <w:rFonts w:ascii="Times New Roman" w:hAnsi="Times New Roman" w:cs="Times New Roman"/>
        </w:rPr>
      </w:pPr>
    </w:p>
    <w:tbl>
      <w:tblPr>
        <w:tblW w:w="7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0"/>
        <w:gridCol w:w="2003"/>
        <w:gridCol w:w="1177"/>
        <w:gridCol w:w="1239"/>
        <w:gridCol w:w="1086"/>
      </w:tblGrid>
      <w:tr w:rsidR="00F14A23" w:rsidRPr="00F14A23" w14:paraId="33F9F68C" w14:textId="77777777" w:rsidTr="00F14A23">
        <w:trPr>
          <w:cantSplit/>
        </w:trPr>
        <w:tc>
          <w:tcPr>
            <w:tcW w:w="3703" w:type="dxa"/>
            <w:gridSpan w:val="2"/>
            <w:tcBorders>
              <w:left w:val="single" w:sz="8" w:space="0" w:color="000000"/>
              <w:right w:val="nil"/>
            </w:tcBorders>
            <w:shd w:val="clear" w:color="auto" w:fill="FFFFFF"/>
            <w:vAlign w:val="bottom"/>
          </w:tcPr>
          <w:p w14:paraId="613CAEFA" w14:textId="77777777" w:rsidR="00F14A23" w:rsidRPr="00F14A23" w:rsidRDefault="00F14A23" w:rsidP="00F14A23">
            <w:pPr>
              <w:autoSpaceDE w:val="0"/>
              <w:autoSpaceDN w:val="0"/>
              <w:adjustRightInd w:val="0"/>
              <w:spacing w:line="320" w:lineRule="atLeast"/>
              <w:ind w:left="60" w:right="60"/>
              <w:rPr>
                <w:rFonts w:ascii="Times New Roman" w:hAnsi="Times New Roman" w:cs="Times New Roman"/>
                <w:color w:val="000000"/>
                <w:sz w:val="22"/>
                <w:szCs w:val="22"/>
              </w:rPr>
            </w:pPr>
          </w:p>
        </w:tc>
        <w:tc>
          <w:tcPr>
            <w:tcW w:w="1177" w:type="dxa"/>
            <w:tcBorders>
              <w:left w:val="single" w:sz="8" w:space="0" w:color="000000"/>
              <w:right w:val="single" w:sz="8" w:space="0" w:color="000000"/>
            </w:tcBorders>
            <w:shd w:val="clear" w:color="auto" w:fill="FFFFFF"/>
            <w:vAlign w:val="bottom"/>
          </w:tcPr>
          <w:p w14:paraId="6EBAACC9" w14:textId="7088B728" w:rsidR="00F14A23" w:rsidRPr="00F14A23" w:rsidRDefault="00F14A23" w:rsidP="00F14A23">
            <w:pPr>
              <w:autoSpaceDE w:val="0"/>
              <w:autoSpaceDN w:val="0"/>
              <w:adjustRightInd w:val="0"/>
              <w:spacing w:line="320" w:lineRule="atLeast"/>
              <w:ind w:left="60" w:right="60"/>
              <w:jc w:val="center"/>
              <w:rPr>
                <w:rFonts w:ascii="Times New Roman" w:hAnsi="Times New Roman" w:cs="Times New Roman"/>
                <w:b/>
                <w:bCs/>
                <w:color w:val="000000"/>
                <w:sz w:val="22"/>
                <w:szCs w:val="22"/>
              </w:rPr>
            </w:pPr>
            <w:r w:rsidRPr="00F14A23">
              <w:rPr>
                <w:rFonts w:ascii="Times New Roman" w:hAnsi="Times New Roman" w:cs="Times New Roman"/>
                <w:b/>
                <w:bCs/>
                <w:color w:val="000000"/>
                <w:sz w:val="22"/>
                <w:szCs w:val="22"/>
              </w:rPr>
              <w:t>BAS_F</w:t>
            </w:r>
            <w:r w:rsidR="00546409" w:rsidRPr="00B92907">
              <w:rPr>
                <w:rFonts w:ascii="Times New Roman" w:hAnsi="Times New Roman" w:cs="Times New Roman"/>
                <w:b/>
                <w:bCs/>
                <w:color w:val="000000"/>
                <w:sz w:val="22"/>
                <w:szCs w:val="22"/>
              </w:rPr>
              <w:t>S</w:t>
            </w:r>
          </w:p>
        </w:tc>
        <w:tc>
          <w:tcPr>
            <w:tcW w:w="1239" w:type="dxa"/>
            <w:tcBorders>
              <w:left w:val="single" w:sz="8" w:space="0" w:color="000000"/>
              <w:right w:val="single" w:sz="8" w:space="0" w:color="000000"/>
            </w:tcBorders>
            <w:shd w:val="clear" w:color="auto" w:fill="FFFFFF"/>
            <w:vAlign w:val="bottom"/>
          </w:tcPr>
          <w:p w14:paraId="0A837C5B" w14:textId="77777777" w:rsidR="00F14A23" w:rsidRPr="00F14A23" w:rsidRDefault="00F14A23" w:rsidP="00F14A23">
            <w:pPr>
              <w:autoSpaceDE w:val="0"/>
              <w:autoSpaceDN w:val="0"/>
              <w:adjustRightInd w:val="0"/>
              <w:spacing w:line="320" w:lineRule="atLeast"/>
              <w:ind w:left="60" w:right="60"/>
              <w:jc w:val="center"/>
              <w:rPr>
                <w:rFonts w:ascii="Times New Roman" w:hAnsi="Times New Roman" w:cs="Times New Roman"/>
                <w:b/>
                <w:bCs/>
                <w:color w:val="000000"/>
                <w:sz w:val="22"/>
                <w:szCs w:val="22"/>
              </w:rPr>
            </w:pPr>
            <w:r w:rsidRPr="00F14A23">
              <w:rPr>
                <w:rFonts w:ascii="Times New Roman" w:hAnsi="Times New Roman" w:cs="Times New Roman"/>
                <w:b/>
                <w:bCs/>
                <w:color w:val="000000"/>
                <w:sz w:val="22"/>
                <w:szCs w:val="22"/>
              </w:rPr>
              <w:t>BAS_RR</w:t>
            </w:r>
          </w:p>
        </w:tc>
        <w:tc>
          <w:tcPr>
            <w:tcW w:w="1086" w:type="dxa"/>
            <w:tcBorders>
              <w:left w:val="single" w:sz="8" w:space="0" w:color="000000"/>
              <w:right w:val="single" w:sz="8" w:space="0" w:color="000000"/>
            </w:tcBorders>
            <w:shd w:val="clear" w:color="auto" w:fill="FFFFFF"/>
            <w:vAlign w:val="bottom"/>
          </w:tcPr>
          <w:p w14:paraId="714660BC" w14:textId="77777777" w:rsidR="00F14A23" w:rsidRPr="00F14A23" w:rsidRDefault="00F14A23" w:rsidP="00F14A23">
            <w:pPr>
              <w:autoSpaceDE w:val="0"/>
              <w:autoSpaceDN w:val="0"/>
              <w:adjustRightInd w:val="0"/>
              <w:spacing w:line="320" w:lineRule="atLeast"/>
              <w:ind w:left="60" w:right="60"/>
              <w:jc w:val="center"/>
              <w:rPr>
                <w:rFonts w:ascii="Times New Roman" w:hAnsi="Times New Roman" w:cs="Times New Roman"/>
                <w:b/>
                <w:bCs/>
                <w:color w:val="000000"/>
                <w:sz w:val="22"/>
                <w:szCs w:val="22"/>
              </w:rPr>
            </w:pPr>
            <w:r w:rsidRPr="00F14A23">
              <w:rPr>
                <w:rFonts w:ascii="Times New Roman" w:hAnsi="Times New Roman" w:cs="Times New Roman"/>
                <w:b/>
                <w:bCs/>
                <w:color w:val="000000"/>
                <w:sz w:val="22"/>
                <w:szCs w:val="22"/>
              </w:rPr>
              <w:t>BAS_D</w:t>
            </w:r>
          </w:p>
        </w:tc>
      </w:tr>
      <w:tr w:rsidR="00F14A23" w:rsidRPr="00F14A23" w14:paraId="148A299E" w14:textId="77777777" w:rsidTr="00F14A23">
        <w:trPr>
          <w:cantSplit/>
        </w:trPr>
        <w:tc>
          <w:tcPr>
            <w:tcW w:w="1700" w:type="dxa"/>
            <w:vMerge w:val="restart"/>
            <w:tcBorders>
              <w:left w:val="single" w:sz="8" w:space="0" w:color="000000"/>
              <w:bottom w:val="single" w:sz="8" w:space="0" w:color="000000"/>
              <w:right w:val="nil"/>
            </w:tcBorders>
            <w:shd w:val="clear" w:color="auto" w:fill="FFFFFF"/>
          </w:tcPr>
          <w:p w14:paraId="17742238" w14:textId="5A62CCE7" w:rsidR="00F14A23" w:rsidRPr="00F14A23" w:rsidRDefault="00B92907" w:rsidP="00F14A23">
            <w:pPr>
              <w:autoSpaceDE w:val="0"/>
              <w:autoSpaceDN w:val="0"/>
              <w:adjustRightInd w:val="0"/>
              <w:spacing w:line="320" w:lineRule="atLeast"/>
              <w:ind w:left="60" w:right="60"/>
              <w:rPr>
                <w:rFonts w:ascii="Times New Roman" w:hAnsi="Times New Roman" w:cs="Times New Roman"/>
                <w:b/>
                <w:bCs/>
                <w:color w:val="000000"/>
                <w:sz w:val="22"/>
                <w:szCs w:val="22"/>
              </w:rPr>
            </w:pPr>
            <w:r>
              <w:rPr>
                <w:rFonts w:ascii="Times New Roman" w:hAnsi="Times New Roman" w:cs="Times New Roman"/>
                <w:b/>
                <w:bCs/>
                <w:color w:val="000000"/>
                <w:sz w:val="22"/>
                <w:szCs w:val="22"/>
              </w:rPr>
              <w:t>Percent Hard Chosen Overall</w:t>
            </w:r>
          </w:p>
        </w:tc>
        <w:tc>
          <w:tcPr>
            <w:tcW w:w="2003" w:type="dxa"/>
            <w:tcBorders>
              <w:left w:val="nil"/>
              <w:bottom w:val="nil"/>
              <w:right w:val="single" w:sz="8" w:space="0" w:color="000000"/>
            </w:tcBorders>
            <w:shd w:val="clear" w:color="auto" w:fill="FFFFFF"/>
          </w:tcPr>
          <w:p w14:paraId="5D516B26" w14:textId="77777777" w:rsidR="00F14A23" w:rsidRPr="00F14A23" w:rsidRDefault="00F14A23" w:rsidP="00F14A23">
            <w:pPr>
              <w:autoSpaceDE w:val="0"/>
              <w:autoSpaceDN w:val="0"/>
              <w:adjustRightInd w:val="0"/>
              <w:spacing w:line="320" w:lineRule="atLeast"/>
              <w:ind w:left="60" w:right="60"/>
              <w:rPr>
                <w:rFonts w:ascii="Times New Roman" w:hAnsi="Times New Roman" w:cs="Times New Roman"/>
                <w:i/>
                <w:iCs/>
                <w:color w:val="000000"/>
                <w:sz w:val="22"/>
                <w:szCs w:val="22"/>
              </w:rPr>
            </w:pPr>
            <w:r w:rsidRPr="00F14A23">
              <w:rPr>
                <w:rFonts w:ascii="Times New Roman" w:hAnsi="Times New Roman" w:cs="Times New Roman"/>
                <w:i/>
                <w:iCs/>
                <w:color w:val="000000"/>
                <w:sz w:val="22"/>
                <w:szCs w:val="22"/>
              </w:rPr>
              <w:t>Pearson Correlation</w:t>
            </w:r>
          </w:p>
        </w:tc>
        <w:tc>
          <w:tcPr>
            <w:tcW w:w="1177" w:type="dxa"/>
            <w:tcBorders>
              <w:left w:val="single" w:sz="8" w:space="0" w:color="000000"/>
              <w:bottom w:val="nil"/>
              <w:right w:val="single" w:sz="8" w:space="0" w:color="000000"/>
            </w:tcBorders>
            <w:shd w:val="clear" w:color="auto" w:fill="FFFFFF"/>
          </w:tcPr>
          <w:p w14:paraId="6B02247C" w14:textId="77777777" w:rsidR="00F14A23" w:rsidRPr="00F14A23" w:rsidRDefault="00F14A23" w:rsidP="00F14A23">
            <w:pPr>
              <w:autoSpaceDE w:val="0"/>
              <w:autoSpaceDN w:val="0"/>
              <w:adjustRightInd w:val="0"/>
              <w:spacing w:line="320" w:lineRule="atLeast"/>
              <w:ind w:left="60" w:right="60"/>
              <w:jc w:val="right"/>
              <w:rPr>
                <w:rFonts w:ascii="Times New Roman" w:hAnsi="Times New Roman" w:cs="Times New Roman"/>
                <w:color w:val="000000"/>
                <w:sz w:val="22"/>
                <w:szCs w:val="22"/>
              </w:rPr>
            </w:pPr>
            <w:r w:rsidRPr="00F14A23">
              <w:rPr>
                <w:rFonts w:ascii="Times New Roman" w:hAnsi="Times New Roman" w:cs="Times New Roman"/>
                <w:color w:val="000000"/>
                <w:sz w:val="22"/>
                <w:szCs w:val="22"/>
              </w:rPr>
              <w:t>-.200</w:t>
            </w:r>
          </w:p>
        </w:tc>
        <w:tc>
          <w:tcPr>
            <w:tcW w:w="1239" w:type="dxa"/>
            <w:tcBorders>
              <w:left w:val="single" w:sz="8" w:space="0" w:color="000000"/>
              <w:bottom w:val="nil"/>
              <w:right w:val="single" w:sz="8" w:space="0" w:color="000000"/>
            </w:tcBorders>
            <w:shd w:val="clear" w:color="auto" w:fill="FFFFFF"/>
          </w:tcPr>
          <w:p w14:paraId="4C3EA2A8" w14:textId="77777777" w:rsidR="00F14A23" w:rsidRPr="00F14A23" w:rsidRDefault="00F14A23" w:rsidP="00F14A23">
            <w:pPr>
              <w:autoSpaceDE w:val="0"/>
              <w:autoSpaceDN w:val="0"/>
              <w:adjustRightInd w:val="0"/>
              <w:spacing w:line="320" w:lineRule="atLeast"/>
              <w:ind w:left="60" w:right="60"/>
              <w:jc w:val="right"/>
              <w:rPr>
                <w:rFonts w:ascii="Times New Roman" w:hAnsi="Times New Roman" w:cs="Times New Roman"/>
                <w:color w:val="000000"/>
                <w:sz w:val="22"/>
                <w:szCs w:val="22"/>
              </w:rPr>
            </w:pPr>
            <w:r w:rsidRPr="00F14A23">
              <w:rPr>
                <w:rFonts w:ascii="Times New Roman" w:hAnsi="Times New Roman" w:cs="Times New Roman"/>
                <w:color w:val="000000"/>
                <w:sz w:val="22"/>
                <w:szCs w:val="22"/>
              </w:rPr>
              <w:t>-.067</w:t>
            </w:r>
          </w:p>
        </w:tc>
        <w:tc>
          <w:tcPr>
            <w:tcW w:w="1086" w:type="dxa"/>
            <w:tcBorders>
              <w:left w:val="single" w:sz="8" w:space="0" w:color="000000"/>
              <w:bottom w:val="nil"/>
              <w:right w:val="single" w:sz="8" w:space="0" w:color="000000"/>
            </w:tcBorders>
            <w:shd w:val="clear" w:color="auto" w:fill="FFFFFF"/>
          </w:tcPr>
          <w:p w14:paraId="19F2D961" w14:textId="77777777" w:rsidR="00F14A23" w:rsidRPr="00F14A23" w:rsidRDefault="00F14A23" w:rsidP="00F14A23">
            <w:pPr>
              <w:autoSpaceDE w:val="0"/>
              <w:autoSpaceDN w:val="0"/>
              <w:adjustRightInd w:val="0"/>
              <w:spacing w:line="320" w:lineRule="atLeast"/>
              <w:ind w:left="60" w:right="60"/>
              <w:jc w:val="right"/>
              <w:rPr>
                <w:rFonts w:ascii="Times New Roman" w:hAnsi="Times New Roman" w:cs="Times New Roman"/>
                <w:color w:val="000000"/>
                <w:sz w:val="22"/>
                <w:szCs w:val="22"/>
              </w:rPr>
            </w:pPr>
            <w:r w:rsidRPr="00F14A23">
              <w:rPr>
                <w:rFonts w:ascii="Times New Roman" w:hAnsi="Times New Roman" w:cs="Times New Roman"/>
                <w:color w:val="000000"/>
                <w:sz w:val="22"/>
                <w:szCs w:val="22"/>
              </w:rPr>
              <w:t>-.164</w:t>
            </w:r>
          </w:p>
        </w:tc>
      </w:tr>
      <w:tr w:rsidR="00F14A23" w:rsidRPr="00F14A23" w14:paraId="57C674D5" w14:textId="77777777" w:rsidTr="00F14A23">
        <w:trPr>
          <w:cantSplit/>
          <w:trHeight w:val="376"/>
        </w:trPr>
        <w:tc>
          <w:tcPr>
            <w:tcW w:w="1700" w:type="dxa"/>
            <w:vMerge/>
            <w:tcBorders>
              <w:left w:val="single" w:sz="8" w:space="0" w:color="000000"/>
              <w:bottom w:val="single" w:sz="8" w:space="0" w:color="000000"/>
              <w:right w:val="nil"/>
            </w:tcBorders>
            <w:shd w:val="clear" w:color="auto" w:fill="FFFFFF"/>
          </w:tcPr>
          <w:p w14:paraId="136B61E7" w14:textId="77777777" w:rsidR="00F14A23" w:rsidRPr="00F14A23" w:rsidRDefault="00F14A23" w:rsidP="00F14A23">
            <w:pPr>
              <w:autoSpaceDE w:val="0"/>
              <w:autoSpaceDN w:val="0"/>
              <w:adjustRightInd w:val="0"/>
              <w:rPr>
                <w:rFonts w:ascii="Times New Roman" w:hAnsi="Times New Roman" w:cs="Times New Roman"/>
                <w:color w:val="000000"/>
                <w:sz w:val="22"/>
                <w:szCs w:val="22"/>
              </w:rPr>
            </w:pPr>
          </w:p>
        </w:tc>
        <w:tc>
          <w:tcPr>
            <w:tcW w:w="2003" w:type="dxa"/>
            <w:tcBorders>
              <w:top w:val="nil"/>
              <w:left w:val="nil"/>
              <w:bottom w:val="nil"/>
              <w:right w:val="single" w:sz="8" w:space="0" w:color="000000"/>
            </w:tcBorders>
            <w:shd w:val="clear" w:color="auto" w:fill="FFFFFF"/>
          </w:tcPr>
          <w:p w14:paraId="199783AE" w14:textId="77777777" w:rsidR="00F14A23" w:rsidRPr="00F14A23" w:rsidRDefault="00F14A23" w:rsidP="00F14A23">
            <w:pPr>
              <w:autoSpaceDE w:val="0"/>
              <w:autoSpaceDN w:val="0"/>
              <w:adjustRightInd w:val="0"/>
              <w:spacing w:line="320" w:lineRule="atLeast"/>
              <w:ind w:left="60" w:right="60"/>
              <w:rPr>
                <w:rFonts w:ascii="Times New Roman" w:hAnsi="Times New Roman" w:cs="Times New Roman"/>
                <w:i/>
                <w:iCs/>
                <w:color w:val="000000"/>
                <w:sz w:val="22"/>
                <w:szCs w:val="22"/>
              </w:rPr>
            </w:pPr>
            <w:r w:rsidRPr="00F14A23">
              <w:rPr>
                <w:rFonts w:ascii="Times New Roman" w:hAnsi="Times New Roman" w:cs="Times New Roman"/>
                <w:i/>
                <w:iCs/>
                <w:color w:val="000000"/>
                <w:sz w:val="22"/>
                <w:szCs w:val="22"/>
              </w:rPr>
              <w:t>Sig. (2-tailed)</w:t>
            </w:r>
          </w:p>
        </w:tc>
        <w:tc>
          <w:tcPr>
            <w:tcW w:w="1177" w:type="dxa"/>
            <w:tcBorders>
              <w:top w:val="nil"/>
              <w:left w:val="single" w:sz="8" w:space="0" w:color="000000"/>
              <w:bottom w:val="nil"/>
              <w:right w:val="single" w:sz="8" w:space="0" w:color="000000"/>
            </w:tcBorders>
            <w:shd w:val="clear" w:color="auto" w:fill="FFFFFF"/>
          </w:tcPr>
          <w:p w14:paraId="6EF9C4CF" w14:textId="77777777" w:rsidR="00F14A23" w:rsidRPr="00F14A23" w:rsidRDefault="00F14A23" w:rsidP="00F14A23">
            <w:pPr>
              <w:autoSpaceDE w:val="0"/>
              <w:autoSpaceDN w:val="0"/>
              <w:adjustRightInd w:val="0"/>
              <w:spacing w:line="320" w:lineRule="atLeast"/>
              <w:ind w:left="60" w:right="60"/>
              <w:jc w:val="right"/>
              <w:rPr>
                <w:rFonts w:ascii="Times New Roman" w:hAnsi="Times New Roman" w:cs="Times New Roman"/>
                <w:color w:val="000000"/>
                <w:sz w:val="22"/>
                <w:szCs w:val="22"/>
              </w:rPr>
            </w:pPr>
            <w:r w:rsidRPr="00F14A23">
              <w:rPr>
                <w:rFonts w:ascii="Times New Roman" w:hAnsi="Times New Roman" w:cs="Times New Roman"/>
                <w:color w:val="000000"/>
                <w:sz w:val="22"/>
                <w:szCs w:val="22"/>
              </w:rPr>
              <w:t>.071</w:t>
            </w:r>
          </w:p>
        </w:tc>
        <w:tc>
          <w:tcPr>
            <w:tcW w:w="1239" w:type="dxa"/>
            <w:tcBorders>
              <w:top w:val="nil"/>
              <w:left w:val="single" w:sz="8" w:space="0" w:color="000000"/>
              <w:bottom w:val="nil"/>
              <w:right w:val="single" w:sz="8" w:space="0" w:color="000000"/>
            </w:tcBorders>
            <w:shd w:val="clear" w:color="auto" w:fill="FFFFFF"/>
          </w:tcPr>
          <w:p w14:paraId="7F001E93" w14:textId="77777777" w:rsidR="00F14A23" w:rsidRPr="00F14A23" w:rsidRDefault="00F14A23" w:rsidP="00F14A23">
            <w:pPr>
              <w:autoSpaceDE w:val="0"/>
              <w:autoSpaceDN w:val="0"/>
              <w:adjustRightInd w:val="0"/>
              <w:spacing w:line="320" w:lineRule="atLeast"/>
              <w:ind w:left="60" w:right="60"/>
              <w:jc w:val="right"/>
              <w:rPr>
                <w:rFonts w:ascii="Times New Roman" w:hAnsi="Times New Roman" w:cs="Times New Roman"/>
                <w:color w:val="000000"/>
                <w:sz w:val="22"/>
                <w:szCs w:val="22"/>
              </w:rPr>
            </w:pPr>
            <w:r w:rsidRPr="00F14A23">
              <w:rPr>
                <w:rFonts w:ascii="Times New Roman" w:hAnsi="Times New Roman" w:cs="Times New Roman"/>
                <w:color w:val="000000"/>
                <w:sz w:val="22"/>
                <w:szCs w:val="22"/>
              </w:rPr>
              <w:t>.551</w:t>
            </w:r>
          </w:p>
        </w:tc>
        <w:tc>
          <w:tcPr>
            <w:tcW w:w="1086" w:type="dxa"/>
            <w:tcBorders>
              <w:top w:val="nil"/>
              <w:left w:val="single" w:sz="8" w:space="0" w:color="000000"/>
              <w:bottom w:val="nil"/>
              <w:right w:val="single" w:sz="8" w:space="0" w:color="000000"/>
            </w:tcBorders>
            <w:shd w:val="clear" w:color="auto" w:fill="FFFFFF"/>
          </w:tcPr>
          <w:p w14:paraId="42A1E477" w14:textId="77777777" w:rsidR="00F14A23" w:rsidRPr="00F14A23" w:rsidRDefault="00F14A23" w:rsidP="00F14A23">
            <w:pPr>
              <w:autoSpaceDE w:val="0"/>
              <w:autoSpaceDN w:val="0"/>
              <w:adjustRightInd w:val="0"/>
              <w:spacing w:line="320" w:lineRule="atLeast"/>
              <w:ind w:left="60" w:right="60"/>
              <w:jc w:val="right"/>
              <w:rPr>
                <w:rFonts w:ascii="Times New Roman" w:hAnsi="Times New Roman" w:cs="Times New Roman"/>
                <w:color w:val="000000"/>
                <w:sz w:val="22"/>
                <w:szCs w:val="22"/>
              </w:rPr>
            </w:pPr>
            <w:r w:rsidRPr="00F14A23">
              <w:rPr>
                <w:rFonts w:ascii="Times New Roman" w:hAnsi="Times New Roman" w:cs="Times New Roman"/>
                <w:color w:val="000000"/>
                <w:sz w:val="22"/>
                <w:szCs w:val="22"/>
              </w:rPr>
              <w:t>.140</w:t>
            </w:r>
          </w:p>
        </w:tc>
      </w:tr>
      <w:tr w:rsidR="00F14A23" w:rsidRPr="00F14A23" w14:paraId="0BA9FBDE" w14:textId="77777777" w:rsidTr="00F14A23">
        <w:trPr>
          <w:cantSplit/>
        </w:trPr>
        <w:tc>
          <w:tcPr>
            <w:tcW w:w="1700" w:type="dxa"/>
            <w:vMerge/>
            <w:tcBorders>
              <w:left w:val="single" w:sz="8" w:space="0" w:color="000000"/>
              <w:bottom w:val="single" w:sz="8" w:space="0" w:color="000000"/>
              <w:right w:val="nil"/>
            </w:tcBorders>
            <w:shd w:val="clear" w:color="auto" w:fill="FFFFFF"/>
          </w:tcPr>
          <w:p w14:paraId="737CF3C8" w14:textId="77777777" w:rsidR="00F14A23" w:rsidRPr="00F14A23" w:rsidRDefault="00F14A23" w:rsidP="00F14A23">
            <w:pPr>
              <w:autoSpaceDE w:val="0"/>
              <w:autoSpaceDN w:val="0"/>
              <w:adjustRightInd w:val="0"/>
              <w:rPr>
                <w:rFonts w:ascii="Times New Roman" w:hAnsi="Times New Roman" w:cs="Times New Roman"/>
                <w:color w:val="000000"/>
                <w:sz w:val="22"/>
                <w:szCs w:val="22"/>
              </w:rPr>
            </w:pPr>
          </w:p>
        </w:tc>
        <w:tc>
          <w:tcPr>
            <w:tcW w:w="2003" w:type="dxa"/>
            <w:tcBorders>
              <w:top w:val="nil"/>
              <w:left w:val="nil"/>
              <w:bottom w:val="single" w:sz="4" w:space="0" w:color="auto"/>
              <w:right w:val="single" w:sz="8" w:space="0" w:color="000000"/>
            </w:tcBorders>
            <w:shd w:val="clear" w:color="auto" w:fill="FFFFFF"/>
          </w:tcPr>
          <w:p w14:paraId="1BA128C8" w14:textId="77777777" w:rsidR="00F14A23" w:rsidRPr="00F14A23" w:rsidRDefault="00F14A23" w:rsidP="00F14A23">
            <w:pPr>
              <w:autoSpaceDE w:val="0"/>
              <w:autoSpaceDN w:val="0"/>
              <w:adjustRightInd w:val="0"/>
              <w:spacing w:line="320" w:lineRule="atLeast"/>
              <w:ind w:left="60" w:right="60"/>
              <w:rPr>
                <w:rFonts w:ascii="Times New Roman" w:hAnsi="Times New Roman" w:cs="Times New Roman"/>
                <w:i/>
                <w:iCs/>
                <w:color w:val="000000"/>
                <w:sz w:val="22"/>
                <w:szCs w:val="22"/>
              </w:rPr>
            </w:pPr>
            <w:r w:rsidRPr="00F14A23">
              <w:rPr>
                <w:rFonts w:ascii="Times New Roman" w:hAnsi="Times New Roman" w:cs="Times New Roman"/>
                <w:i/>
                <w:iCs/>
                <w:color w:val="000000"/>
                <w:sz w:val="22"/>
                <w:szCs w:val="22"/>
              </w:rPr>
              <w:t>N</w:t>
            </w:r>
          </w:p>
        </w:tc>
        <w:tc>
          <w:tcPr>
            <w:tcW w:w="1177" w:type="dxa"/>
            <w:tcBorders>
              <w:top w:val="nil"/>
              <w:left w:val="single" w:sz="8" w:space="0" w:color="000000"/>
              <w:bottom w:val="single" w:sz="4" w:space="0" w:color="auto"/>
              <w:right w:val="single" w:sz="8" w:space="0" w:color="000000"/>
            </w:tcBorders>
            <w:shd w:val="clear" w:color="auto" w:fill="FFFFFF"/>
          </w:tcPr>
          <w:p w14:paraId="58049627" w14:textId="77777777" w:rsidR="00F14A23" w:rsidRPr="00F14A23" w:rsidRDefault="00F14A23" w:rsidP="00F14A23">
            <w:pPr>
              <w:autoSpaceDE w:val="0"/>
              <w:autoSpaceDN w:val="0"/>
              <w:adjustRightInd w:val="0"/>
              <w:spacing w:line="320" w:lineRule="atLeast"/>
              <w:ind w:left="60" w:right="60"/>
              <w:jc w:val="right"/>
              <w:rPr>
                <w:rFonts w:ascii="Times New Roman" w:hAnsi="Times New Roman" w:cs="Times New Roman"/>
                <w:color w:val="000000"/>
                <w:sz w:val="22"/>
                <w:szCs w:val="22"/>
              </w:rPr>
            </w:pPr>
            <w:r w:rsidRPr="00F14A23">
              <w:rPr>
                <w:rFonts w:ascii="Times New Roman" w:hAnsi="Times New Roman" w:cs="Times New Roman"/>
                <w:color w:val="000000"/>
                <w:sz w:val="22"/>
                <w:szCs w:val="22"/>
              </w:rPr>
              <w:t>82</w:t>
            </w:r>
          </w:p>
        </w:tc>
        <w:tc>
          <w:tcPr>
            <w:tcW w:w="1239" w:type="dxa"/>
            <w:tcBorders>
              <w:top w:val="nil"/>
              <w:left w:val="single" w:sz="8" w:space="0" w:color="000000"/>
              <w:bottom w:val="single" w:sz="4" w:space="0" w:color="auto"/>
              <w:right w:val="single" w:sz="8" w:space="0" w:color="000000"/>
            </w:tcBorders>
            <w:shd w:val="clear" w:color="auto" w:fill="FFFFFF"/>
          </w:tcPr>
          <w:p w14:paraId="43014656" w14:textId="77777777" w:rsidR="00F14A23" w:rsidRPr="00F14A23" w:rsidRDefault="00F14A23" w:rsidP="00F14A23">
            <w:pPr>
              <w:autoSpaceDE w:val="0"/>
              <w:autoSpaceDN w:val="0"/>
              <w:adjustRightInd w:val="0"/>
              <w:spacing w:line="320" w:lineRule="atLeast"/>
              <w:ind w:left="60" w:right="60"/>
              <w:jc w:val="right"/>
              <w:rPr>
                <w:rFonts w:ascii="Times New Roman" w:hAnsi="Times New Roman" w:cs="Times New Roman"/>
                <w:color w:val="000000"/>
                <w:sz w:val="22"/>
                <w:szCs w:val="22"/>
              </w:rPr>
            </w:pPr>
            <w:r w:rsidRPr="00F14A23">
              <w:rPr>
                <w:rFonts w:ascii="Times New Roman" w:hAnsi="Times New Roman" w:cs="Times New Roman"/>
                <w:color w:val="000000"/>
                <w:sz w:val="22"/>
                <w:szCs w:val="22"/>
              </w:rPr>
              <w:t>82</w:t>
            </w:r>
          </w:p>
        </w:tc>
        <w:tc>
          <w:tcPr>
            <w:tcW w:w="1086" w:type="dxa"/>
            <w:tcBorders>
              <w:top w:val="nil"/>
              <w:left w:val="single" w:sz="8" w:space="0" w:color="000000"/>
              <w:bottom w:val="single" w:sz="4" w:space="0" w:color="auto"/>
              <w:right w:val="single" w:sz="8" w:space="0" w:color="000000"/>
            </w:tcBorders>
            <w:shd w:val="clear" w:color="auto" w:fill="FFFFFF"/>
          </w:tcPr>
          <w:p w14:paraId="22F427DD" w14:textId="77777777" w:rsidR="00F14A23" w:rsidRPr="00F14A23" w:rsidRDefault="00F14A23" w:rsidP="00F14A23">
            <w:pPr>
              <w:autoSpaceDE w:val="0"/>
              <w:autoSpaceDN w:val="0"/>
              <w:adjustRightInd w:val="0"/>
              <w:spacing w:line="320" w:lineRule="atLeast"/>
              <w:ind w:left="60" w:right="60"/>
              <w:jc w:val="right"/>
              <w:rPr>
                <w:rFonts w:ascii="Times New Roman" w:hAnsi="Times New Roman" w:cs="Times New Roman"/>
                <w:color w:val="000000"/>
                <w:sz w:val="22"/>
                <w:szCs w:val="22"/>
              </w:rPr>
            </w:pPr>
            <w:r w:rsidRPr="00F14A23">
              <w:rPr>
                <w:rFonts w:ascii="Times New Roman" w:hAnsi="Times New Roman" w:cs="Times New Roman"/>
                <w:color w:val="000000"/>
                <w:sz w:val="22"/>
                <w:szCs w:val="22"/>
              </w:rPr>
              <w:t>82</w:t>
            </w:r>
          </w:p>
        </w:tc>
      </w:tr>
    </w:tbl>
    <w:p w14:paraId="13301811" w14:textId="77777777" w:rsidR="00F14A23" w:rsidRPr="00F14A23" w:rsidRDefault="00F14A23" w:rsidP="00F14A23">
      <w:pPr>
        <w:autoSpaceDE w:val="0"/>
        <w:autoSpaceDN w:val="0"/>
        <w:adjustRightInd w:val="0"/>
        <w:spacing w:line="400" w:lineRule="atLeast"/>
        <w:rPr>
          <w:rFonts w:ascii="Times New Roman" w:hAnsi="Times New Roman" w:cs="Times New Roman"/>
        </w:rPr>
      </w:pPr>
    </w:p>
    <w:p w14:paraId="7345118B" w14:textId="77777777" w:rsidR="00F14A23" w:rsidRDefault="00F14A23">
      <w:pPr>
        <w:rPr>
          <w:rFonts w:ascii="Times New Roman" w:hAnsi="Times New Roman" w:cs="Times New Roman"/>
          <w:b/>
          <w:bCs/>
          <w:iCs/>
          <w:color w:val="000000" w:themeColor="text1"/>
        </w:rPr>
      </w:pPr>
    </w:p>
    <w:p w14:paraId="10D87DA2" w14:textId="5A7D9D1F" w:rsidR="005B7937" w:rsidRDefault="005B7937">
      <w:pPr>
        <w:rPr>
          <w:rFonts w:ascii="Times New Roman" w:hAnsi="Times New Roman" w:cs="Times New Roman"/>
          <w:b/>
          <w:bCs/>
          <w:i/>
          <w:color w:val="000000" w:themeColor="text1"/>
        </w:rPr>
      </w:pPr>
      <w:r>
        <w:rPr>
          <w:rFonts w:ascii="Times New Roman" w:hAnsi="Times New Roman" w:cs="Times New Roman"/>
          <w:b/>
          <w:bCs/>
          <w:i/>
          <w:color w:val="000000" w:themeColor="text1"/>
        </w:rPr>
        <w:br w:type="page"/>
      </w:r>
    </w:p>
    <w:p w14:paraId="1B40EBD6" w14:textId="66A15BF3" w:rsidR="00994C85" w:rsidRDefault="00994C85" w:rsidP="00070E0B">
      <w:pPr>
        <w:rPr>
          <w:rFonts w:ascii="Times New Roman" w:hAnsi="Times New Roman" w:cs="Times New Roman"/>
          <w:b/>
          <w:bCs/>
          <w:iCs/>
          <w:color w:val="000000" w:themeColor="text1"/>
        </w:rPr>
      </w:pPr>
      <w:r w:rsidRPr="00994C85">
        <w:rPr>
          <w:rFonts w:ascii="Times New Roman" w:hAnsi="Times New Roman" w:cs="Times New Roman"/>
          <w:b/>
          <w:bCs/>
          <w:i/>
          <w:color w:val="000000" w:themeColor="text1"/>
        </w:rPr>
        <w:lastRenderedPageBreak/>
        <w:t>Table S</w:t>
      </w:r>
      <w:r w:rsidR="00E21782">
        <w:rPr>
          <w:rFonts w:ascii="Times New Roman" w:hAnsi="Times New Roman" w:cs="Times New Roman"/>
          <w:b/>
          <w:bCs/>
          <w:i/>
          <w:color w:val="000000" w:themeColor="text1"/>
        </w:rPr>
        <w:t>3</w:t>
      </w:r>
      <w:r w:rsidRPr="00994C85">
        <w:rPr>
          <w:rFonts w:ascii="Times New Roman" w:hAnsi="Times New Roman" w:cs="Times New Roman"/>
          <w:b/>
          <w:bCs/>
          <w:i/>
          <w:color w:val="000000" w:themeColor="text1"/>
        </w:rPr>
        <w:t xml:space="preserve">. </w:t>
      </w:r>
      <w:r w:rsidRPr="00994C85">
        <w:rPr>
          <w:rFonts w:ascii="Times New Roman" w:hAnsi="Times New Roman" w:cs="Times New Roman"/>
          <w:b/>
          <w:bCs/>
          <w:iCs/>
          <w:color w:val="000000" w:themeColor="text1"/>
        </w:rPr>
        <w:t>Alternative Multiple Linear Regression Approach</w:t>
      </w:r>
    </w:p>
    <w:p w14:paraId="606AF812" w14:textId="47631971" w:rsidR="00BF321A" w:rsidRPr="00BF321A" w:rsidRDefault="00BF321A" w:rsidP="00070E0B">
      <w:pPr>
        <w:rPr>
          <w:rFonts w:ascii="Times New Roman" w:hAnsi="Times New Roman" w:cs="Times New Roman"/>
          <w:i/>
          <w:color w:val="000000" w:themeColor="text1"/>
        </w:rPr>
      </w:pPr>
      <w:r>
        <w:rPr>
          <w:rFonts w:ascii="Times New Roman" w:hAnsi="Times New Roman" w:cs="Times New Roman"/>
          <w:iCs/>
          <w:color w:val="000000" w:themeColor="text1"/>
        </w:rPr>
        <w:t xml:space="preserve">As an alternative approach, percentage of trials for which the hard condition was chosen was used as the dependent variable with number of cannabis, tobacco, and alcohol use days out of the past 90 days as the predictors. </w:t>
      </w:r>
      <w:r w:rsidR="00070E0B">
        <w:rPr>
          <w:rFonts w:ascii="Times New Roman" w:hAnsi="Times New Roman" w:cs="Times New Roman"/>
          <w:iCs/>
          <w:color w:val="000000" w:themeColor="text1"/>
        </w:rPr>
        <w:t xml:space="preserve">The overall model was significant, but only cannabis use days was a significant predictor independently. </w:t>
      </w:r>
    </w:p>
    <w:tbl>
      <w:tblPr>
        <w:tblStyle w:val="TableGrid"/>
        <w:tblpPr w:leftFromText="180" w:rightFromText="180" w:vertAnchor="page" w:horzAnchor="margin" w:tblpY="3042"/>
        <w:tblW w:w="9625" w:type="dxa"/>
        <w:tblLook w:val="04A0" w:firstRow="1" w:lastRow="0" w:firstColumn="1" w:lastColumn="0" w:noHBand="0" w:noVBand="1"/>
      </w:tblPr>
      <w:tblGrid>
        <w:gridCol w:w="3235"/>
        <w:gridCol w:w="1440"/>
        <w:gridCol w:w="1260"/>
        <w:gridCol w:w="2520"/>
        <w:gridCol w:w="1170"/>
      </w:tblGrid>
      <w:tr w:rsidR="006D1C8F" w:rsidRPr="005424D2" w14:paraId="06D6B110" w14:textId="77777777" w:rsidTr="009C6D4E">
        <w:trPr>
          <w:trHeight w:val="350"/>
        </w:trPr>
        <w:tc>
          <w:tcPr>
            <w:tcW w:w="3235" w:type="dxa"/>
            <w:tcBorders>
              <w:top w:val="single" w:sz="4" w:space="0" w:color="auto"/>
              <w:bottom w:val="single" w:sz="4" w:space="0" w:color="auto"/>
            </w:tcBorders>
            <w:hideMark/>
          </w:tcPr>
          <w:p w14:paraId="13F88C96" w14:textId="77777777" w:rsidR="009B14E5" w:rsidRPr="00074811" w:rsidRDefault="009B14E5" w:rsidP="009B14E5">
            <w:pPr>
              <w:rPr>
                <w:rFonts w:ascii="Times New Roman" w:hAnsi="Times New Roman" w:cs="Times New Roman"/>
                <w:b/>
                <w:bCs/>
              </w:rPr>
            </w:pPr>
            <w:r w:rsidRPr="00DB57CE">
              <w:rPr>
                <w:rFonts w:ascii="Times New Roman" w:hAnsi="Times New Roman" w:cs="Times New Roman"/>
              </w:rPr>
              <w:t> </w:t>
            </w:r>
            <w:r>
              <w:rPr>
                <w:rFonts w:ascii="Times New Roman" w:hAnsi="Times New Roman" w:cs="Times New Roman"/>
              </w:rPr>
              <w:t>Predictor</w:t>
            </w:r>
          </w:p>
        </w:tc>
        <w:tc>
          <w:tcPr>
            <w:tcW w:w="1440" w:type="dxa"/>
            <w:tcBorders>
              <w:top w:val="single" w:sz="4" w:space="0" w:color="auto"/>
              <w:bottom w:val="single" w:sz="4" w:space="0" w:color="auto"/>
            </w:tcBorders>
            <w:hideMark/>
          </w:tcPr>
          <w:p w14:paraId="41361E0D" w14:textId="685F6BE8" w:rsidR="009B14E5" w:rsidRPr="005424D2" w:rsidRDefault="007B0EF0" w:rsidP="009B14E5">
            <w:pPr>
              <w:rPr>
                <w:rFonts w:ascii="Times New Roman" w:hAnsi="Times New Roman" w:cs="Times New Roman"/>
              </w:rPr>
            </w:pPr>
            <w:r>
              <w:rPr>
                <w:rFonts w:ascii="Times New Roman" w:hAnsi="Times New Roman" w:cs="Times New Roman"/>
                <w:b/>
                <w:bCs/>
              </w:rPr>
              <w:t>df</w:t>
            </w:r>
          </w:p>
        </w:tc>
        <w:tc>
          <w:tcPr>
            <w:tcW w:w="1260" w:type="dxa"/>
            <w:tcBorders>
              <w:top w:val="single" w:sz="4" w:space="0" w:color="auto"/>
              <w:bottom w:val="single" w:sz="4" w:space="0" w:color="auto"/>
            </w:tcBorders>
            <w:hideMark/>
          </w:tcPr>
          <w:p w14:paraId="542B9E1B" w14:textId="52ABF9A4" w:rsidR="009B14E5" w:rsidRPr="005424D2" w:rsidRDefault="007B0EF0" w:rsidP="009B14E5">
            <w:pPr>
              <w:rPr>
                <w:rFonts w:ascii="Times New Roman" w:hAnsi="Times New Roman" w:cs="Times New Roman"/>
              </w:rPr>
            </w:pPr>
            <w:r>
              <w:rPr>
                <w:rFonts w:ascii="Times New Roman" w:hAnsi="Times New Roman" w:cs="Times New Roman"/>
                <w:b/>
                <w:bCs/>
              </w:rPr>
              <w:t>Mean Square</w:t>
            </w:r>
          </w:p>
        </w:tc>
        <w:tc>
          <w:tcPr>
            <w:tcW w:w="2520" w:type="dxa"/>
            <w:tcBorders>
              <w:top w:val="single" w:sz="4" w:space="0" w:color="auto"/>
              <w:bottom w:val="single" w:sz="4" w:space="0" w:color="auto"/>
            </w:tcBorders>
          </w:tcPr>
          <w:p w14:paraId="285D534B" w14:textId="77777777" w:rsidR="009B14E5" w:rsidRPr="005424D2" w:rsidRDefault="009B14E5" w:rsidP="009B14E5">
            <w:pPr>
              <w:rPr>
                <w:rFonts w:ascii="Times New Roman" w:hAnsi="Times New Roman" w:cs="Times New Roman"/>
                <w:b/>
                <w:bCs/>
                <w:i/>
                <w:iCs/>
              </w:rPr>
            </w:pPr>
            <w:r>
              <w:rPr>
                <w:rFonts w:ascii="Times New Roman" w:hAnsi="Times New Roman" w:cs="Times New Roman"/>
                <w:b/>
                <w:bCs/>
                <w:i/>
                <w:iCs/>
              </w:rPr>
              <w:t>F, p</w:t>
            </w:r>
            <w:r w:rsidRPr="003E0F8D">
              <w:rPr>
                <w:rFonts w:ascii="Times New Roman" w:hAnsi="Times New Roman" w:cs="Times New Roman"/>
                <w:b/>
                <w:bCs/>
              </w:rPr>
              <w:t>-value</w:t>
            </w:r>
          </w:p>
        </w:tc>
        <w:tc>
          <w:tcPr>
            <w:tcW w:w="1170" w:type="dxa"/>
            <w:tcBorders>
              <w:top w:val="single" w:sz="4" w:space="0" w:color="auto"/>
              <w:bottom w:val="single" w:sz="4" w:space="0" w:color="auto"/>
            </w:tcBorders>
          </w:tcPr>
          <w:p w14:paraId="1F5123CA" w14:textId="77777777" w:rsidR="009B14E5" w:rsidRPr="00BB5731" w:rsidRDefault="009B14E5" w:rsidP="009B14E5">
            <w:pPr>
              <w:rPr>
                <w:rFonts w:ascii="Times New Roman" w:hAnsi="Times New Roman" w:cs="Times New Roman"/>
                <w:b/>
                <w:bCs/>
                <w:i/>
                <w:iCs/>
                <w:vertAlign w:val="superscript"/>
              </w:rPr>
            </w:pPr>
            <w:r>
              <w:rPr>
                <w:rFonts w:ascii="Times New Roman" w:hAnsi="Times New Roman" w:cs="Times New Roman"/>
                <w:b/>
                <w:bCs/>
                <w:i/>
                <w:iCs/>
              </w:rPr>
              <w:t>R</w:t>
            </w:r>
            <w:r>
              <w:rPr>
                <w:rFonts w:ascii="Times New Roman" w:hAnsi="Times New Roman" w:cs="Times New Roman"/>
                <w:b/>
                <w:bCs/>
                <w:i/>
                <w:iCs/>
                <w:vertAlign w:val="superscript"/>
              </w:rPr>
              <w:t>2</w:t>
            </w:r>
          </w:p>
        </w:tc>
      </w:tr>
      <w:tr w:rsidR="006D1C8F" w:rsidRPr="005424D2" w14:paraId="27914768" w14:textId="77777777" w:rsidTr="009C6D4E">
        <w:trPr>
          <w:trHeight w:val="384"/>
        </w:trPr>
        <w:tc>
          <w:tcPr>
            <w:tcW w:w="3235" w:type="dxa"/>
            <w:tcBorders>
              <w:top w:val="nil"/>
              <w:bottom w:val="nil"/>
            </w:tcBorders>
            <w:hideMark/>
          </w:tcPr>
          <w:p w14:paraId="75535A86" w14:textId="77777777" w:rsidR="009B14E5" w:rsidRPr="00074811" w:rsidRDefault="009B14E5" w:rsidP="009B14E5">
            <w:pPr>
              <w:rPr>
                <w:rFonts w:ascii="Times New Roman" w:hAnsi="Times New Roman" w:cs="Times New Roman"/>
              </w:rPr>
            </w:pPr>
            <w:r>
              <w:rPr>
                <w:rFonts w:ascii="Times New Roman" w:hAnsi="Times New Roman" w:cs="Times New Roman"/>
              </w:rPr>
              <w:t xml:space="preserve">     Overall Model </w:t>
            </w:r>
          </w:p>
        </w:tc>
        <w:tc>
          <w:tcPr>
            <w:tcW w:w="1440" w:type="dxa"/>
            <w:tcBorders>
              <w:top w:val="nil"/>
              <w:bottom w:val="single" w:sz="4" w:space="0" w:color="auto"/>
            </w:tcBorders>
            <w:hideMark/>
          </w:tcPr>
          <w:p w14:paraId="19C4AADD" w14:textId="7248269E" w:rsidR="009B14E5" w:rsidRPr="005424D2" w:rsidRDefault="002B5F36" w:rsidP="009B14E5">
            <w:pPr>
              <w:rPr>
                <w:rFonts w:ascii="Times New Roman" w:hAnsi="Times New Roman" w:cs="Times New Roman"/>
              </w:rPr>
            </w:pPr>
            <w:r>
              <w:rPr>
                <w:rFonts w:ascii="Times New Roman" w:hAnsi="Times New Roman" w:cs="Times New Roman"/>
              </w:rPr>
              <w:t>3</w:t>
            </w:r>
          </w:p>
        </w:tc>
        <w:tc>
          <w:tcPr>
            <w:tcW w:w="1260" w:type="dxa"/>
            <w:tcBorders>
              <w:top w:val="nil"/>
              <w:bottom w:val="single" w:sz="4" w:space="0" w:color="auto"/>
            </w:tcBorders>
            <w:hideMark/>
          </w:tcPr>
          <w:p w14:paraId="28DB8E38" w14:textId="44CFFD87" w:rsidR="009B14E5" w:rsidRPr="005424D2" w:rsidRDefault="002B5F36" w:rsidP="009B14E5">
            <w:pPr>
              <w:rPr>
                <w:rFonts w:ascii="Times New Roman" w:hAnsi="Times New Roman" w:cs="Times New Roman"/>
              </w:rPr>
            </w:pPr>
            <w:r>
              <w:rPr>
                <w:rFonts w:ascii="Times New Roman" w:hAnsi="Times New Roman" w:cs="Times New Roman"/>
              </w:rPr>
              <w:t>0.141</w:t>
            </w:r>
          </w:p>
        </w:tc>
        <w:tc>
          <w:tcPr>
            <w:tcW w:w="2520" w:type="dxa"/>
            <w:tcBorders>
              <w:top w:val="nil"/>
              <w:bottom w:val="single" w:sz="4" w:space="0" w:color="auto"/>
            </w:tcBorders>
          </w:tcPr>
          <w:p w14:paraId="09EBBB16" w14:textId="77777777" w:rsidR="009B14E5" w:rsidRPr="005424D2" w:rsidRDefault="009B14E5" w:rsidP="009B14E5">
            <w:pPr>
              <w:rPr>
                <w:rFonts w:ascii="Times New Roman" w:hAnsi="Times New Roman" w:cs="Times New Roman"/>
              </w:rPr>
            </w:pPr>
            <w:r>
              <w:rPr>
                <w:rFonts w:ascii="Times New Roman" w:hAnsi="Times New Roman" w:cs="Times New Roman"/>
              </w:rPr>
              <w:t>4.12, .009**</w:t>
            </w:r>
          </w:p>
        </w:tc>
        <w:tc>
          <w:tcPr>
            <w:tcW w:w="1170" w:type="dxa"/>
            <w:tcBorders>
              <w:top w:val="nil"/>
              <w:bottom w:val="single" w:sz="4" w:space="0" w:color="auto"/>
            </w:tcBorders>
          </w:tcPr>
          <w:p w14:paraId="3374EC12" w14:textId="77777777" w:rsidR="009B14E5" w:rsidRDefault="009B14E5" w:rsidP="009B14E5">
            <w:pPr>
              <w:rPr>
                <w:rFonts w:ascii="Times New Roman" w:hAnsi="Times New Roman" w:cs="Times New Roman"/>
              </w:rPr>
            </w:pPr>
            <w:r>
              <w:rPr>
                <w:rFonts w:ascii="Times New Roman" w:hAnsi="Times New Roman" w:cs="Times New Roman"/>
              </w:rPr>
              <w:t>.140</w:t>
            </w:r>
          </w:p>
        </w:tc>
      </w:tr>
      <w:tr w:rsidR="006D1C8F" w:rsidRPr="005424D2" w14:paraId="286F919A" w14:textId="77777777" w:rsidTr="009C6D4E">
        <w:trPr>
          <w:trHeight w:val="339"/>
        </w:trPr>
        <w:tc>
          <w:tcPr>
            <w:tcW w:w="3235" w:type="dxa"/>
            <w:tcBorders>
              <w:top w:val="nil"/>
              <w:bottom w:val="nil"/>
            </w:tcBorders>
          </w:tcPr>
          <w:p w14:paraId="0B6D2498" w14:textId="77777777" w:rsidR="006D1C8F" w:rsidRPr="00767D04" w:rsidRDefault="006D1C8F" w:rsidP="009B14E5">
            <w:pPr>
              <w:rPr>
                <w:rFonts w:ascii="Times New Roman" w:hAnsi="Times New Roman" w:cs="Times New Roman"/>
                <w:i/>
                <w:iCs/>
              </w:rPr>
            </w:pPr>
            <w:r>
              <w:rPr>
                <w:rFonts w:ascii="Times New Roman" w:hAnsi="Times New Roman" w:cs="Times New Roman"/>
                <w:i/>
                <w:iCs/>
              </w:rPr>
              <w:t>Independent Variable Coefficients</w:t>
            </w:r>
          </w:p>
        </w:tc>
        <w:tc>
          <w:tcPr>
            <w:tcW w:w="2700" w:type="dxa"/>
            <w:gridSpan w:val="2"/>
            <w:tcBorders>
              <w:top w:val="single" w:sz="4" w:space="0" w:color="auto"/>
              <w:bottom w:val="single" w:sz="4" w:space="0" w:color="auto"/>
            </w:tcBorders>
          </w:tcPr>
          <w:p w14:paraId="25A25ADC" w14:textId="31D492A3" w:rsidR="006D1C8F" w:rsidRPr="002B5F36" w:rsidRDefault="006D1C8F" w:rsidP="009B14E5">
            <w:pPr>
              <w:rPr>
                <w:rFonts w:ascii="Times New Roman" w:hAnsi="Times New Roman" w:cs="Times New Roman"/>
                <w:i/>
                <w:iCs/>
              </w:rPr>
            </w:pPr>
            <w:r w:rsidRPr="002B5F36">
              <w:rPr>
                <w:rFonts w:ascii="Times New Roman" w:hAnsi="Times New Roman" w:cs="Times New Roman"/>
                <w:i/>
                <w:iCs/>
              </w:rPr>
              <w:t xml:space="preserve">Unstandardized coefficients </w:t>
            </w:r>
          </w:p>
        </w:tc>
        <w:tc>
          <w:tcPr>
            <w:tcW w:w="2520" w:type="dxa"/>
            <w:tcBorders>
              <w:top w:val="single" w:sz="4" w:space="0" w:color="auto"/>
              <w:bottom w:val="single" w:sz="4" w:space="0" w:color="auto"/>
            </w:tcBorders>
          </w:tcPr>
          <w:p w14:paraId="60847D2A" w14:textId="5B75A4B9" w:rsidR="006D1C8F" w:rsidRPr="000006A4" w:rsidRDefault="006D1C8F" w:rsidP="009B14E5">
            <w:pPr>
              <w:rPr>
                <w:rFonts w:ascii="Times New Roman" w:hAnsi="Times New Roman" w:cs="Times New Roman"/>
                <w:i/>
                <w:iCs/>
              </w:rPr>
            </w:pPr>
            <w:r>
              <w:rPr>
                <w:rFonts w:ascii="Times New Roman" w:hAnsi="Times New Roman" w:cs="Times New Roman"/>
                <w:i/>
                <w:iCs/>
              </w:rPr>
              <w:t>Standardized coefficients</w:t>
            </w:r>
          </w:p>
        </w:tc>
        <w:tc>
          <w:tcPr>
            <w:tcW w:w="1170" w:type="dxa"/>
            <w:vMerge w:val="restart"/>
            <w:tcBorders>
              <w:top w:val="single" w:sz="4" w:space="0" w:color="auto"/>
            </w:tcBorders>
          </w:tcPr>
          <w:p w14:paraId="55C2ACE4" w14:textId="2F088201" w:rsidR="006D1C8F" w:rsidRDefault="006D1C8F" w:rsidP="00381292">
            <w:pPr>
              <w:jc w:val="center"/>
              <w:rPr>
                <w:rFonts w:ascii="Times New Roman" w:hAnsi="Times New Roman" w:cs="Times New Roman"/>
              </w:rPr>
            </w:pPr>
            <w:r w:rsidRPr="006D1C8F">
              <w:rPr>
                <w:rFonts w:ascii="Times New Roman" w:hAnsi="Times New Roman" w:cs="Times New Roman"/>
                <w:i/>
                <w:iCs/>
              </w:rPr>
              <w:t>t</w:t>
            </w:r>
            <w:r>
              <w:rPr>
                <w:rFonts w:ascii="Times New Roman" w:hAnsi="Times New Roman" w:cs="Times New Roman"/>
              </w:rPr>
              <w:t xml:space="preserve">, </w:t>
            </w:r>
            <w:r w:rsidRPr="006D1C8F">
              <w:rPr>
                <w:rFonts w:ascii="Times New Roman" w:hAnsi="Times New Roman" w:cs="Times New Roman"/>
                <w:i/>
                <w:iCs/>
              </w:rPr>
              <w:t>p</w:t>
            </w:r>
            <w:r>
              <w:rPr>
                <w:rFonts w:ascii="Times New Roman" w:hAnsi="Times New Roman" w:cs="Times New Roman"/>
              </w:rPr>
              <w:t>-value</w:t>
            </w:r>
          </w:p>
        </w:tc>
      </w:tr>
      <w:tr w:rsidR="009C6D4E" w:rsidRPr="005424D2" w14:paraId="55BA09CC" w14:textId="77777777" w:rsidTr="009C6D4E">
        <w:trPr>
          <w:trHeight w:val="249"/>
        </w:trPr>
        <w:tc>
          <w:tcPr>
            <w:tcW w:w="3235" w:type="dxa"/>
            <w:tcBorders>
              <w:top w:val="nil"/>
              <w:bottom w:val="nil"/>
            </w:tcBorders>
          </w:tcPr>
          <w:p w14:paraId="493FA668" w14:textId="77777777" w:rsidR="006D1C8F" w:rsidRDefault="006D1C8F" w:rsidP="009B14E5">
            <w:pPr>
              <w:rPr>
                <w:rFonts w:ascii="Times New Roman" w:hAnsi="Times New Roman" w:cs="Times New Roman"/>
                <w:i/>
                <w:iCs/>
              </w:rPr>
            </w:pPr>
          </w:p>
        </w:tc>
        <w:tc>
          <w:tcPr>
            <w:tcW w:w="1440" w:type="dxa"/>
            <w:tcBorders>
              <w:top w:val="single" w:sz="4" w:space="0" w:color="auto"/>
              <w:bottom w:val="single" w:sz="4" w:space="0" w:color="auto"/>
            </w:tcBorders>
          </w:tcPr>
          <w:p w14:paraId="29DFB3BB" w14:textId="5D16C5A1" w:rsidR="006D1C8F" w:rsidRDefault="006D1C8F" w:rsidP="009B14E5">
            <w:pPr>
              <w:rPr>
                <w:rFonts w:ascii="Times New Roman" w:hAnsi="Times New Roman" w:cs="Times New Roman"/>
              </w:rPr>
            </w:pPr>
            <w:r>
              <w:rPr>
                <w:rFonts w:ascii="Times New Roman" w:hAnsi="Times New Roman" w:cs="Times New Roman"/>
              </w:rPr>
              <w:t>B</w:t>
            </w:r>
          </w:p>
        </w:tc>
        <w:tc>
          <w:tcPr>
            <w:tcW w:w="1260" w:type="dxa"/>
            <w:tcBorders>
              <w:top w:val="single" w:sz="4" w:space="0" w:color="auto"/>
              <w:bottom w:val="single" w:sz="4" w:space="0" w:color="auto"/>
            </w:tcBorders>
          </w:tcPr>
          <w:p w14:paraId="05FEDF82" w14:textId="2B64AC7C" w:rsidR="006D1C8F" w:rsidRPr="006D1C8F" w:rsidRDefault="006D1C8F" w:rsidP="009B14E5">
            <w:pPr>
              <w:rPr>
                <w:rFonts w:ascii="Times New Roman" w:hAnsi="Times New Roman" w:cs="Times New Roman"/>
              </w:rPr>
            </w:pPr>
            <w:r w:rsidRPr="006D1C8F">
              <w:rPr>
                <w:rFonts w:ascii="Times New Roman" w:hAnsi="Times New Roman" w:cs="Times New Roman"/>
              </w:rPr>
              <w:t>Std. error</w:t>
            </w:r>
          </w:p>
        </w:tc>
        <w:tc>
          <w:tcPr>
            <w:tcW w:w="2520" w:type="dxa"/>
            <w:tcBorders>
              <w:top w:val="single" w:sz="4" w:space="0" w:color="auto"/>
              <w:bottom w:val="single" w:sz="4" w:space="0" w:color="auto"/>
            </w:tcBorders>
          </w:tcPr>
          <w:p w14:paraId="1DD13826" w14:textId="01C58904" w:rsidR="006D1C8F" w:rsidRPr="006D1C8F" w:rsidRDefault="006D1C8F" w:rsidP="009B14E5">
            <w:pPr>
              <w:rPr>
                <w:rFonts w:ascii="Times New Roman" w:hAnsi="Times New Roman" w:cs="Times New Roman"/>
              </w:rPr>
            </w:pPr>
            <w:r w:rsidRPr="006D1C8F">
              <w:rPr>
                <w:rFonts w:ascii="Times New Roman" w:hAnsi="Times New Roman" w:cs="Times New Roman"/>
              </w:rPr>
              <w:t>Beta</w:t>
            </w:r>
          </w:p>
        </w:tc>
        <w:tc>
          <w:tcPr>
            <w:tcW w:w="1170" w:type="dxa"/>
            <w:vMerge/>
            <w:tcBorders>
              <w:bottom w:val="single" w:sz="4" w:space="0" w:color="auto"/>
            </w:tcBorders>
          </w:tcPr>
          <w:p w14:paraId="7E63CCF0" w14:textId="7C324185" w:rsidR="006D1C8F" w:rsidRDefault="006D1C8F" w:rsidP="006D1C8F">
            <w:pPr>
              <w:jc w:val="center"/>
              <w:rPr>
                <w:rFonts w:ascii="Times New Roman" w:hAnsi="Times New Roman" w:cs="Times New Roman"/>
              </w:rPr>
            </w:pPr>
          </w:p>
        </w:tc>
      </w:tr>
      <w:tr w:rsidR="006D1C8F" w:rsidRPr="005424D2" w14:paraId="7C6A2BD9" w14:textId="77777777" w:rsidTr="009C6D4E">
        <w:trPr>
          <w:trHeight w:val="384"/>
        </w:trPr>
        <w:tc>
          <w:tcPr>
            <w:tcW w:w="3235" w:type="dxa"/>
            <w:tcBorders>
              <w:top w:val="nil"/>
              <w:bottom w:val="nil"/>
            </w:tcBorders>
            <w:hideMark/>
          </w:tcPr>
          <w:p w14:paraId="5B319490" w14:textId="77777777" w:rsidR="009B14E5" w:rsidRPr="00074811" w:rsidRDefault="009B14E5" w:rsidP="009B14E5">
            <w:pPr>
              <w:rPr>
                <w:rFonts w:ascii="Times New Roman" w:hAnsi="Times New Roman" w:cs="Times New Roman"/>
              </w:rPr>
            </w:pPr>
            <w:r>
              <w:rPr>
                <w:rFonts w:ascii="Times New Roman" w:hAnsi="Times New Roman" w:cs="Times New Roman"/>
              </w:rPr>
              <w:t xml:space="preserve">     Number of Cannabis Use Days </w:t>
            </w:r>
          </w:p>
        </w:tc>
        <w:tc>
          <w:tcPr>
            <w:tcW w:w="1440" w:type="dxa"/>
            <w:tcBorders>
              <w:top w:val="single" w:sz="4" w:space="0" w:color="auto"/>
              <w:bottom w:val="nil"/>
            </w:tcBorders>
            <w:hideMark/>
          </w:tcPr>
          <w:p w14:paraId="181D4D6E" w14:textId="3CD78D7F" w:rsidR="009B14E5" w:rsidRPr="005424D2" w:rsidRDefault="002B5F36" w:rsidP="009B14E5">
            <w:pPr>
              <w:rPr>
                <w:rFonts w:ascii="Times New Roman" w:hAnsi="Times New Roman" w:cs="Times New Roman"/>
              </w:rPr>
            </w:pPr>
            <w:r>
              <w:rPr>
                <w:rFonts w:ascii="Times New Roman" w:hAnsi="Times New Roman" w:cs="Times New Roman"/>
              </w:rPr>
              <w:t>0.002</w:t>
            </w:r>
          </w:p>
        </w:tc>
        <w:tc>
          <w:tcPr>
            <w:tcW w:w="1260" w:type="dxa"/>
            <w:tcBorders>
              <w:top w:val="single" w:sz="4" w:space="0" w:color="auto"/>
              <w:bottom w:val="nil"/>
            </w:tcBorders>
            <w:hideMark/>
          </w:tcPr>
          <w:p w14:paraId="373024C4" w14:textId="4BAB2F64" w:rsidR="009B14E5" w:rsidRPr="005424D2" w:rsidRDefault="002B5F36" w:rsidP="009B14E5">
            <w:pPr>
              <w:rPr>
                <w:rFonts w:ascii="Times New Roman" w:hAnsi="Times New Roman" w:cs="Times New Roman"/>
              </w:rPr>
            </w:pPr>
            <w:r>
              <w:rPr>
                <w:rFonts w:ascii="Times New Roman" w:hAnsi="Times New Roman" w:cs="Times New Roman"/>
              </w:rPr>
              <w:t>0.001</w:t>
            </w:r>
          </w:p>
        </w:tc>
        <w:tc>
          <w:tcPr>
            <w:tcW w:w="2520" w:type="dxa"/>
            <w:tcBorders>
              <w:top w:val="single" w:sz="4" w:space="0" w:color="auto"/>
              <w:bottom w:val="nil"/>
            </w:tcBorders>
          </w:tcPr>
          <w:p w14:paraId="4CFF48B2" w14:textId="6F37D31F" w:rsidR="009B14E5" w:rsidRPr="005424D2" w:rsidRDefault="002B5F36" w:rsidP="009B14E5">
            <w:pPr>
              <w:rPr>
                <w:rFonts w:ascii="Times New Roman" w:hAnsi="Times New Roman" w:cs="Times New Roman"/>
              </w:rPr>
            </w:pPr>
            <w:r>
              <w:rPr>
                <w:rFonts w:ascii="Times New Roman" w:hAnsi="Times New Roman" w:cs="Times New Roman"/>
              </w:rPr>
              <w:t>0.311</w:t>
            </w:r>
          </w:p>
        </w:tc>
        <w:tc>
          <w:tcPr>
            <w:tcW w:w="1170" w:type="dxa"/>
            <w:tcBorders>
              <w:top w:val="single" w:sz="4" w:space="0" w:color="auto"/>
              <w:bottom w:val="nil"/>
            </w:tcBorders>
          </w:tcPr>
          <w:p w14:paraId="7894B82A" w14:textId="1C2FE62D" w:rsidR="009B14E5" w:rsidRDefault="002B5F36" w:rsidP="009B14E5">
            <w:pPr>
              <w:rPr>
                <w:rFonts w:ascii="Times New Roman" w:hAnsi="Times New Roman" w:cs="Times New Roman"/>
              </w:rPr>
            </w:pPr>
            <w:r>
              <w:rPr>
                <w:rFonts w:ascii="Times New Roman" w:hAnsi="Times New Roman" w:cs="Times New Roman"/>
              </w:rPr>
              <w:t>2.73, .008</w:t>
            </w:r>
          </w:p>
        </w:tc>
      </w:tr>
      <w:tr w:rsidR="006D1C8F" w:rsidRPr="005424D2" w14:paraId="2B698A58" w14:textId="77777777" w:rsidTr="009C6D4E">
        <w:trPr>
          <w:trHeight w:val="384"/>
        </w:trPr>
        <w:tc>
          <w:tcPr>
            <w:tcW w:w="3235" w:type="dxa"/>
            <w:tcBorders>
              <w:top w:val="nil"/>
              <w:bottom w:val="nil"/>
            </w:tcBorders>
            <w:hideMark/>
          </w:tcPr>
          <w:p w14:paraId="10212922" w14:textId="77777777" w:rsidR="009B14E5" w:rsidRPr="00074811" w:rsidRDefault="009B14E5" w:rsidP="009B14E5">
            <w:pPr>
              <w:rPr>
                <w:rFonts w:ascii="Times New Roman" w:hAnsi="Times New Roman" w:cs="Times New Roman"/>
              </w:rPr>
            </w:pPr>
            <w:r>
              <w:rPr>
                <w:rFonts w:ascii="Times New Roman" w:hAnsi="Times New Roman" w:cs="Times New Roman"/>
              </w:rPr>
              <w:t xml:space="preserve">     Number of Tobacco Use Days</w:t>
            </w:r>
          </w:p>
        </w:tc>
        <w:tc>
          <w:tcPr>
            <w:tcW w:w="1440" w:type="dxa"/>
            <w:tcBorders>
              <w:top w:val="nil"/>
              <w:bottom w:val="nil"/>
            </w:tcBorders>
            <w:hideMark/>
          </w:tcPr>
          <w:p w14:paraId="6333B638" w14:textId="2CF48D25" w:rsidR="009B14E5" w:rsidRPr="005424D2" w:rsidRDefault="002B5F36" w:rsidP="009B14E5">
            <w:pPr>
              <w:rPr>
                <w:rFonts w:ascii="Times New Roman" w:hAnsi="Times New Roman" w:cs="Times New Roman"/>
              </w:rPr>
            </w:pPr>
            <w:r>
              <w:rPr>
                <w:rFonts w:ascii="Times New Roman" w:hAnsi="Times New Roman" w:cs="Times New Roman"/>
              </w:rPr>
              <w:t>0.000</w:t>
            </w:r>
          </w:p>
        </w:tc>
        <w:tc>
          <w:tcPr>
            <w:tcW w:w="1260" w:type="dxa"/>
            <w:tcBorders>
              <w:top w:val="nil"/>
              <w:bottom w:val="nil"/>
            </w:tcBorders>
            <w:hideMark/>
          </w:tcPr>
          <w:p w14:paraId="51E27D60" w14:textId="0145F529" w:rsidR="009B14E5" w:rsidRPr="005424D2" w:rsidRDefault="002B5F36" w:rsidP="009B14E5">
            <w:pPr>
              <w:rPr>
                <w:rFonts w:ascii="Times New Roman" w:hAnsi="Times New Roman" w:cs="Times New Roman"/>
              </w:rPr>
            </w:pPr>
            <w:r>
              <w:rPr>
                <w:rFonts w:ascii="Times New Roman" w:hAnsi="Times New Roman" w:cs="Times New Roman"/>
              </w:rPr>
              <w:t>0.001</w:t>
            </w:r>
          </w:p>
        </w:tc>
        <w:tc>
          <w:tcPr>
            <w:tcW w:w="2520" w:type="dxa"/>
            <w:tcBorders>
              <w:top w:val="nil"/>
              <w:bottom w:val="nil"/>
            </w:tcBorders>
          </w:tcPr>
          <w:p w14:paraId="78F0AF74" w14:textId="749E127A" w:rsidR="009B14E5" w:rsidRPr="005424D2" w:rsidRDefault="002B5F36" w:rsidP="009B14E5">
            <w:pPr>
              <w:rPr>
                <w:rFonts w:ascii="Times New Roman" w:hAnsi="Times New Roman" w:cs="Times New Roman"/>
              </w:rPr>
            </w:pPr>
            <w:r>
              <w:rPr>
                <w:rFonts w:ascii="Times New Roman" w:hAnsi="Times New Roman" w:cs="Times New Roman"/>
              </w:rPr>
              <w:t>0</w:t>
            </w:r>
            <w:r w:rsidR="009B14E5">
              <w:rPr>
                <w:rFonts w:ascii="Times New Roman" w:hAnsi="Times New Roman" w:cs="Times New Roman"/>
              </w:rPr>
              <w:t>.</w:t>
            </w:r>
            <w:r>
              <w:rPr>
                <w:rFonts w:ascii="Times New Roman" w:hAnsi="Times New Roman" w:cs="Times New Roman"/>
              </w:rPr>
              <w:t>033</w:t>
            </w:r>
          </w:p>
        </w:tc>
        <w:tc>
          <w:tcPr>
            <w:tcW w:w="1170" w:type="dxa"/>
            <w:tcBorders>
              <w:top w:val="nil"/>
              <w:bottom w:val="nil"/>
            </w:tcBorders>
          </w:tcPr>
          <w:p w14:paraId="4487DE57" w14:textId="2933ACDF" w:rsidR="009B14E5" w:rsidRDefault="002B5F36" w:rsidP="009B14E5">
            <w:pPr>
              <w:rPr>
                <w:rFonts w:ascii="Times New Roman" w:hAnsi="Times New Roman" w:cs="Times New Roman"/>
              </w:rPr>
            </w:pPr>
            <w:r>
              <w:rPr>
                <w:rFonts w:ascii="Times New Roman" w:hAnsi="Times New Roman" w:cs="Times New Roman"/>
              </w:rPr>
              <w:t>.274, .785</w:t>
            </w:r>
          </w:p>
        </w:tc>
      </w:tr>
      <w:tr w:rsidR="006D1C8F" w:rsidRPr="005424D2" w14:paraId="2E03F62E" w14:textId="77777777" w:rsidTr="009C6D4E">
        <w:trPr>
          <w:trHeight w:val="384"/>
        </w:trPr>
        <w:tc>
          <w:tcPr>
            <w:tcW w:w="3235" w:type="dxa"/>
            <w:tcBorders>
              <w:top w:val="nil"/>
              <w:bottom w:val="single" w:sz="4" w:space="0" w:color="auto"/>
            </w:tcBorders>
            <w:hideMark/>
          </w:tcPr>
          <w:p w14:paraId="0AED2A8A" w14:textId="77777777" w:rsidR="009B14E5" w:rsidRPr="00074811" w:rsidRDefault="009B14E5" w:rsidP="009B14E5">
            <w:pPr>
              <w:rPr>
                <w:rFonts w:ascii="Times New Roman" w:hAnsi="Times New Roman" w:cs="Times New Roman"/>
              </w:rPr>
            </w:pPr>
            <w:r>
              <w:rPr>
                <w:rFonts w:ascii="Times New Roman" w:hAnsi="Times New Roman" w:cs="Times New Roman"/>
              </w:rPr>
              <w:t xml:space="preserve">     Number of Alcohol Use Days</w:t>
            </w:r>
          </w:p>
        </w:tc>
        <w:tc>
          <w:tcPr>
            <w:tcW w:w="1440" w:type="dxa"/>
            <w:tcBorders>
              <w:top w:val="nil"/>
              <w:bottom w:val="single" w:sz="4" w:space="0" w:color="auto"/>
            </w:tcBorders>
            <w:hideMark/>
          </w:tcPr>
          <w:p w14:paraId="47859812" w14:textId="22A51A7B" w:rsidR="009B14E5" w:rsidRPr="005424D2" w:rsidRDefault="002B5F36" w:rsidP="009B14E5">
            <w:pPr>
              <w:rPr>
                <w:rFonts w:ascii="Times New Roman" w:hAnsi="Times New Roman" w:cs="Times New Roman"/>
              </w:rPr>
            </w:pPr>
            <w:r>
              <w:rPr>
                <w:rFonts w:ascii="Times New Roman" w:hAnsi="Times New Roman" w:cs="Times New Roman"/>
              </w:rPr>
              <w:t>0.001</w:t>
            </w:r>
          </w:p>
        </w:tc>
        <w:tc>
          <w:tcPr>
            <w:tcW w:w="1260" w:type="dxa"/>
            <w:tcBorders>
              <w:top w:val="nil"/>
              <w:bottom w:val="single" w:sz="4" w:space="0" w:color="auto"/>
            </w:tcBorders>
            <w:hideMark/>
          </w:tcPr>
          <w:p w14:paraId="6B27BD42" w14:textId="73DAD399" w:rsidR="009B14E5" w:rsidRPr="005424D2" w:rsidRDefault="002B5F36" w:rsidP="009B14E5">
            <w:pPr>
              <w:rPr>
                <w:rFonts w:ascii="Times New Roman" w:hAnsi="Times New Roman" w:cs="Times New Roman"/>
              </w:rPr>
            </w:pPr>
            <w:r>
              <w:rPr>
                <w:rFonts w:ascii="Times New Roman" w:hAnsi="Times New Roman" w:cs="Times New Roman"/>
              </w:rPr>
              <w:t>0.002</w:t>
            </w:r>
          </w:p>
        </w:tc>
        <w:tc>
          <w:tcPr>
            <w:tcW w:w="2520" w:type="dxa"/>
            <w:tcBorders>
              <w:top w:val="nil"/>
              <w:bottom w:val="single" w:sz="4" w:space="0" w:color="auto"/>
            </w:tcBorders>
          </w:tcPr>
          <w:p w14:paraId="6E947B32" w14:textId="03C54F55" w:rsidR="009B14E5" w:rsidRPr="005424D2" w:rsidRDefault="002B5F36" w:rsidP="009B14E5">
            <w:pPr>
              <w:rPr>
                <w:rFonts w:ascii="Times New Roman" w:hAnsi="Times New Roman" w:cs="Times New Roman"/>
              </w:rPr>
            </w:pPr>
            <w:r>
              <w:rPr>
                <w:rFonts w:ascii="Times New Roman" w:hAnsi="Times New Roman" w:cs="Times New Roman"/>
              </w:rPr>
              <w:t>0.107</w:t>
            </w:r>
          </w:p>
        </w:tc>
        <w:tc>
          <w:tcPr>
            <w:tcW w:w="1170" w:type="dxa"/>
            <w:tcBorders>
              <w:top w:val="nil"/>
              <w:bottom w:val="single" w:sz="4" w:space="0" w:color="auto"/>
            </w:tcBorders>
          </w:tcPr>
          <w:p w14:paraId="51470E7F" w14:textId="7683C2FA" w:rsidR="009B14E5" w:rsidRDefault="002B5F36" w:rsidP="009B14E5">
            <w:pPr>
              <w:rPr>
                <w:rFonts w:ascii="Times New Roman" w:hAnsi="Times New Roman" w:cs="Times New Roman"/>
              </w:rPr>
            </w:pPr>
            <w:r>
              <w:rPr>
                <w:rFonts w:ascii="Times New Roman" w:hAnsi="Times New Roman" w:cs="Times New Roman"/>
              </w:rPr>
              <w:t>.863, .391</w:t>
            </w:r>
          </w:p>
        </w:tc>
      </w:tr>
    </w:tbl>
    <w:p w14:paraId="79AB3544" w14:textId="24A43275" w:rsidR="00994C85" w:rsidRDefault="00994C85" w:rsidP="002B5B18">
      <w:pPr>
        <w:spacing w:line="480" w:lineRule="auto"/>
        <w:rPr>
          <w:rFonts w:ascii="Times New Roman" w:hAnsi="Times New Roman" w:cs="Times New Roman"/>
          <w:i/>
          <w:color w:val="000000" w:themeColor="text1"/>
        </w:rPr>
      </w:pPr>
    </w:p>
    <w:p w14:paraId="18ADA068" w14:textId="77777777" w:rsidR="00994C85" w:rsidRDefault="00994C85" w:rsidP="002B5B18">
      <w:pPr>
        <w:spacing w:line="480" w:lineRule="auto"/>
        <w:rPr>
          <w:rFonts w:ascii="Times New Roman" w:hAnsi="Times New Roman" w:cs="Times New Roman"/>
          <w:i/>
          <w:color w:val="000000" w:themeColor="text1"/>
        </w:rPr>
      </w:pPr>
    </w:p>
    <w:p w14:paraId="6FC6985E" w14:textId="77777777" w:rsidR="00060516" w:rsidRDefault="00060516" w:rsidP="002B5B18">
      <w:pPr>
        <w:spacing w:line="480" w:lineRule="auto"/>
        <w:rPr>
          <w:rFonts w:ascii="Times New Roman" w:hAnsi="Times New Roman" w:cs="Times New Roman"/>
          <w:i/>
          <w:color w:val="000000" w:themeColor="text1"/>
        </w:rPr>
      </w:pPr>
    </w:p>
    <w:p w14:paraId="63FB599D" w14:textId="77777777" w:rsidR="001B36ED" w:rsidRPr="002B5B18" w:rsidRDefault="001B36ED" w:rsidP="002B5B18">
      <w:pPr>
        <w:spacing w:line="480" w:lineRule="auto"/>
        <w:rPr>
          <w:rFonts w:ascii="Times New Roman" w:hAnsi="Times New Roman" w:cs="Times New Roman"/>
          <w:i/>
          <w:color w:val="000000" w:themeColor="text1"/>
        </w:rPr>
      </w:pPr>
    </w:p>
    <w:sectPr w:rsidR="001B36ED" w:rsidRPr="002B5B18" w:rsidSect="00BF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66"/>
    <w:rsid w:val="00060516"/>
    <w:rsid w:val="00070E0B"/>
    <w:rsid w:val="000868FA"/>
    <w:rsid w:val="00086BD0"/>
    <w:rsid w:val="001B36ED"/>
    <w:rsid w:val="00275CBF"/>
    <w:rsid w:val="002B5B18"/>
    <w:rsid w:val="002B5F36"/>
    <w:rsid w:val="0030211E"/>
    <w:rsid w:val="00536272"/>
    <w:rsid w:val="00546409"/>
    <w:rsid w:val="005B7937"/>
    <w:rsid w:val="006425F2"/>
    <w:rsid w:val="00646B1F"/>
    <w:rsid w:val="00652C66"/>
    <w:rsid w:val="0065551D"/>
    <w:rsid w:val="006D1C8F"/>
    <w:rsid w:val="007B0EF0"/>
    <w:rsid w:val="008B1C76"/>
    <w:rsid w:val="00994C85"/>
    <w:rsid w:val="009B14E5"/>
    <w:rsid w:val="009B4B4E"/>
    <w:rsid w:val="009C6D4E"/>
    <w:rsid w:val="009F6ED8"/>
    <w:rsid w:val="00A36A03"/>
    <w:rsid w:val="00B64D4D"/>
    <w:rsid w:val="00B92907"/>
    <w:rsid w:val="00BF321A"/>
    <w:rsid w:val="00BF648A"/>
    <w:rsid w:val="00C55CDE"/>
    <w:rsid w:val="00E21782"/>
    <w:rsid w:val="00E24740"/>
    <w:rsid w:val="00EC4645"/>
    <w:rsid w:val="00EC553E"/>
    <w:rsid w:val="00F14A23"/>
    <w:rsid w:val="00F6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B372C"/>
  <w15:chartTrackingRefBased/>
  <w15:docId w15:val="{FF5C68AD-D8A9-604B-AD29-25A3C569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C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CBF"/>
    <w:rPr>
      <w:rFonts w:ascii="Times New Roman" w:hAnsi="Times New Roman" w:cs="Times New Roman"/>
      <w:sz w:val="18"/>
      <w:szCs w:val="18"/>
    </w:rPr>
  </w:style>
  <w:style w:type="table" w:styleId="TableGrid">
    <w:name w:val="Table Grid"/>
    <w:basedOn w:val="TableNormal"/>
    <w:uiPriority w:val="39"/>
    <w:rsid w:val="00060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Taylor</dc:creator>
  <cp:keywords/>
  <dc:description/>
  <cp:lastModifiedBy>Filbey, Francesca</cp:lastModifiedBy>
  <cp:revision>2</cp:revision>
  <dcterms:created xsi:type="dcterms:W3CDTF">2021-02-19T20:53:00Z</dcterms:created>
  <dcterms:modified xsi:type="dcterms:W3CDTF">2021-02-19T20:53:00Z</dcterms:modified>
</cp:coreProperties>
</file>