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4F992" w14:textId="77777777" w:rsidR="009B275D" w:rsidRPr="00416CF9" w:rsidRDefault="009B275D" w:rsidP="009B275D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CF9">
        <w:rPr>
          <w:rFonts w:ascii="Times New Roman" w:hAnsi="Times New Roman" w:cs="Times New Roman"/>
          <w:b/>
          <w:bCs/>
          <w:sz w:val="24"/>
          <w:szCs w:val="24"/>
        </w:rPr>
        <w:t>Supplement</w:t>
      </w:r>
    </w:p>
    <w:p w14:paraId="07D7258B" w14:textId="77777777" w:rsidR="009B275D" w:rsidRPr="00416CF9" w:rsidRDefault="009B275D" w:rsidP="009B275D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6CF9">
        <w:rPr>
          <w:rFonts w:ascii="Times New Roman" w:hAnsi="Times New Roman" w:cs="Times New Roman"/>
          <w:b/>
          <w:bCs/>
          <w:sz w:val="24"/>
          <w:szCs w:val="24"/>
        </w:rPr>
        <w:t xml:space="preserve">Supplement A: Article </w:t>
      </w:r>
      <w:r>
        <w:rPr>
          <w:rFonts w:ascii="Times New Roman" w:hAnsi="Times New Roman" w:cs="Times New Roman"/>
          <w:b/>
          <w:bCs/>
          <w:sz w:val="24"/>
          <w:szCs w:val="24"/>
        </w:rPr>
        <w:t>quality</w:t>
      </w:r>
      <w:r w:rsidRPr="00416CF9">
        <w:rPr>
          <w:rFonts w:ascii="Times New Roman" w:hAnsi="Times New Roman" w:cs="Times New Roman"/>
          <w:b/>
          <w:bCs/>
          <w:sz w:val="24"/>
          <w:szCs w:val="24"/>
        </w:rPr>
        <w:t xml:space="preserve"> rating scale adapted 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Downs &amp; Black</w:t>
      </w:r>
      <w:r w:rsidRPr="00416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ExcludeAuth="1"&gt;&lt;Author&gt;Downs&lt;/Author&gt;&lt;Year&gt;1998&lt;/Year&gt;&lt;RecNum&gt;24086&lt;/RecNum&gt;&lt;DisplayText&gt;(1998)&lt;/DisplayText&gt;&lt;record&gt;&lt;rec-number&gt;24086&lt;/rec-number&gt;&lt;foreign-keys&gt;&lt;key app="EN" db-id="5tt5zdr9m29psvev5zpvs2wowxpfwpwapwpw" timestamp="1598184928"&gt;24086&lt;/key&gt;&lt;/foreign-keys&gt;&lt;ref-type name="Journal Article"&gt;17&lt;/ref-type&gt;&lt;contributors&gt;&lt;authors&gt;&lt;author&gt;Downs, Sara H&lt;/author&gt;&lt;author&gt;Black, Nick&lt;/author&gt;&lt;/authors&gt;&lt;/contributors&gt;&lt;titles&gt;&lt;title&gt;The feasibility of creating a checklist for the assessment of the methodological quality both of randomised and non-randomised studies of health care interventions&lt;/title&gt;&lt;secondary-title&gt;Journal of Epidemiology &amp;amp; Community Health&lt;/secondary-title&gt;&lt;/titles&gt;&lt;periodical&gt;&lt;full-title&gt;Journal of Epidemiology and Community Health&lt;/full-title&gt;&lt;abbr-1&gt;J. Epidemiol. Community Health&lt;/abbr-1&gt;&lt;abbr-2&gt;J Epidemiol Community Health&lt;/abbr-2&gt;&lt;abbr-3&gt;Journal of Epidemiology &amp;amp; Community Health&lt;/abbr-3&gt;&lt;/periodical&gt;&lt;pages&gt;377-384&lt;/pages&gt;&lt;volume&gt;52&lt;/volume&gt;&lt;number&gt;6&lt;/number&gt;&lt;dates&gt;&lt;year&gt;1998&lt;/year&gt;&lt;/dates&gt;&lt;isbn&gt;0143-005X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(1998)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1803"/>
        <w:gridCol w:w="2488"/>
        <w:gridCol w:w="2627"/>
      </w:tblGrid>
      <w:tr w:rsidR="009B275D" w:rsidRPr="00416CF9" w14:paraId="5618B703" w14:textId="77777777" w:rsidTr="001F397E">
        <w:tc>
          <w:tcPr>
            <w:tcW w:w="2432" w:type="dxa"/>
          </w:tcPr>
          <w:p w14:paraId="63C7EE41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Criterion</w:t>
            </w:r>
          </w:p>
        </w:tc>
        <w:tc>
          <w:tcPr>
            <w:tcW w:w="6918" w:type="dxa"/>
            <w:gridSpan w:val="3"/>
          </w:tcPr>
          <w:p w14:paraId="080C2CA0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RATINGS</w:t>
            </w:r>
          </w:p>
        </w:tc>
      </w:tr>
      <w:tr w:rsidR="009B275D" w:rsidRPr="00416CF9" w14:paraId="08260C18" w14:textId="77777777" w:rsidTr="001F397E">
        <w:tc>
          <w:tcPr>
            <w:tcW w:w="2432" w:type="dxa"/>
          </w:tcPr>
          <w:p w14:paraId="0D31D379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14:paraId="4B8A7337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Strong</w:t>
            </w:r>
          </w:p>
          <w:p w14:paraId="1972EFE8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2 points</w:t>
            </w:r>
          </w:p>
        </w:tc>
        <w:tc>
          <w:tcPr>
            <w:tcW w:w="2488" w:type="dxa"/>
          </w:tcPr>
          <w:p w14:paraId="696A5279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Moderate</w:t>
            </w:r>
          </w:p>
          <w:p w14:paraId="2EEAD8D4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627" w:type="dxa"/>
          </w:tcPr>
          <w:p w14:paraId="028D13F0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Weak</w:t>
            </w:r>
          </w:p>
          <w:p w14:paraId="79428645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0 points</w:t>
            </w:r>
          </w:p>
        </w:tc>
      </w:tr>
      <w:tr w:rsidR="009B275D" w:rsidRPr="00416CF9" w14:paraId="4B8A9D44" w14:textId="77777777" w:rsidTr="001F397E">
        <w:tc>
          <w:tcPr>
            <w:tcW w:w="0" w:type="auto"/>
            <w:gridSpan w:val="4"/>
            <w:shd w:val="clear" w:color="auto" w:fill="F2F2F2" w:themeFill="background1" w:themeFillShade="F2"/>
          </w:tcPr>
          <w:p w14:paraId="36AAA50C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PARTICIPANT DESCRIPTON</w:t>
            </w:r>
          </w:p>
        </w:tc>
      </w:tr>
      <w:tr w:rsidR="009B275D" w:rsidRPr="00416CF9" w14:paraId="33B88EA4" w14:textId="77777777" w:rsidTr="001F397E">
        <w:tc>
          <w:tcPr>
            <w:tcW w:w="2432" w:type="dxa"/>
          </w:tcPr>
          <w:p w14:paraId="1FC026BA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Demographics (age, handedness, gender, education)</w:t>
            </w:r>
          </w:p>
        </w:tc>
        <w:tc>
          <w:tcPr>
            <w:tcW w:w="1803" w:type="dxa"/>
          </w:tcPr>
          <w:p w14:paraId="299A6C10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3+ aspects reported</w:t>
            </w:r>
          </w:p>
        </w:tc>
        <w:tc>
          <w:tcPr>
            <w:tcW w:w="2488" w:type="dxa"/>
          </w:tcPr>
          <w:p w14:paraId="24306806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1-2 aspects reported</w:t>
            </w:r>
          </w:p>
        </w:tc>
        <w:tc>
          <w:tcPr>
            <w:tcW w:w="2627" w:type="dxa"/>
          </w:tcPr>
          <w:p w14:paraId="70136938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None reported</w:t>
            </w:r>
          </w:p>
        </w:tc>
      </w:tr>
      <w:tr w:rsidR="009B275D" w:rsidRPr="00416CF9" w14:paraId="0F28B8A0" w14:textId="77777777" w:rsidTr="001F397E">
        <w:tc>
          <w:tcPr>
            <w:tcW w:w="2432" w:type="dxa"/>
          </w:tcPr>
          <w:p w14:paraId="4A4508D0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Aspects of cognition reported</w:t>
            </w:r>
          </w:p>
        </w:tc>
        <w:tc>
          <w:tcPr>
            <w:tcW w:w="1803" w:type="dxa"/>
          </w:tcPr>
          <w:p w14:paraId="556FE83B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2+ aspects</w:t>
            </w:r>
          </w:p>
        </w:tc>
        <w:tc>
          <w:tcPr>
            <w:tcW w:w="2488" w:type="dxa"/>
          </w:tcPr>
          <w:p w14:paraId="412D0303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1 aspect</w:t>
            </w:r>
          </w:p>
        </w:tc>
        <w:tc>
          <w:tcPr>
            <w:tcW w:w="2627" w:type="dxa"/>
          </w:tcPr>
          <w:p w14:paraId="76D97349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None reported</w:t>
            </w:r>
          </w:p>
        </w:tc>
      </w:tr>
      <w:tr w:rsidR="009B275D" w:rsidRPr="00416CF9" w14:paraId="1123E186" w14:textId="77777777" w:rsidTr="001F397E">
        <w:tc>
          <w:tcPr>
            <w:tcW w:w="2432" w:type="dxa"/>
          </w:tcPr>
          <w:p w14:paraId="283F8467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Concomitant disorders mentioned (depression, dysarthria, etc.)</w:t>
            </w:r>
          </w:p>
        </w:tc>
        <w:tc>
          <w:tcPr>
            <w:tcW w:w="1803" w:type="dxa"/>
          </w:tcPr>
          <w:p w14:paraId="27C738B0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2+ reported</w:t>
            </w:r>
          </w:p>
        </w:tc>
        <w:tc>
          <w:tcPr>
            <w:tcW w:w="2488" w:type="dxa"/>
          </w:tcPr>
          <w:p w14:paraId="20D6868A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1 Reported</w:t>
            </w:r>
          </w:p>
        </w:tc>
        <w:tc>
          <w:tcPr>
            <w:tcW w:w="2627" w:type="dxa"/>
          </w:tcPr>
          <w:p w14:paraId="60F4245D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None reported</w:t>
            </w:r>
          </w:p>
        </w:tc>
      </w:tr>
      <w:tr w:rsidR="009B275D" w:rsidRPr="00416CF9" w14:paraId="09D73945" w14:textId="77777777" w:rsidTr="001F397E">
        <w:tc>
          <w:tcPr>
            <w:tcW w:w="2432" w:type="dxa"/>
          </w:tcPr>
          <w:p w14:paraId="288F8E13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Aspects of communication (other than prosody) reported</w:t>
            </w:r>
          </w:p>
        </w:tc>
        <w:tc>
          <w:tcPr>
            <w:tcW w:w="1803" w:type="dxa"/>
          </w:tcPr>
          <w:p w14:paraId="264A31D1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2+ aspects</w:t>
            </w:r>
          </w:p>
        </w:tc>
        <w:tc>
          <w:tcPr>
            <w:tcW w:w="2488" w:type="dxa"/>
          </w:tcPr>
          <w:p w14:paraId="0765DA46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1 aspect</w:t>
            </w:r>
          </w:p>
        </w:tc>
        <w:tc>
          <w:tcPr>
            <w:tcW w:w="2627" w:type="dxa"/>
          </w:tcPr>
          <w:p w14:paraId="69735D82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None reported</w:t>
            </w:r>
          </w:p>
        </w:tc>
      </w:tr>
      <w:tr w:rsidR="009B275D" w:rsidRPr="00416CF9" w14:paraId="5D263CC8" w14:textId="77777777" w:rsidTr="001F397E">
        <w:tc>
          <w:tcPr>
            <w:tcW w:w="2432" w:type="dxa"/>
          </w:tcPr>
          <w:p w14:paraId="20BCB4E8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Lesion variables? (type: ischemic/hemorrhagic, #, size, location within RH)</w:t>
            </w:r>
          </w:p>
        </w:tc>
        <w:tc>
          <w:tcPr>
            <w:tcW w:w="1803" w:type="dxa"/>
          </w:tcPr>
          <w:p w14:paraId="0274DB89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3+ aspects</w:t>
            </w:r>
          </w:p>
        </w:tc>
        <w:tc>
          <w:tcPr>
            <w:tcW w:w="2488" w:type="dxa"/>
          </w:tcPr>
          <w:p w14:paraId="5816D389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1-2 aspects</w:t>
            </w:r>
          </w:p>
        </w:tc>
        <w:tc>
          <w:tcPr>
            <w:tcW w:w="2627" w:type="dxa"/>
          </w:tcPr>
          <w:p w14:paraId="7EBE1485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None (other than RH)</w:t>
            </w:r>
          </w:p>
        </w:tc>
      </w:tr>
      <w:tr w:rsidR="009B275D" w:rsidRPr="00416CF9" w14:paraId="00F51431" w14:textId="77777777" w:rsidTr="001F397E">
        <w:tc>
          <w:tcPr>
            <w:tcW w:w="2432" w:type="dxa"/>
          </w:tcPr>
          <w:p w14:paraId="1EF6B846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Months post onset</w:t>
            </w:r>
          </w:p>
        </w:tc>
        <w:tc>
          <w:tcPr>
            <w:tcW w:w="1803" w:type="dxa"/>
          </w:tcPr>
          <w:p w14:paraId="7A081351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MPO average &amp; range/variability reported</w:t>
            </w:r>
          </w:p>
        </w:tc>
        <w:tc>
          <w:tcPr>
            <w:tcW w:w="2488" w:type="dxa"/>
          </w:tcPr>
          <w:p w14:paraId="22DA0BFB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Report MPO only as a cut off (e.g., greater than 6 months)</w:t>
            </w:r>
          </w:p>
        </w:tc>
        <w:tc>
          <w:tcPr>
            <w:tcW w:w="2627" w:type="dxa"/>
          </w:tcPr>
          <w:p w14:paraId="220A51E9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None reported</w:t>
            </w:r>
          </w:p>
        </w:tc>
      </w:tr>
      <w:tr w:rsidR="009B275D" w:rsidRPr="00416CF9" w14:paraId="05D937FD" w14:textId="77777777" w:rsidTr="001F397E">
        <w:tc>
          <w:tcPr>
            <w:tcW w:w="0" w:type="auto"/>
            <w:gridSpan w:val="4"/>
            <w:shd w:val="clear" w:color="auto" w:fill="F2F2F2" w:themeFill="background1" w:themeFillShade="F2"/>
          </w:tcPr>
          <w:p w14:paraId="55144649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DEPENDENT VARIABLES</w:t>
            </w:r>
          </w:p>
        </w:tc>
      </w:tr>
      <w:tr w:rsidR="009B275D" w:rsidRPr="00416CF9" w14:paraId="71CB64DC" w14:textId="77777777" w:rsidTr="001F397E">
        <w:tc>
          <w:tcPr>
            <w:tcW w:w="2432" w:type="dxa"/>
          </w:tcPr>
          <w:p w14:paraId="79459F34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Dependent Variables</w:t>
            </w:r>
          </w:p>
        </w:tc>
        <w:tc>
          <w:tcPr>
            <w:tcW w:w="1803" w:type="dxa"/>
          </w:tcPr>
          <w:p w14:paraId="7EF973DD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Clearly defined</w:t>
            </w:r>
          </w:p>
        </w:tc>
        <w:tc>
          <w:tcPr>
            <w:tcW w:w="2488" w:type="dxa"/>
          </w:tcPr>
          <w:p w14:paraId="42DEEDBB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Decent but not completely defined</w:t>
            </w:r>
          </w:p>
        </w:tc>
        <w:tc>
          <w:tcPr>
            <w:tcW w:w="2627" w:type="dxa"/>
          </w:tcPr>
          <w:p w14:paraId="7D52EFED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Not defined</w:t>
            </w:r>
          </w:p>
        </w:tc>
      </w:tr>
      <w:tr w:rsidR="009B275D" w:rsidRPr="00416CF9" w14:paraId="21A7F18F" w14:textId="77777777" w:rsidTr="001F397E">
        <w:tc>
          <w:tcPr>
            <w:tcW w:w="2432" w:type="dxa"/>
          </w:tcPr>
          <w:p w14:paraId="22E93F3D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 xml:space="preserve">Reliability of relevant measures </w:t>
            </w:r>
          </w:p>
        </w:tc>
        <w:tc>
          <w:tcPr>
            <w:tcW w:w="1803" w:type="dxa"/>
          </w:tcPr>
          <w:p w14:paraId="692BCF9D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High reliability</w:t>
            </w:r>
          </w:p>
        </w:tc>
        <w:tc>
          <w:tcPr>
            <w:tcW w:w="2488" w:type="dxa"/>
          </w:tcPr>
          <w:p w14:paraId="50C8ACAD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Moderate reliability, or reliability of only 1 relevant measure reported</w:t>
            </w:r>
          </w:p>
        </w:tc>
        <w:tc>
          <w:tcPr>
            <w:tcW w:w="2627" w:type="dxa"/>
          </w:tcPr>
          <w:p w14:paraId="3D953F3E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None reported</w:t>
            </w:r>
          </w:p>
        </w:tc>
      </w:tr>
      <w:tr w:rsidR="009B275D" w:rsidRPr="00416CF9" w14:paraId="3D4B0454" w14:textId="77777777" w:rsidTr="001F397E">
        <w:tc>
          <w:tcPr>
            <w:tcW w:w="2432" w:type="dxa"/>
          </w:tcPr>
          <w:p w14:paraId="42EAD217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Evaluate influence of cog or comm variables</w:t>
            </w:r>
          </w:p>
        </w:tc>
        <w:tc>
          <w:tcPr>
            <w:tcW w:w="1803" w:type="dxa"/>
          </w:tcPr>
          <w:p w14:paraId="458A9FB6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 xml:space="preserve">Control for or examine 2+ variables </w:t>
            </w:r>
          </w:p>
        </w:tc>
        <w:tc>
          <w:tcPr>
            <w:tcW w:w="2488" w:type="dxa"/>
          </w:tcPr>
          <w:p w14:paraId="721DDD69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 xml:space="preserve">Control for or examine 1 variable </w:t>
            </w:r>
          </w:p>
        </w:tc>
        <w:tc>
          <w:tcPr>
            <w:tcW w:w="2627" w:type="dxa"/>
          </w:tcPr>
          <w:p w14:paraId="7EC3EC3E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 cog/comm variables controlled or examined</w:t>
            </w:r>
          </w:p>
        </w:tc>
      </w:tr>
      <w:tr w:rsidR="009B275D" w:rsidRPr="00416CF9" w14:paraId="37AFCA48" w14:textId="77777777" w:rsidTr="001F397E">
        <w:tc>
          <w:tcPr>
            <w:tcW w:w="0" w:type="auto"/>
            <w:gridSpan w:val="4"/>
            <w:shd w:val="clear" w:color="auto" w:fill="F2F2F2" w:themeFill="background1" w:themeFillShade="F2"/>
          </w:tcPr>
          <w:p w14:paraId="01F1E376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VARIABLES</w:t>
            </w:r>
          </w:p>
        </w:tc>
      </w:tr>
      <w:tr w:rsidR="009B275D" w:rsidRPr="00416CF9" w14:paraId="2B14DB92" w14:textId="77777777" w:rsidTr="001F397E">
        <w:tc>
          <w:tcPr>
            <w:tcW w:w="2432" w:type="dxa"/>
          </w:tcPr>
          <w:p w14:paraId="6DF010A3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Independent Variables</w:t>
            </w:r>
          </w:p>
        </w:tc>
        <w:tc>
          <w:tcPr>
            <w:tcW w:w="1803" w:type="dxa"/>
          </w:tcPr>
          <w:p w14:paraId="2DBB1DF3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Clearly defined</w:t>
            </w:r>
          </w:p>
        </w:tc>
        <w:tc>
          <w:tcPr>
            <w:tcW w:w="2488" w:type="dxa"/>
          </w:tcPr>
          <w:p w14:paraId="7E78B9EE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Decent but not completely defined; includes “RHD” as the independent variable with limited description of the participant pool</w:t>
            </w:r>
          </w:p>
        </w:tc>
        <w:tc>
          <w:tcPr>
            <w:tcW w:w="2627" w:type="dxa"/>
          </w:tcPr>
          <w:p w14:paraId="7881EAAD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Not defined</w:t>
            </w:r>
          </w:p>
        </w:tc>
      </w:tr>
      <w:tr w:rsidR="009B275D" w:rsidRPr="00416CF9" w14:paraId="39F32B61" w14:textId="77777777" w:rsidTr="001F397E">
        <w:tc>
          <w:tcPr>
            <w:tcW w:w="0" w:type="auto"/>
            <w:gridSpan w:val="4"/>
            <w:shd w:val="clear" w:color="auto" w:fill="F2F2F2" w:themeFill="background1" w:themeFillShade="F2"/>
          </w:tcPr>
          <w:p w14:paraId="5A383918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METHODS</w:t>
            </w:r>
          </w:p>
        </w:tc>
      </w:tr>
      <w:tr w:rsidR="009B275D" w:rsidRPr="00416CF9" w14:paraId="3315EC9F" w14:textId="77777777" w:rsidTr="001F397E">
        <w:tc>
          <w:tcPr>
            <w:tcW w:w="2432" w:type="dxa"/>
          </w:tcPr>
          <w:p w14:paraId="40D40407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Experimental Methods (including stimulus presentation, DV measurement, # sessions, location of sessions, examiner,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14:paraId="20AB4794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Described well enough to replicate</w:t>
            </w:r>
          </w:p>
        </w:tc>
        <w:tc>
          <w:tcPr>
            <w:tcW w:w="2488" w:type="dxa"/>
          </w:tcPr>
          <w:p w14:paraId="65E5B3BB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Decent but not completely described; could approximate a replication of the methods</w:t>
            </w:r>
          </w:p>
        </w:tc>
        <w:tc>
          <w:tcPr>
            <w:tcW w:w="2627" w:type="dxa"/>
          </w:tcPr>
          <w:p w14:paraId="382D0B43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Limited description; no way methods could be replicated</w:t>
            </w:r>
          </w:p>
        </w:tc>
      </w:tr>
      <w:tr w:rsidR="009B275D" w:rsidRPr="00416CF9" w14:paraId="635466D7" w14:textId="77777777" w:rsidTr="001F397E">
        <w:tc>
          <w:tcPr>
            <w:tcW w:w="2432" w:type="dxa"/>
          </w:tcPr>
          <w:p w14:paraId="6B235D16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Validity/strength of assessments for clinical characteristics of participant description</w:t>
            </w:r>
          </w:p>
        </w:tc>
        <w:tc>
          <w:tcPr>
            <w:tcW w:w="1803" w:type="dxa"/>
          </w:tcPr>
          <w:p w14:paraId="46B70037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Strong/valid measures</w:t>
            </w:r>
          </w:p>
        </w:tc>
        <w:tc>
          <w:tcPr>
            <w:tcW w:w="2488" w:type="dxa"/>
          </w:tcPr>
          <w:p w14:paraId="7590151E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Standardized but weak measures or inappropriate normative data for participant sample</w:t>
            </w:r>
          </w:p>
        </w:tc>
        <w:tc>
          <w:tcPr>
            <w:tcW w:w="2627" w:type="dxa"/>
          </w:tcPr>
          <w:p w14:paraId="3387299E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 xml:space="preserve">Unstandardized/informal measures or not reported </w:t>
            </w:r>
          </w:p>
        </w:tc>
      </w:tr>
      <w:tr w:rsidR="009B275D" w:rsidRPr="00416CF9" w14:paraId="30DE1F15" w14:textId="77777777" w:rsidTr="001F397E">
        <w:tc>
          <w:tcPr>
            <w:tcW w:w="2432" w:type="dxa"/>
          </w:tcPr>
          <w:p w14:paraId="37FA3B25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Consider influence of demographic/clinical factors – age, education, MPO</w:t>
            </w:r>
          </w:p>
        </w:tc>
        <w:tc>
          <w:tcPr>
            <w:tcW w:w="1803" w:type="dxa"/>
          </w:tcPr>
          <w:p w14:paraId="15BBC9A5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 xml:space="preserve">Control or account for 2+ factors </w:t>
            </w:r>
          </w:p>
          <w:p w14:paraId="60337231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(inclusion criteria control for heterogeneity, group analyses, or correlations)</w:t>
            </w:r>
          </w:p>
        </w:tc>
        <w:tc>
          <w:tcPr>
            <w:tcW w:w="2488" w:type="dxa"/>
          </w:tcPr>
          <w:p w14:paraId="30B0A4EF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Control for 1 factor (inclusion criteria control for heterogeneity, group analyses, or correlations)</w:t>
            </w:r>
          </w:p>
        </w:tc>
        <w:tc>
          <w:tcPr>
            <w:tcW w:w="2627" w:type="dxa"/>
          </w:tcPr>
          <w:p w14:paraId="03B42438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No consideration of factors</w:t>
            </w:r>
          </w:p>
        </w:tc>
      </w:tr>
      <w:tr w:rsidR="009B275D" w:rsidRPr="00416CF9" w14:paraId="5572557F" w14:textId="77777777" w:rsidTr="001F397E">
        <w:tc>
          <w:tcPr>
            <w:tcW w:w="2432" w:type="dxa"/>
          </w:tcPr>
          <w:p w14:paraId="545B3EF2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Study design</w:t>
            </w:r>
          </w:p>
        </w:tc>
        <w:tc>
          <w:tcPr>
            <w:tcW w:w="1803" w:type="dxa"/>
          </w:tcPr>
          <w:p w14:paraId="4B8AAD58" w14:textId="1EFDFAC4" w:rsidR="009B275D" w:rsidRPr="00416CF9" w:rsidRDefault="00EF41B4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41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</w:t>
            </w:r>
            <w:r w:rsidR="009B275D" w:rsidRPr="00416CF9">
              <w:rPr>
                <w:rFonts w:ascii="Times New Roman" w:hAnsi="Times New Roman" w:cs="Times New Roman"/>
                <w:sz w:val="24"/>
                <w:szCs w:val="24"/>
              </w:rPr>
              <w:t>ase-series experimental design (experimental = control behavior);</w:t>
            </w:r>
          </w:p>
          <w:p w14:paraId="2228E43C" w14:textId="77777777" w:rsidR="009B275D" w:rsidRPr="00416CF9" w:rsidRDefault="009B275D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6CF9">
              <w:rPr>
                <w:rFonts w:ascii="Times New Roman" w:hAnsi="Times New Roman" w:cs="Times New Roman"/>
                <w:sz w:val="24"/>
                <w:szCs w:val="24"/>
              </w:rPr>
              <w:t>large RHD group (&gt; 10) with appropriate control group</w:t>
            </w:r>
          </w:p>
        </w:tc>
        <w:tc>
          <w:tcPr>
            <w:tcW w:w="2488" w:type="dxa"/>
          </w:tcPr>
          <w:p w14:paraId="15C88E6B" w14:textId="14F71A4F" w:rsidR="009B275D" w:rsidRPr="00416CF9" w:rsidRDefault="00EF41B4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41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</w:t>
            </w:r>
            <w:r w:rsidR="009B275D" w:rsidRPr="00416CF9">
              <w:rPr>
                <w:rFonts w:ascii="Times New Roman" w:hAnsi="Times New Roman" w:cs="Times New Roman"/>
                <w:sz w:val="24"/>
                <w:szCs w:val="24"/>
              </w:rPr>
              <w:t>ingle-subject experimental design (experimental = control behavior); large RHD group without or inappropriate control; small RHD group (&lt; 10) with appropriate control group</w:t>
            </w:r>
          </w:p>
        </w:tc>
        <w:tc>
          <w:tcPr>
            <w:tcW w:w="2627" w:type="dxa"/>
          </w:tcPr>
          <w:p w14:paraId="4A0C5053" w14:textId="62A930C4" w:rsidR="009B275D" w:rsidRPr="00416CF9" w:rsidRDefault="00EF41B4" w:rsidP="001F39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41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</w:t>
            </w:r>
            <w:r w:rsidR="009B275D" w:rsidRPr="00416CF9">
              <w:rPr>
                <w:rFonts w:ascii="Times New Roman" w:hAnsi="Times New Roman" w:cs="Times New Roman"/>
                <w:sz w:val="24"/>
                <w:szCs w:val="24"/>
              </w:rPr>
              <w:t>f study fails to attain moderate rating</w:t>
            </w:r>
          </w:p>
        </w:tc>
      </w:tr>
    </w:tbl>
    <w:p w14:paraId="1E46BEB5" w14:textId="77777777" w:rsidR="009B275D" w:rsidRDefault="009B275D" w:rsidP="009B275D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EE9DE" w14:textId="77777777" w:rsidR="009B275D" w:rsidRPr="00F835B9" w:rsidRDefault="009B275D" w:rsidP="009B275D">
      <w:pPr>
        <w:spacing w:after="0" w:line="240" w:lineRule="auto"/>
      </w:pPr>
    </w:p>
    <w:p w14:paraId="47C4FAF1" w14:textId="77777777" w:rsidR="00732BDE" w:rsidRDefault="00732BDE"/>
    <w:sectPr w:rsidR="00732BDE" w:rsidSect="00483374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53657" w14:textId="77777777" w:rsidR="002A1646" w:rsidRDefault="002A1646">
      <w:pPr>
        <w:spacing w:after="0" w:line="240" w:lineRule="auto"/>
      </w:pPr>
      <w:r>
        <w:separator/>
      </w:r>
    </w:p>
  </w:endnote>
  <w:endnote w:type="continuationSeparator" w:id="0">
    <w:p w14:paraId="09DE64BC" w14:textId="77777777" w:rsidR="002A1646" w:rsidRDefault="002A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64EF" w14:textId="77777777" w:rsidR="002A1646" w:rsidRDefault="002A1646">
      <w:pPr>
        <w:spacing w:after="0" w:line="240" w:lineRule="auto"/>
      </w:pPr>
      <w:r>
        <w:separator/>
      </w:r>
    </w:p>
  </w:footnote>
  <w:footnote w:type="continuationSeparator" w:id="0">
    <w:p w14:paraId="1A64B087" w14:textId="77777777" w:rsidR="002A1646" w:rsidRDefault="002A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726126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62EA166" w14:textId="77777777" w:rsidR="006C58F8" w:rsidRDefault="009B275D" w:rsidP="00CD5F7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27EEC" w14:textId="77777777" w:rsidR="006C58F8" w:rsidRDefault="002A1646" w:rsidP="0020142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04592870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3D3528C9" w14:textId="77777777" w:rsidR="006C58F8" w:rsidRPr="003149D4" w:rsidRDefault="009B275D" w:rsidP="00CD5F7E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149D4">
          <w:rPr>
            <w:rStyle w:val="PageNumber"/>
            <w:rFonts w:ascii="Times New Roman" w:hAnsi="Times New Roman" w:cs="Times New Roman"/>
          </w:rPr>
          <w:fldChar w:fldCharType="begin"/>
        </w:r>
        <w:r w:rsidRPr="003149D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149D4">
          <w:rPr>
            <w:rStyle w:val="PageNumber"/>
            <w:rFonts w:ascii="Times New Roman" w:hAnsi="Times New Roman" w:cs="Times New Roman"/>
          </w:rPr>
          <w:fldChar w:fldCharType="separate"/>
        </w:r>
        <w:r w:rsidRPr="003149D4">
          <w:rPr>
            <w:rStyle w:val="PageNumber"/>
            <w:rFonts w:ascii="Times New Roman" w:hAnsi="Times New Roman" w:cs="Times New Roman"/>
            <w:noProof/>
          </w:rPr>
          <w:t>20</w:t>
        </w:r>
        <w:r w:rsidRPr="003149D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B6A69DB" w14:textId="77777777" w:rsidR="006C58F8" w:rsidRPr="003A3F40" w:rsidRDefault="009B275D" w:rsidP="0043271A">
    <w:pPr>
      <w:pStyle w:val="Header"/>
      <w:ind w:right="360"/>
      <w:rPr>
        <w:rFonts w:ascii="Times" w:hAnsi="Times"/>
      </w:rPr>
    </w:pPr>
    <w:r w:rsidRPr="003A3F40">
      <w:rPr>
        <w:rFonts w:ascii="Times" w:hAnsi="Times"/>
      </w:rPr>
      <w:t xml:space="preserve">RUNNING HEAD: Stockbridge - </w:t>
    </w:r>
    <w:proofErr w:type="spellStart"/>
    <w:r w:rsidRPr="003A3F40">
      <w:rPr>
        <w:rFonts w:ascii="Times" w:hAnsi="Times"/>
      </w:rPr>
      <w:t>Aprosodia</w:t>
    </w:r>
    <w:proofErr w:type="spellEnd"/>
    <w:r w:rsidRPr="003A3F40">
      <w:rPr>
        <w:rFonts w:ascii="Times" w:hAnsi="Times"/>
      </w:rPr>
      <w:t xml:space="preserve"> after right-hemisphere damage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D"/>
    <w:rsid w:val="00003E37"/>
    <w:rsid w:val="00025F44"/>
    <w:rsid w:val="00042304"/>
    <w:rsid w:val="0004570B"/>
    <w:rsid w:val="00060437"/>
    <w:rsid w:val="00070484"/>
    <w:rsid w:val="00072924"/>
    <w:rsid w:val="00096AF8"/>
    <w:rsid w:val="000C6B78"/>
    <w:rsid w:val="000D732C"/>
    <w:rsid w:val="00100AF9"/>
    <w:rsid w:val="00131E63"/>
    <w:rsid w:val="00144020"/>
    <w:rsid w:val="001468BD"/>
    <w:rsid w:val="00165B12"/>
    <w:rsid w:val="00173EDD"/>
    <w:rsid w:val="00195A33"/>
    <w:rsid w:val="00197B3D"/>
    <w:rsid w:val="001B2D8F"/>
    <w:rsid w:val="001B3A52"/>
    <w:rsid w:val="001C6775"/>
    <w:rsid w:val="001F664A"/>
    <w:rsid w:val="00205541"/>
    <w:rsid w:val="002056FB"/>
    <w:rsid w:val="0022705F"/>
    <w:rsid w:val="00240FF0"/>
    <w:rsid w:val="00244E76"/>
    <w:rsid w:val="00247FDD"/>
    <w:rsid w:val="002559FF"/>
    <w:rsid w:val="00266062"/>
    <w:rsid w:val="00266F06"/>
    <w:rsid w:val="00267883"/>
    <w:rsid w:val="002826FF"/>
    <w:rsid w:val="002A1646"/>
    <w:rsid w:val="002A4081"/>
    <w:rsid w:val="002B5034"/>
    <w:rsid w:val="002E5A92"/>
    <w:rsid w:val="002F42E8"/>
    <w:rsid w:val="002F7A91"/>
    <w:rsid w:val="00302D9B"/>
    <w:rsid w:val="0030427E"/>
    <w:rsid w:val="003202C3"/>
    <w:rsid w:val="0032407D"/>
    <w:rsid w:val="00350B53"/>
    <w:rsid w:val="003572D8"/>
    <w:rsid w:val="003625DB"/>
    <w:rsid w:val="0037094E"/>
    <w:rsid w:val="00371EF7"/>
    <w:rsid w:val="003766A2"/>
    <w:rsid w:val="00395634"/>
    <w:rsid w:val="00397D88"/>
    <w:rsid w:val="003A09E0"/>
    <w:rsid w:val="003D38CF"/>
    <w:rsid w:val="003F2985"/>
    <w:rsid w:val="004068B0"/>
    <w:rsid w:val="004333E4"/>
    <w:rsid w:val="00434A59"/>
    <w:rsid w:val="00443B4E"/>
    <w:rsid w:val="004714D6"/>
    <w:rsid w:val="00474D1B"/>
    <w:rsid w:val="00480855"/>
    <w:rsid w:val="00497E30"/>
    <w:rsid w:val="004A1B8D"/>
    <w:rsid w:val="004B0043"/>
    <w:rsid w:val="004C2C2C"/>
    <w:rsid w:val="004F34A7"/>
    <w:rsid w:val="004F50B3"/>
    <w:rsid w:val="00501B20"/>
    <w:rsid w:val="00523CA1"/>
    <w:rsid w:val="00523F28"/>
    <w:rsid w:val="005242A9"/>
    <w:rsid w:val="005251CF"/>
    <w:rsid w:val="00531661"/>
    <w:rsid w:val="005424FB"/>
    <w:rsid w:val="00555FD0"/>
    <w:rsid w:val="005616E9"/>
    <w:rsid w:val="0056262A"/>
    <w:rsid w:val="00564ACE"/>
    <w:rsid w:val="00591171"/>
    <w:rsid w:val="00597401"/>
    <w:rsid w:val="005B2A19"/>
    <w:rsid w:val="005C20DE"/>
    <w:rsid w:val="005D330B"/>
    <w:rsid w:val="005E63B7"/>
    <w:rsid w:val="005F4B6B"/>
    <w:rsid w:val="00602BDC"/>
    <w:rsid w:val="00617831"/>
    <w:rsid w:val="00637BE1"/>
    <w:rsid w:val="006515E1"/>
    <w:rsid w:val="00657A81"/>
    <w:rsid w:val="00680BD2"/>
    <w:rsid w:val="00685E3F"/>
    <w:rsid w:val="006B2DEF"/>
    <w:rsid w:val="006B5941"/>
    <w:rsid w:val="006C3C23"/>
    <w:rsid w:val="006D70ED"/>
    <w:rsid w:val="006D7D5C"/>
    <w:rsid w:val="006F42EC"/>
    <w:rsid w:val="0070417B"/>
    <w:rsid w:val="0071124A"/>
    <w:rsid w:val="00717DD7"/>
    <w:rsid w:val="00722CC3"/>
    <w:rsid w:val="00727A25"/>
    <w:rsid w:val="00732BDE"/>
    <w:rsid w:val="0074246E"/>
    <w:rsid w:val="00752226"/>
    <w:rsid w:val="00767582"/>
    <w:rsid w:val="0077684E"/>
    <w:rsid w:val="007A0302"/>
    <w:rsid w:val="007B62CF"/>
    <w:rsid w:val="007C7BAB"/>
    <w:rsid w:val="007D2CF2"/>
    <w:rsid w:val="007F1125"/>
    <w:rsid w:val="00807C0E"/>
    <w:rsid w:val="008109F6"/>
    <w:rsid w:val="0086170B"/>
    <w:rsid w:val="00871036"/>
    <w:rsid w:val="00877283"/>
    <w:rsid w:val="00880BCE"/>
    <w:rsid w:val="00881629"/>
    <w:rsid w:val="008A3876"/>
    <w:rsid w:val="008D5F33"/>
    <w:rsid w:val="00916561"/>
    <w:rsid w:val="00924E7B"/>
    <w:rsid w:val="009254C3"/>
    <w:rsid w:val="00925C0E"/>
    <w:rsid w:val="0093414B"/>
    <w:rsid w:val="0097102F"/>
    <w:rsid w:val="00984DED"/>
    <w:rsid w:val="009859D3"/>
    <w:rsid w:val="00985D97"/>
    <w:rsid w:val="009A778D"/>
    <w:rsid w:val="009B275D"/>
    <w:rsid w:val="009C52FA"/>
    <w:rsid w:val="009D41F1"/>
    <w:rsid w:val="009E165D"/>
    <w:rsid w:val="009E5A7C"/>
    <w:rsid w:val="00A13036"/>
    <w:rsid w:val="00A26604"/>
    <w:rsid w:val="00A36F18"/>
    <w:rsid w:val="00AC71CC"/>
    <w:rsid w:val="00AF7A0F"/>
    <w:rsid w:val="00B126FB"/>
    <w:rsid w:val="00B33787"/>
    <w:rsid w:val="00B51545"/>
    <w:rsid w:val="00B539B6"/>
    <w:rsid w:val="00B54A95"/>
    <w:rsid w:val="00B630BF"/>
    <w:rsid w:val="00B735E2"/>
    <w:rsid w:val="00B73FB4"/>
    <w:rsid w:val="00B776E5"/>
    <w:rsid w:val="00B8008C"/>
    <w:rsid w:val="00B80BAE"/>
    <w:rsid w:val="00B82883"/>
    <w:rsid w:val="00B8537F"/>
    <w:rsid w:val="00BB014B"/>
    <w:rsid w:val="00BB0B74"/>
    <w:rsid w:val="00BB79AA"/>
    <w:rsid w:val="00BC2B71"/>
    <w:rsid w:val="00BD04F7"/>
    <w:rsid w:val="00BF0172"/>
    <w:rsid w:val="00BF071E"/>
    <w:rsid w:val="00BF189F"/>
    <w:rsid w:val="00BF5C85"/>
    <w:rsid w:val="00C259E2"/>
    <w:rsid w:val="00C3741A"/>
    <w:rsid w:val="00C4243C"/>
    <w:rsid w:val="00C4511B"/>
    <w:rsid w:val="00C61533"/>
    <w:rsid w:val="00C87297"/>
    <w:rsid w:val="00C918F5"/>
    <w:rsid w:val="00CA2DDE"/>
    <w:rsid w:val="00CA43E3"/>
    <w:rsid w:val="00CB46FA"/>
    <w:rsid w:val="00CC23F6"/>
    <w:rsid w:val="00CD5B5D"/>
    <w:rsid w:val="00CD610B"/>
    <w:rsid w:val="00CD714C"/>
    <w:rsid w:val="00CE260B"/>
    <w:rsid w:val="00CE4CA2"/>
    <w:rsid w:val="00CF24EB"/>
    <w:rsid w:val="00D0083C"/>
    <w:rsid w:val="00D20CFD"/>
    <w:rsid w:val="00D257C3"/>
    <w:rsid w:val="00D2621D"/>
    <w:rsid w:val="00D4135D"/>
    <w:rsid w:val="00D543B3"/>
    <w:rsid w:val="00D60AF7"/>
    <w:rsid w:val="00D75A66"/>
    <w:rsid w:val="00D809C0"/>
    <w:rsid w:val="00D84168"/>
    <w:rsid w:val="00D9170B"/>
    <w:rsid w:val="00D91AEE"/>
    <w:rsid w:val="00DB7DDA"/>
    <w:rsid w:val="00DD095C"/>
    <w:rsid w:val="00DD70D7"/>
    <w:rsid w:val="00E0296C"/>
    <w:rsid w:val="00E1387F"/>
    <w:rsid w:val="00E175DA"/>
    <w:rsid w:val="00E26C84"/>
    <w:rsid w:val="00E37E7D"/>
    <w:rsid w:val="00E40D8F"/>
    <w:rsid w:val="00E44A7F"/>
    <w:rsid w:val="00E46BF8"/>
    <w:rsid w:val="00E57341"/>
    <w:rsid w:val="00E77E8B"/>
    <w:rsid w:val="00E83258"/>
    <w:rsid w:val="00E850EF"/>
    <w:rsid w:val="00E87357"/>
    <w:rsid w:val="00EA5E71"/>
    <w:rsid w:val="00EA6947"/>
    <w:rsid w:val="00EB63CF"/>
    <w:rsid w:val="00ED6CBA"/>
    <w:rsid w:val="00EE7306"/>
    <w:rsid w:val="00EF41B4"/>
    <w:rsid w:val="00F04BC4"/>
    <w:rsid w:val="00F163A5"/>
    <w:rsid w:val="00F163FC"/>
    <w:rsid w:val="00F32326"/>
    <w:rsid w:val="00F325DF"/>
    <w:rsid w:val="00F54566"/>
    <w:rsid w:val="00F728A4"/>
    <w:rsid w:val="00F752BB"/>
    <w:rsid w:val="00F91E80"/>
    <w:rsid w:val="00F93400"/>
    <w:rsid w:val="00FA56E2"/>
    <w:rsid w:val="00FD7B8C"/>
    <w:rsid w:val="00FE2A1F"/>
    <w:rsid w:val="00FE39D8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095E8"/>
  <w15:chartTrackingRefBased/>
  <w15:docId w15:val="{BE9D24A1-EFFA-584E-B689-DD36C5D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7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275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5D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B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Dawn Stockbridge</dc:creator>
  <cp:keywords/>
  <dc:description/>
  <cp:lastModifiedBy>Melissa Dawn Stockbridge</cp:lastModifiedBy>
  <cp:revision>2</cp:revision>
  <dcterms:created xsi:type="dcterms:W3CDTF">2020-12-23T16:07:00Z</dcterms:created>
  <dcterms:modified xsi:type="dcterms:W3CDTF">2021-02-17T21:32:00Z</dcterms:modified>
</cp:coreProperties>
</file>