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72F0" w14:textId="77777777" w:rsidR="00AC56EB" w:rsidRDefault="00AC56EB" w:rsidP="00AC56EB">
      <w:pPr>
        <w:spacing w:after="0" w:line="240" w:lineRule="auto"/>
        <w:rPr>
          <w:rFonts w:ascii="Times New Roman" w:eastAsia="Times New Roman" w:hAnsi="Times New Roman" w:cs="Times New Roman"/>
          <w:sz w:val="24"/>
          <w:szCs w:val="24"/>
        </w:rPr>
      </w:pPr>
    </w:p>
    <w:p w14:paraId="4223A43C" w14:textId="77777777" w:rsidR="00AC56EB" w:rsidRDefault="00AC56EB" w:rsidP="00AC56EB">
      <w:pPr>
        <w:spacing w:after="0" w:line="240" w:lineRule="auto"/>
        <w:rPr>
          <w:rFonts w:ascii="Times New Roman" w:eastAsia="Times New Roman" w:hAnsi="Times New Roman" w:cs="Times New Roman"/>
          <w:sz w:val="24"/>
          <w:szCs w:val="24"/>
        </w:rPr>
      </w:pPr>
    </w:p>
    <w:p w14:paraId="4AAF16A5" w14:textId="77777777" w:rsidR="00AC56EB" w:rsidRDefault="00AC56EB" w:rsidP="00AC56EB">
      <w:pPr>
        <w:spacing w:after="0" w:line="240" w:lineRule="auto"/>
        <w:rPr>
          <w:rFonts w:ascii="Times New Roman" w:eastAsia="Times New Roman" w:hAnsi="Times New Roman" w:cs="Times New Roman"/>
          <w:sz w:val="24"/>
          <w:szCs w:val="24"/>
        </w:rPr>
      </w:pPr>
    </w:p>
    <w:p w14:paraId="6A6C9212" w14:textId="77777777" w:rsidR="00AC56EB" w:rsidRDefault="00AC56EB" w:rsidP="00AC56EB">
      <w:pPr>
        <w:spacing w:after="0" w:line="240" w:lineRule="auto"/>
        <w:rPr>
          <w:rFonts w:ascii="Times New Roman" w:eastAsia="Times New Roman" w:hAnsi="Times New Roman" w:cs="Times New Roman"/>
          <w:sz w:val="24"/>
          <w:szCs w:val="24"/>
        </w:rPr>
      </w:pPr>
    </w:p>
    <w:p w14:paraId="67CAA848" w14:textId="77777777" w:rsidR="00AC56EB" w:rsidRDefault="00AC56EB" w:rsidP="00AC56EB">
      <w:pPr>
        <w:spacing w:after="0" w:line="240" w:lineRule="auto"/>
        <w:rPr>
          <w:rFonts w:ascii="Times New Roman" w:eastAsia="Times New Roman" w:hAnsi="Times New Roman" w:cs="Times New Roman"/>
          <w:sz w:val="24"/>
          <w:szCs w:val="24"/>
        </w:rPr>
      </w:pPr>
    </w:p>
    <w:p w14:paraId="4FCF47C4" w14:textId="64A6C2EC" w:rsidR="006E5798" w:rsidRPr="00AC56EB" w:rsidRDefault="00AC56EB" w:rsidP="00AC56EB">
      <w:pPr>
        <w:spacing w:after="0" w:line="240" w:lineRule="auto"/>
        <w:jc w:val="center"/>
        <w:rPr>
          <w:rFonts w:ascii="Times New Roman" w:eastAsia="Times New Roman" w:hAnsi="Times New Roman" w:cs="Times New Roman"/>
          <w:b/>
          <w:bCs/>
          <w:sz w:val="24"/>
          <w:szCs w:val="24"/>
        </w:rPr>
      </w:pPr>
      <w:r w:rsidRPr="00AC56EB">
        <w:rPr>
          <w:rFonts w:ascii="Times New Roman" w:eastAsia="Times New Roman" w:hAnsi="Times New Roman" w:cs="Times New Roman"/>
          <w:b/>
          <w:bCs/>
          <w:sz w:val="24"/>
          <w:szCs w:val="24"/>
        </w:rPr>
        <w:t>A Comprehensive Assessment of Neurocognitive and Psychological Functioning in Adults with Early-Treated Phenylketonuria (PKU)</w:t>
      </w:r>
    </w:p>
    <w:p w14:paraId="6C90BFBC" w14:textId="08186DA3" w:rsidR="00AC56EB" w:rsidRPr="00AC56EB" w:rsidRDefault="00AC56EB" w:rsidP="00AC56EB">
      <w:pPr>
        <w:spacing w:after="0" w:line="240" w:lineRule="auto"/>
        <w:jc w:val="center"/>
        <w:rPr>
          <w:rFonts w:ascii="Times New Roman" w:eastAsia="Times New Roman" w:hAnsi="Times New Roman" w:cs="Times New Roman"/>
          <w:b/>
          <w:bCs/>
          <w:sz w:val="24"/>
          <w:szCs w:val="24"/>
        </w:rPr>
      </w:pPr>
    </w:p>
    <w:p w14:paraId="2C32ADB4" w14:textId="2F3EA1AB" w:rsidR="00AC56EB" w:rsidRPr="00AC56EB" w:rsidRDefault="00AC56EB" w:rsidP="00AC56EB">
      <w:pPr>
        <w:spacing w:after="0" w:line="240" w:lineRule="auto"/>
        <w:jc w:val="center"/>
        <w:rPr>
          <w:rFonts w:ascii="Times New Roman" w:eastAsia="Times New Roman" w:hAnsi="Times New Roman" w:cs="Times New Roman"/>
          <w:b/>
          <w:bCs/>
          <w:sz w:val="24"/>
          <w:szCs w:val="24"/>
        </w:rPr>
      </w:pPr>
    </w:p>
    <w:p w14:paraId="10CCD758" w14:textId="1D6E039E" w:rsidR="00AC56EB" w:rsidRPr="00AC56EB" w:rsidRDefault="00AC56EB" w:rsidP="00AC56EB">
      <w:pPr>
        <w:spacing w:after="0" w:line="240" w:lineRule="auto"/>
        <w:jc w:val="center"/>
        <w:rPr>
          <w:rFonts w:ascii="Times New Roman" w:eastAsia="Times New Roman" w:hAnsi="Times New Roman" w:cs="Times New Roman"/>
          <w:b/>
          <w:bCs/>
          <w:sz w:val="24"/>
          <w:szCs w:val="24"/>
        </w:rPr>
      </w:pPr>
    </w:p>
    <w:p w14:paraId="208D842A" w14:textId="701408D6" w:rsidR="00AC56EB" w:rsidRPr="00AC56EB" w:rsidRDefault="00AC56EB" w:rsidP="00AC56EB">
      <w:pPr>
        <w:spacing w:after="0" w:line="240" w:lineRule="auto"/>
        <w:jc w:val="center"/>
        <w:rPr>
          <w:rFonts w:ascii="Times New Roman" w:eastAsia="Times New Roman" w:hAnsi="Times New Roman" w:cs="Times New Roman"/>
          <w:b/>
          <w:bCs/>
          <w:sz w:val="24"/>
          <w:szCs w:val="24"/>
        </w:rPr>
      </w:pPr>
    </w:p>
    <w:p w14:paraId="4BA3E1D1" w14:textId="691AF44D" w:rsidR="00AC56EB" w:rsidRPr="00AC56EB" w:rsidRDefault="00AC56EB" w:rsidP="00AC56EB">
      <w:pPr>
        <w:spacing w:after="0" w:line="240" w:lineRule="auto"/>
        <w:jc w:val="center"/>
        <w:rPr>
          <w:rFonts w:ascii="Times New Roman" w:eastAsia="Times New Roman" w:hAnsi="Times New Roman" w:cs="Times New Roman"/>
          <w:b/>
          <w:bCs/>
          <w:sz w:val="24"/>
          <w:szCs w:val="24"/>
        </w:rPr>
      </w:pPr>
    </w:p>
    <w:p w14:paraId="4A1B24F5" w14:textId="0E65B5EE" w:rsidR="00AC56EB" w:rsidRPr="00AC56EB" w:rsidRDefault="00AC56EB" w:rsidP="00AC56EB">
      <w:pPr>
        <w:spacing w:after="0" w:line="240" w:lineRule="auto"/>
        <w:jc w:val="center"/>
        <w:rPr>
          <w:rFonts w:ascii="Times New Roman" w:eastAsia="Times New Roman" w:hAnsi="Times New Roman" w:cs="Times New Roman"/>
          <w:b/>
          <w:bCs/>
          <w:sz w:val="24"/>
          <w:szCs w:val="24"/>
        </w:rPr>
      </w:pPr>
    </w:p>
    <w:p w14:paraId="6F0126A7" w14:textId="1A34C18B" w:rsidR="00AC56EB" w:rsidRPr="00AC56EB" w:rsidRDefault="00AC56EB" w:rsidP="00AC56EB">
      <w:pPr>
        <w:spacing w:after="0" w:line="240" w:lineRule="auto"/>
        <w:jc w:val="center"/>
        <w:rPr>
          <w:rFonts w:ascii="Times New Roman" w:eastAsia="Times New Roman" w:hAnsi="Times New Roman" w:cs="Times New Roman"/>
          <w:b/>
          <w:bCs/>
          <w:sz w:val="24"/>
          <w:szCs w:val="24"/>
        </w:rPr>
      </w:pPr>
    </w:p>
    <w:p w14:paraId="74F1A21F" w14:textId="74E57B0A" w:rsidR="00AC56EB" w:rsidRPr="00AC56EB" w:rsidRDefault="00AC56EB" w:rsidP="00AC56EB">
      <w:pPr>
        <w:spacing w:after="0" w:line="240" w:lineRule="auto"/>
        <w:jc w:val="center"/>
        <w:rPr>
          <w:rFonts w:ascii="Times New Roman" w:eastAsia="Times New Roman" w:hAnsi="Times New Roman" w:cs="Times New Roman"/>
          <w:b/>
          <w:bCs/>
          <w:sz w:val="24"/>
          <w:szCs w:val="24"/>
        </w:rPr>
      </w:pPr>
    </w:p>
    <w:p w14:paraId="0962C39D" w14:textId="2CF72059" w:rsidR="00AC56EB" w:rsidRPr="00AC56EB" w:rsidRDefault="00AC56EB" w:rsidP="00AC56EB">
      <w:pPr>
        <w:spacing w:after="0" w:line="240" w:lineRule="auto"/>
        <w:jc w:val="center"/>
        <w:rPr>
          <w:rFonts w:ascii="Times New Roman" w:eastAsia="Times New Roman" w:hAnsi="Times New Roman" w:cs="Times New Roman"/>
          <w:b/>
          <w:bCs/>
          <w:sz w:val="24"/>
          <w:szCs w:val="24"/>
        </w:rPr>
      </w:pPr>
    </w:p>
    <w:p w14:paraId="1FA0C6A8" w14:textId="75F1EA14" w:rsidR="00AC56EB" w:rsidRPr="00AC56EB" w:rsidRDefault="00AC56EB" w:rsidP="00AC56EB">
      <w:pPr>
        <w:spacing w:after="0" w:line="240" w:lineRule="auto"/>
        <w:jc w:val="center"/>
        <w:rPr>
          <w:rFonts w:ascii="Times New Roman" w:eastAsia="Times New Roman" w:hAnsi="Times New Roman" w:cs="Times New Roman"/>
          <w:b/>
          <w:bCs/>
          <w:sz w:val="24"/>
          <w:szCs w:val="24"/>
        </w:rPr>
      </w:pPr>
    </w:p>
    <w:p w14:paraId="5CADF34E" w14:textId="185BE2DC" w:rsidR="00AC56EB" w:rsidRPr="00AC56EB" w:rsidRDefault="00AC56EB" w:rsidP="00AC56EB">
      <w:pPr>
        <w:spacing w:after="0" w:line="240" w:lineRule="auto"/>
        <w:jc w:val="center"/>
        <w:rPr>
          <w:rFonts w:ascii="Times New Roman" w:eastAsia="Times New Roman" w:hAnsi="Times New Roman" w:cs="Times New Roman"/>
          <w:b/>
          <w:bCs/>
          <w:sz w:val="24"/>
          <w:szCs w:val="24"/>
        </w:rPr>
      </w:pPr>
    </w:p>
    <w:p w14:paraId="181ADE80" w14:textId="231D49CB" w:rsidR="00AC56EB" w:rsidRDefault="00AC56EB" w:rsidP="00AC56EB">
      <w:pPr>
        <w:spacing w:after="0" w:line="240" w:lineRule="auto"/>
        <w:jc w:val="center"/>
        <w:rPr>
          <w:rFonts w:ascii="Times New Roman" w:eastAsia="Times New Roman" w:hAnsi="Times New Roman" w:cs="Times New Roman"/>
          <w:b/>
          <w:bCs/>
          <w:sz w:val="24"/>
          <w:szCs w:val="24"/>
        </w:rPr>
      </w:pPr>
      <w:r w:rsidRPr="00AC56EB">
        <w:rPr>
          <w:rFonts w:ascii="Times New Roman" w:eastAsia="Times New Roman" w:hAnsi="Times New Roman" w:cs="Times New Roman"/>
          <w:b/>
          <w:bCs/>
          <w:sz w:val="24"/>
          <w:szCs w:val="24"/>
        </w:rPr>
        <w:t>Supplementary Materials</w:t>
      </w:r>
    </w:p>
    <w:p w14:paraId="35A4BA2D" w14:textId="0B872A7D" w:rsidR="00AC56EB" w:rsidRDefault="00AC56EB" w:rsidP="00AC56EB">
      <w:pPr>
        <w:spacing w:after="0" w:line="240" w:lineRule="auto"/>
        <w:jc w:val="center"/>
        <w:rPr>
          <w:rFonts w:ascii="Times New Roman" w:eastAsia="Times New Roman" w:hAnsi="Times New Roman" w:cs="Times New Roman"/>
          <w:sz w:val="24"/>
          <w:szCs w:val="24"/>
        </w:rPr>
      </w:pPr>
    </w:p>
    <w:p w14:paraId="5B75C497" w14:textId="5003C420" w:rsidR="00AC56EB" w:rsidRDefault="00AC56EB" w:rsidP="00AC56EB">
      <w:pPr>
        <w:spacing w:after="0" w:line="240" w:lineRule="auto"/>
        <w:jc w:val="center"/>
        <w:rPr>
          <w:rFonts w:ascii="Times New Roman" w:eastAsia="Times New Roman" w:hAnsi="Times New Roman" w:cs="Times New Roman"/>
          <w:sz w:val="24"/>
          <w:szCs w:val="24"/>
        </w:rPr>
      </w:pPr>
    </w:p>
    <w:p w14:paraId="3B87CF59" w14:textId="642A6D5C" w:rsidR="00AC56EB" w:rsidRPr="000E5BDC" w:rsidRDefault="00AC56EB">
      <w:pPr>
        <w:rPr>
          <w:rFonts w:ascii="Times New Roman" w:eastAsia="Times New Roman" w:hAnsi="Times New Roman" w:cs="Times New Roman"/>
          <w:sz w:val="24"/>
          <w:szCs w:val="24"/>
        </w:rPr>
      </w:pPr>
      <w:r w:rsidRPr="000E5BDC">
        <w:rPr>
          <w:rFonts w:ascii="Times New Roman" w:eastAsia="Times New Roman" w:hAnsi="Times New Roman" w:cs="Times New Roman"/>
          <w:sz w:val="24"/>
          <w:szCs w:val="24"/>
        </w:rPr>
        <w:br w:type="page"/>
      </w:r>
    </w:p>
    <w:p w14:paraId="4D3B876D" w14:textId="1ACD94F4" w:rsidR="0003611E" w:rsidRDefault="0003611E" w:rsidP="00C843A9">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Supplementary Methods – Calculation of I</w:t>
      </w:r>
      <w:r w:rsidRPr="0003611E">
        <w:rPr>
          <w:rFonts w:ascii="Times New Roman" w:hAnsi="Times New Roman" w:cs="Times New Roman"/>
          <w:b/>
          <w:bCs/>
          <w:sz w:val="24"/>
          <w:szCs w:val="24"/>
        </w:rPr>
        <w:t xml:space="preserve">ndex of </w:t>
      </w:r>
      <w:r>
        <w:rPr>
          <w:rFonts w:ascii="Times New Roman" w:hAnsi="Times New Roman" w:cs="Times New Roman"/>
          <w:b/>
          <w:bCs/>
          <w:sz w:val="24"/>
          <w:szCs w:val="24"/>
        </w:rPr>
        <w:t>D</w:t>
      </w:r>
      <w:r w:rsidRPr="0003611E">
        <w:rPr>
          <w:rFonts w:ascii="Times New Roman" w:hAnsi="Times New Roman" w:cs="Times New Roman"/>
          <w:b/>
          <w:bCs/>
          <w:sz w:val="24"/>
          <w:szCs w:val="24"/>
        </w:rPr>
        <w:t xml:space="preserve">ietary </w:t>
      </w:r>
      <w:r>
        <w:rPr>
          <w:rFonts w:ascii="Times New Roman" w:hAnsi="Times New Roman" w:cs="Times New Roman"/>
          <w:b/>
          <w:bCs/>
          <w:sz w:val="24"/>
          <w:szCs w:val="24"/>
        </w:rPr>
        <w:t>C</w:t>
      </w:r>
      <w:r w:rsidRPr="0003611E">
        <w:rPr>
          <w:rFonts w:ascii="Times New Roman" w:hAnsi="Times New Roman" w:cs="Times New Roman"/>
          <w:b/>
          <w:bCs/>
          <w:sz w:val="24"/>
          <w:szCs w:val="24"/>
        </w:rPr>
        <w:t>ontrol (IDC</w:t>
      </w:r>
      <w:r>
        <w:rPr>
          <w:rFonts w:ascii="Times New Roman" w:hAnsi="Times New Roman" w:cs="Times New Roman"/>
          <w:b/>
          <w:bCs/>
          <w:sz w:val="24"/>
          <w:szCs w:val="24"/>
        </w:rPr>
        <w:t>)</w:t>
      </w:r>
    </w:p>
    <w:p w14:paraId="63CA142E" w14:textId="3E9AC89F" w:rsidR="0003611E" w:rsidRDefault="0003611E" w:rsidP="0003611E">
      <w:pPr>
        <w:spacing w:after="120" w:line="240" w:lineRule="auto"/>
        <w:ind w:firstLine="720"/>
        <w:rPr>
          <w:rFonts w:ascii="Times New Roman" w:hAnsi="Times New Roman" w:cs="Times New Roman"/>
          <w:sz w:val="24"/>
          <w:szCs w:val="24"/>
        </w:rPr>
      </w:pPr>
      <w:bookmarkStart w:id="0" w:name="_Hlk106791333"/>
      <w:r w:rsidRPr="0003611E">
        <w:rPr>
          <w:rFonts w:ascii="Times New Roman" w:hAnsi="Times New Roman" w:cs="Times New Roman"/>
          <w:sz w:val="24"/>
          <w:szCs w:val="24"/>
        </w:rPr>
        <w:t>As described previously (Christ et al., 2021), the index of dietary control (IDC</w:t>
      </w:r>
      <w:r>
        <w:rPr>
          <w:rFonts w:ascii="Times New Roman" w:hAnsi="Times New Roman" w:cs="Times New Roman"/>
          <w:sz w:val="24"/>
          <w:szCs w:val="24"/>
        </w:rPr>
        <w:t xml:space="preserve">) represents the mean of all half-year median phe levels.  IDC values were </w:t>
      </w:r>
      <w:r w:rsidRPr="0003611E">
        <w:rPr>
          <w:rFonts w:ascii="Times New Roman" w:hAnsi="Times New Roman" w:cs="Times New Roman"/>
          <w:sz w:val="24"/>
          <w:szCs w:val="24"/>
        </w:rPr>
        <w:t>computed for early childhood (0-5 yrs), middle childhood (6-11 yrs), adolescence (12-17 yrs), adulthood (18+ yrs), and lifetime (0-present).</w:t>
      </w:r>
      <w:r>
        <w:rPr>
          <w:rFonts w:ascii="Times New Roman" w:hAnsi="Times New Roman" w:cs="Times New Roman"/>
          <w:sz w:val="24"/>
          <w:szCs w:val="24"/>
        </w:rPr>
        <w:t xml:space="preserve"> To explain further: A participant’s median phe level is calculated separately for each year of life. The early childhood IDC represents the average of the five median phe levels associated with the first five years of life.  The other IDC values are calculated in similar fashion. </w:t>
      </w:r>
    </w:p>
    <w:p w14:paraId="5BD8203E" w14:textId="19CE6F9B" w:rsidR="0003611E" w:rsidRPr="0003611E" w:rsidRDefault="0003611E" w:rsidP="0003611E">
      <w:pPr>
        <w:spacing w:after="120" w:line="240" w:lineRule="auto"/>
        <w:ind w:firstLine="720"/>
        <w:rPr>
          <w:rFonts w:ascii="Times New Roman" w:hAnsi="Times New Roman" w:cs="Times New Roman"/>
          <w:sz w:val="24"/>
          <w:szCs w:val="24"/>
        </w:rPr>
      </w:pPr>
      <w:r w:rsidRPr="0003611E">
        <w:rPr>
          <w:rFonts w:ascii="Times New Roman" w:hAnsi="Times New Roman" w:cs="Times New Roman"/>
          <w:sz w:val="24"/>
          <w:szCs w:val="24"/>
        </w:rPr>
        <w:t>In case of small gaps in records</w:t>
      </w:r>
      <w:r>
        <w:rPr>
          <w:rFonts w:ascii="Times New Roman" w:hAnsi="Times New Roman" w:cs="Times New Roman"/>
          <w:sz w:val="24"/>
          <w:szCs w:val="24"/>
        </w:rPr>
        <w:t xml:space="preserve"> (e.g., a person is missing phe levels for their 4</w:t>
      </w:r>
      <w:r w:rsidRPr="0003611E">
        <w:rPr>
          <w:rFonts w:ascii="Times New Roman" w:hAnsi="Times New Roman" w:cs="Times New Roman"/>
          <w:sz w:val="24"/>
          <w:szCs w:val="24"/>
          <w:vertAlign w:val="superscript"/>
        </w:rPr>
        <w:t>th</w:t>
      </w:r>
      <w:r>
        <w:rPr>
          <w:rFonts w:ascii="Times New Roman" w:hAnsi="Times New Roman" w:cs="Times New Roman"/>
          <w:sz w:val="24"/>
          <w:szCs w:val="24"/>
        </w:rPr>
        <w:t xml:space="preserve"> year of life)</w:t>
      </w:r>
      <w:r w:rsidRPr="0003611E">
        <w:rPr>
          <w:rFonts w:ascii="Times New Roman" w:hAnsi="Times New Roman" w:cs="Times New Roman"/>
          <w:sz w:val="24"/>
          <w:szCs w:val="24"/>
        </w:rPr>
        <w:t>, values were extrapolated using linear regression and phe levels of adjacent years for purposes of IDC calculation. In rare cases of larger gaps, the participant was excluded from analysis of the relevant developmental epoch.  For example, if a participant was missing phe levels for 7-9 yrs of age, then they would not be included in analysis of middle childhood (6-11 yrs) or lifetime IDC values.</w:t>
      </w:r>
    </w:p>
    <w:bookmarkEnd w:id="0"/>
    <w:p w14:paraId="2BA010C6" w14:textId="77777777" w:rsidR="0003611E" w:rsidRDefault="0003611E" w:rsidP="00C843A9">
      <w:pPr>
        <w:spacing w:after="120" w:line="240" w:lineRule="auto"/>
        <w:rPr>
          <w:rFonts w:ascii="Times New Roman" w:hAnsi="Times New Roman" w:cs="Times New Roman"/>
          <w:b/>
          <w:bCs/>
          <w:sz w:val="24"/>
          <w:szCs w:val="24"/>
        </w:rPr>
      </w:pPr>
    </w:p>
    <w:p w14:paraId="4AB24F11" w14:textId="05D6DBB2" w:rsidR="00AC56EB" w:rsidRPr="000E5BDC" w:rsidRDefault="00C843A9" w:rsidP="00C843A9">
      <w:pPr>
        <w:spacing w:after="120" w:line="240" w:lineRule="auto"/>
        <w:rPr>
          <w:rFonts w:ascii="Times New Roman" w:hAnsi="Times New Roman" w:cs="Times New Roman"/>
          <w:b/>
          <w:bCs/>
          <w:sz w:val="24"/>
          <w:szCs w:val="24"/>
        </w:rPr>
      </w:pPr>
      <w:r w:rsidRPr="000E5BDC">
        <w:rPr>
          <w:rFonts w:ascii="Times New Roman" w:hAnsi="Times New Roman" w:cs="Times New Roman"/>
          <w:b/>
          <w:bCs/>
          <w:sz w:val="24"/>
          <w:szCs w:val="24"/>
        </w:rPr>
        <w:t xml:space="preserve">Supplementary Methods </w:t>
      </w:r>
      <w:r w:rsidR="0003611E">
        <w:rPr>
          <w:rFonts w:ascii="Times New Roman" w:hAnsi="Times New Roman" w:cs="Times New Roman"/>
          <w:b/>
          <w:bCs/>
          <w:sz w:val="24"/>
          <w:szCs w:val="24"/>
        </w:rPr>
        <w:t xml:space="preserve">– Detailed </w:t>
      </w:r>
      <w:r w:rsidRPr="000E5BDC">
        <w:rPr>
          <w:rFonts w:ascii="Times New Roman" w:hAnsi="Times New Roman" w:cs="Times New Roman"/>
          <w:b/>
          <w:bCs/>
          <w:sz w:val="24"/>
          <w:szCs w:val="24"/>
        </w:rPr>
        <w:t>Task Descriptions:</w:t>
      </w:r>
    </w:p>
    <w:p w14:paraId="292DA80C" w14:textId="77777777" w:rsidR="000E5BDC" w:rsidRPr="00D11CC2" w:rsidRDefault="000E5BDC" w:rsidP="000E5BDC">
      <w:pPr>
        <w:spacing w:after="120" w:line="240" w:lineRule="auto"/>
        <w:ind w:firstLine="720"/>
        <w:rPr>
          <w:rFonts w:ascii="Times New Roman" w:eastAsia="Times New Roman" w:hAnsi="Times New Roman" w:cs="Times New Roman"/>
          <w:sz w:val="24"/>
          <w:szCs w:val="24"/>
        </w:rPr>
      </w:pPr>
      <w:r w:rsidRPr="000E5BDC">
        <w:rPr>
          <w:rFonts w:ascii="Times New Roman" w:eastAsia="Times New Roman" w:hAnsi="Times New Roman" w:cs="Times New Roman"/>
          <w:b/>
          <w:bCs/>
          <w:iCs/>
          <w:sz w:val="24"/>
          <w:szCs w:val="24"/>
        </w:rPr>
        <w:t xml:space="preserve">Wechsler Abbreviated Scale of Intelligence (WASI-2). </w:t>
      </w:r>
      <w:r w:rsidRPr="000E5BDC">
        <w:rPr>
          <w:rFonts w:ascii="Times New Roman" w:eastAsia="Times New Roman" w:hAnsi="Times New Roman" w:cs="Times New Roman"/>
          <w:sz w:val="24"/>
          <w:szCs w:val="24"/>
        </w:rPr>
        <w:t>Overall intellectual ability was estimated with the four-subtest</w:t>
      </w:r>
      <w:r w:rsidRPr="6731EDEF">
        <w:rPr>
          <w:rFonts w:ascii="Times New Roman" w:eastAsia="Times New Roman" w:hAnsi="Times New Roman" w:cs="Times New Roman"/>
          <w:sz w:val="24"/>
          <w:szCs w:val="24"/>
        </w:rPr>
        <w:t xml:space="preserve"> version of the WASI-2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ZOTERO_ITEM CSL_CITATION {"citationID":"LKsN9zL8","properties":{"formattedCitation":"(Wechsler, 1999)","plainCitation":"(Wechsler, 1999)","noteIndex":0},"citationItems":[{"id":317,"uris":["http://zotero.org/users/5841272/items/RHH4FPGM"],"uri":["http://zotero.org/users/5841272/items/RHH4FPGM"],"itemData":{"id":317,"type":"book","event-place":"New York, NY.","publisher":"The Psychological Corporation: Harcourt Brace &amp; Company","publisher-place":"New York, NY.","title":"Wechsler Abbreviated Scale of Intelligence","author":[{"family":"Wechsler","given":"D"}],"issued":{"date-parts":[["1999"]]}}}],"schema":"https://github.com/citation-style-language/schema/raw/master/csl-citation.json"} </w:instrText>
      </w:r>
      <w:r>
        <w:rPr>
          <w:rFonts w:ascii="Times New Roman" w:eastAsia="Times New Roman" w:hAnsi="Times New Roman" w:cs="Times New Roman"/>
          <w:sz w:val="24"/>
          <w:szCs w:val="24"/>
        </w:rPr>
        <w:fldChar w:fldCharType="separate"/>
      </w:r>
      <w:r w:rsidRPr="0084430B">
        <w:rPr>
          <w:rFonts w:ascii="Times New Roman" w:hAnsi="Times New Roman" w:cs="Times New Roman"/>
          <w:sz w:val="24"/>
        </w:rPr>
        <w:t>(Wechsler, 1999)</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57949BFD" w14:textId="77777777" w:rsidR="000E5BDC" w:rsidRDefault="000E5BDC" w:rsidP="000E5BDC">
      <w:pPr>
        <w:spacing w:after="120" w:line="240" w:lineRule="auto"/>
        <w:ind w:firstLine="720"/>
        <w:rPr>
          <w:rFonts w:ascii="Times New Roman" w:eastAsia="Times New Roman" w:hAnsi="Times New Roman" w:cs="Times New Roman"/>
          <w:sz w:val="24"/>
          <w:szCs w:val="24"/>
        </w:rPr>
      </w:pPr>
      <w:r w:rsidRPr="00BA2AA2">
        <w:rPr>
          <w:rFonts w:ascii="Times New Roman" w:eastAsia="Times New Roman" w:hAnsi="Times New Roman" w:cs="Times New Roman"/>
          <w:b/>
          <w:sz w:val="24"/>
          <w:szCs w:val="24"/>
        </w:rPr>
        <w:t>NIH Toolbox.</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Ten subtests from the NIH Toolbox were included: (a) </w:t>
      </w:r>
      <w:r w:rsidRPr="6731EDEF">
        <w:rPr>
          <w:rFonts w:ascii="Times New Roman" w:eastAsia="Times New Roman" w:hAnsi="Times New Roman" w:cs="Times New Roman"/>
          <w:sz w:val="24"/>
          <w:szCs w:val="24"/>
        </w:rPr>
        <w:t>Dimensional Change Card Sort - a measure of executive function where participants shift between matching images based on shape or color; (b) Flanker Inhibitory Control and Attention - a measure of attention where participants indicate the direction of a central stimulus while ignoring distractors; (c) List Sorting Working Memory - a measure of working memory where participants recall a list of items in size order from smallest to largest; (d) Pattern Comparison - a measure of processing speed where participants indicate is two pictures are the same or different; (e) Oral Symbol Digit - a measure of processing speed where participants match numbers with symbols following a key; (</w:t>
      </w:r>
      <w:r>
        <w:rPr>
          <w:rFonts w:ascii="Times New Roman" w:eastAsia="Times New Roman" w:hAnsi="Times New Roman" w:cs="Times New Roman"/>
          <w:sz w:val="24"/>
          <w:szCs w:val="24"/>
        </w:rPr>
        <w:t>f</w:t>
      </w:r>
      <w:r w:rsidRPr="6731EDEF">
        <w:rPr>
          <w:rFonts w:ascii="Times New Roman" w:eastAsia="Times New Roman" w:hAnsi="Times New Roman" w:cs="Times New Roman"/>
          <w:sz w:val="24"/>
          <w:szCs w:val="24"/>
        </w:rPr>
        <w:t>) 9-hole pegboard - a measure of fine motor skills where participants place and remove pegs into a pegboard as quickly as possible with one hand at a time; (</w:t>
      </w:r>
      <w:r>
        <w:rPr>
          <w:rFonts w:ascii="Times New Roman" w:eastAsia="Times New Roman" w:hAnsi="Times New Roman" w:cs="Times New Roman"/>
          <w:sz w:val="24"/>
          <w:szCs w:val="24"/>
        </w:rPr>
        <w:t>g</w:t>
      </w:r>
      <w:r w:rsidRPr="6731EDEF">
        <w:rPr>
          <w:rFonts w:ascii="Times New Roman" w:eastAsia="Times New Roman" w:hAnsi="Times New Roman" w:cs="Times New Roman"/>
          <w:sz w:val="24"/>
          <w:szCs w:val="24"/>
        </w:rPr>
        <w:t>) Grip Strength - a strength measure where participants grip a dynamometer as tightly as possible with each hand; (</w:t>
      </w:r>
      <w:r>
        <w:rPr>
          <w:rFonts w:ascii="Times New Roman" w:eastAsia="Times New Roman" w:hAnsi="Times New Roman" w:cs="Times New Roman"/>
          <w:sz w:val="24"/>
          <w:szCs w:val="24"/>
        </w:rPr>
        <w:t>h</w:t>
      </w:r>
      <w:r w:rsidRPr="6731EDEF">
        <w:rPr>
          <w:rFonts w:ascii="Times New Roman" w:eastAsia="Times New Roman" w:hAnsi="Times New Roman" w:cs="Times New Roman"/>
          <w:sz w:val="24"/>
          <w:szCs w:val="24"/>
        </w:rPr>
        <w:t>) Standing Balance - a measure of balance where participants hold a series of poses on solid and soft surfaces; (</w:t>
      </w:r>
      <w:r>
        <w:rPr>
          <w:rFonts w:ascii="Times New Roman" w:eastAsia="Times New Roman" w:hAnsi="Times New Roman" w:cs="Times New Roman"/>
          <w:sz w:val="24"/>
          <w:szCs w:val="24"/>
        </w:rPr>
        <w:t>i</w:t>
      </w:r>
      <w:r w:rsidRPr="6731EDEF">
        <w:rPr>
          <w:rFonts w:ascii="Times New Roman" w:eastAsia="Times New Roman" w:hAnsi="Times New Roman" w:cs="Times New Roman"/>
          <w:sz w:val="24"/>
          <w:szCs w:val="24"/>
        </w:rPr>
        <w:t>) Walk Endurance Test - a measure of endurance where participants walk as far as possible in two minutes; and (</w:t>
      </w:r>
      <w:r>
        <w:rPr>
          <w:rFonts w:ascii="Times New Roman" w:eastAsia="Times New Roman" w:hAnsi="Times New Roman" w:cs="Times New Roman"/>
          <w:sz w:val="24"/>
          <w:szCs w:val="24"/>
        </w:rPr>
        <w:t>j</w:t>
      </w:r>
      <w:r w:rsidRPr="6731EDEF">
        <w:rPr>
          <w:rFonts w:ascii="Times New Roman" w:eastAsia="Times New Roman" w:hAnsi="Times New Roman" w:cs="Times New Roman"/>
          <w:sz w:val="24"/>
          <w:szCs w:val="24"/>
        </w:rPr>
        <w:t>) Walk Gait Speed Test – a measure of locomotion where participants walk four meters to assess their typical walking speed.</w:t>
      </w:r>
    </w:p>
    <w:p w14:paraId="7B312B9F" w14:textId="77777777" w:rsidR="000E5BDC" w:rsidRDefault="000E5BDC" w:rsidP="000E5BDC">
      <w:pPr>
        <w:spacing w:after="120" w:line="240" w:lineRule="auto"/>
        <w:ind w:firstLine="720"/>
        <w:rPr>
          <w:rFonts w:ascii="Times New Roman" w:eastAsia="Times New Roman" w:hAnsi="Times New Roman" w:cs="Times New Roman"/>
          <w:color w:val="FF0000"/>
          <w:sz w:val="24"/>
          <w:szCs w:val="24"/>
        </w:rPr>
      </w:pPr>
      <w:r w:rsidRPr="2011512F">
        <w:rPr>
          <w:rFonts w:ascii="Times New Roman" w:eastAsia="Times New Roman" w:hAnsi="Times New Roman" w:cs="Times New Roman"/>
          <w:sz w:val="24"/>
          <w:szCs w:val="24"/>
        </w:rPr>
        <w:t xml:space="preserve">In addition to generating individual subtest scores, the Toolbox also yields a Fluid Cognition Composite Score based on the Dimensional Change Card Sort, Flanker Inhibitory Control and Attention, Picture Sequence Memory, List Sorting Working Memory, and Pattern Comparison subtests. The NIH Toolbox was normed with data from a sample of over 4,800 individuals representative of the United States population, and as discussed previously, the validity and reliability of the measure has been established in the general population as well as several clinical populations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ZOTERO_ITEM CSL_CITATION {"citationID":"3xAGP6rI","properties":{"formattedCitation":"(Heaton et al., 2014; Shields et al., 2020; Tulsky et al., 2017)","plainCitation":"(Heaton et al., 2014; Shields et al., 2020; Tulsky et al., 2017)","noteIndex":0},"citationItems":[{"id":337,"uris":["http://zotero.org/users/5841272/items/ECPX4JU2"],"uri":["http://zotero.org/users/5841272/items/ECPX4JU2"],"itemData":{"id":337,"type":"article-journal","abstract":"This study describes psychometric properties of the NIH Toolbox Cognition Battery (NIHTB-CB) Composite Scores in an adult sample. The NIHTB-CB was designed for use in epidemiologic studies and clinical trials for ages 3 to 85. A total of 268 self-described healthy adults were recruited at four university-based sites, using stratified sampling guidelines to target demographic variability for age (20-85 years), gender, education, and ethnicity. The NIHTB-CB contains seven computer-based instruments assessing five cognitive sub-domains: Language, Executive Function, Episodic Memory, Processing Speed, and Working Memory. Participants completed the NIHTB-CB, corresponding gold standard validation measures selected to tap the same cognitive abilities, and sociodemographic questionnaires. Three Composite Scores were derived for both the NIHTB-CB and gold standard batteries: \"Crystallized Cognition Composite,\" \"Fluid Cognition Composite,\" and \"Total Cognition Composite\" scores. NIHTB Composite Scores showed acceptable internal consistency (Cronbach's alphas=0.84 Crystallized, 0.83 Fluid, 0.77 Total), excellent test-retest reliability (r: 0.86-0.92), strong convergent (r: 0.78-0.90) and discriminant (r: 0.19-0.39) validities versus gold standard composites, and expected age effects (r=0.18 crystallized, r=-0.68 fluid, r=-0.26 total). Significant relationships with self-reported prior school difficulties and current health status, employment, and presence of a disability provided evidence of external validity. The NIH Toolbox Cognition Battery Composite Scores have excellent reliability and validity, suggesting they can be used effectively in epidemiologic and clinical studies.","container-title":"Journal of the International Neuropsychological Society: JINS","DOI":"10.1017/S1355617714000241","ISSN":"1469-7661","issue":"6","journalAbbreviation":"J Int Neuropsychol Soc","language":"eng","note":"PMID: 24960398\nPMCID: PMC4103963","page":"588-598","source":"PubMed","title":"Reliability and validity of composite scores from the NIH Toolbox Cognition Battery in adults","volume":"20","author":[{"family":"Heaton","given":"Robert K."},{"family":"Akshoomoff","given":"Natacha"},{"family":"Tulsky","given":"David"},{"family":"Mungas","given":"Dan"},{"family":"Weintraub","given":"Sandra"},{"family":"Dikmen","given":"Sureyya"},{"family":"Beaumont","given":"Jennifer"},{"family":"Casaletto","given":"Kaitlin B."},{"family":"Conway","given":"Kevin"},{"family":"Slotkin","given":"Jerry"},{"family":"Gershon","given":"Richard"}],"issued":{"date-parts":[["2014",7]]}}},{"id":374,"uris":["http://zotero.org/users/5841272/items/5JB2D9X8"],"uri":["http://zotero.org/users/5841272/items/5JB2D9X8"],"itemData":{"id":374,"type":"article-journal","abstract":"Objective To advance the science of cognitive outcome measurement for individuals with intellectual disability (ID), we established administration guidelines and evaluated the psychometric properties of the NIH-Toolbox Cognitive Battery (NIHTB-CB) for use in clinical research.\nMethods We assessed feasibility, test-retest reliability, and convergent validity of the NIHTB-CB (measuring executive function, processing speed, memory, and language) by assessing 242 individuals with fragile X syndrome (FXS), Down syndrome (DS), and other ID, ages 6 through 25 years, with retesting completed after 1 month. To facilitate accessibility and measurement accuracy, we developed accommodations and standard assessment guidelines, documented in an e-manual. Finally, we assessed the sensitivity of the battery to expected syndrome-specific cognitive phenotypes.\nResults Above a mental age of 5.0 years, all tests had excellent feasibility. More varied feasibility across tests was seen between mental ages of 3 and 4 years. Reliability and convergent validity ranged from moderate to strong. Each test and the Crystallized and Fluid Composite scores correlated moderately to strongly with IQ, and the Crystallized Composite had modest correlations with adaptive behavior. The NIHTB-CB showed known-groups validity by detecting expected executive function deficits in FXS and a receptive language deficit in DS.\nConclusion The NIHTB-CB is a reliable and valid test battery for children and young adults with ID with a mental age of ≈5 years and above. Adaptations for very low-functioning or younger children with ID are needed for some subtests to expand the developmental range of the battery. Studies examining sensitivity to developmental and treatment changes are now warranted.","container-title":"Neurology","DOI":"10.1212/WNL.0000000000009131","ISSN":"0028-3878, 1526-632X","issue":"12","language":"en","note":"publisher: Wolters Kluwer Health, Inc. on behalf of the American Academy of Neurology\nsection: Article\nPMID: 32094241","page":"e1229-e1240","source":"n.neurology.org","title":"Validation of the NIH Toolbox Cognitive Battery in intellectual disability","volume":"94","author":[{"family":"Shields","given":"Rebecca H."},{"family":"Kaat","given":"Aaron J."},{"family":"McKenzie","given":"Forrest J."},{"family":"Drayton","given":"Andrea"},{"family":"Sansone","given":"Stephanie M."},{"family":"Coleman","given":"Jeanine"},{"family":"Michalak","given":"Claire"},{"family":"Riley","given":"Karen"},{"family":"Berry-Kravis","given":"Elizabeth"},{"family":"Gershon","given":"Richard C."},{"family":"Widaman","given":"Keith F."},{"family":"Hessl","given":"David"}],"issued":{"date-parts":[["2020",3,24]]}}},{"id":455,"uris":["http://zotero.org/users/5841272/items/V267C8CX"],"uri":["http://zotero.org/users/5841272/items/V267C8CX"],"itemData":{"id":455,"type":"article-journal","abstract":"Objective: The National Institutes of Health Toolbox Cognition Battery (NIHTB-CB) measures reading, vocabulary, episodic memory, working memory, executive functioning, and processing speed. While previous research has validated the factor structure in healthy adults, the factor structure has not been examined in adults with neurological impairments. Thus, this study evaluated the NIHTB-CB factor structure in individuals with acquired brain injury. Method: A sample of 392 individuals (ages 18–84) with acquired brain injury (n = 182 TBI, n = 210 stroke) completed the NIHTB-CB along with neuropsychological tests as part of a larger, multisite research project. Results: Confirmatory factor analyses supported a 5-factor solution that included reading, vocabulary, episodic memory, working memory, and processing speed/executive functioning. This structure generally held in TBI and stroke subsamples as well as in subsamples of those with severe TBI and stroke injuries. Conclusions: The factor structure of the NIHTB-CB is similar in adults with acquired brain injury to adults from the general population. We discuss the implications of these findings for clinical practice and clinical research. (PsycInfo Database Record (c) 2020 APA, all rights reserved)","container-title":"Rehabilitation Psychology","DOI":"10.1037/rep0000183","ISSN":"1939-1544","issue":"4","note":"publisher-place: US\npublisher: American Psychological Association","page":"435-442","source":"APA PsycNet","title":"Factor structure of the NIH Toolbox Cognition Battery in individuals with acquired brain injury","volume":"62","author":[{"family":"Tulsky","given":"David S."},{"family":"Holdnack","given":"James A."},{"family":"Cohen","given":"Matthew L."},{"family":"Heaton","given":"Robert K."},{"family":"Carlozzi","given":"Noelle E."},{"family":"Wong","given":"Alex W. K."},{"family":"Boulton","given":"Aaron J."},{"family":"Heinemann","given":"Allen W."}],"issued":{"date-parts":[["2017"]]}}}],"schema":"https://github.com/citation-style-language/schema/raw/master/csl-citation.json"} </w:instrText>
      </w:r>
      <w:r>
        <w:rPr>
          <w:rFonts w:ascii="Times New Roman" w:eastAsia="Times New Roman" w:hAnsi="Times New Roman" w:cs="Times New Roman"/>
          <w:sz w:val="24"/>
          <w:szCs w:val="24"/>
        </w:rPr>
        <w:fldChar w:fldCharType="separate"/>
      </w:r>
      <w:r w:rsidRPr="0084430B">
        <w:rPr>
          <w:rFonts w:ascii="Times New Roman" w:hAnsi="Times New Roman" w:cs="Times New Roman"/>
          <w:sz w:val="24"/>
        </w:rPr>
        <w:t>(Heaton et al., 2014; Shields et al., 2020; Tulsky et al., 2017)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2863767D" w14:textId="77777777" w:rsidR="000E5BDC" w:rsidRDefault="000E5BDC" w:rsidP="000E5BDC">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Select Subtests from the </w:t>
      </w:r>
      <w:r w:rsidRPr="00BA2AA2">
        <w:rPr>
          <w:rFonts w:ascii="Times New Roman" w:eastAsia="Times New Roman" w:hAnsi="Times New Roman" w:cs="Times New Roman"/>
          <w:b/>
          <w:sz w:val="24"/>
          <w:szCs w:val="24"/>
        </w:rPr>
        <w:t>Wechsler Adult Intelligence Scale (WAIS -IV).</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Three subtests from the WAIS-IV were included: (a) Coding - a measure of visuomotor speed involving the transcription of digit-symbol pairs; (b) Symbol Search - a measure of visual </w:t>
      </w:r>
      <w:r>
        <w:rPr>
          <w:rFonts w:ascii="Times New Roman" w:eastAsia="Times New Roman" w:hAnsi="Times New Roman" w:cs="Times New Roman"/>
          <w:sz w:val="24"/>
          <w:szCs w:val="24"/>
        </w:rPr>
        <w:lastRenderedPageBreak/>
        <w:t xml:space="preserve">scanning and processing speed requiring participants to respond as quickly as possible whether a target stimulus matches an array of sample stimuli; (c) Visual Puzzles - a measure of spatial reasoning skills in which participants view a completed puzzle and must select three pieces that together would reconstruct the puzzle </w:t>
      </w:r>
      <w:r w:rsidRPr="6731EDEF">
        <w:rPr>
          <w:rFonts w:ascii="Times New Roman" w:eastAsia="Times New Roman" w:hAnsi="Times New Roman" w:cs="Times New Roman"/>
          <w:sz w:val="24"/>
          <w:szCs w:val="24"/>
        </w:rPr>
        <w:t>(</w:t>
      </w:r>
      <w:r w:rsidRPr="6731EDEF">
        <w:rPr>
          <w:rFonts w:ascii="Times New Roman" w:eastAsia="Times New Roman" w:hAnsi="Times New Roman" w:cs="Times New Roman"/>
          <w:color w:val="202124"/>
          <w:sz w:val="24"/>
          <w:szCs w:val="24"/>
        </w:rPr>
        <w:t>Wechsler, 2008)</w:t>
      </w:r>
      <w:r>
        <w:rPr>
          <w:rFonts w:ascii="Times New Roman" w:eastAsia="Times New Roman" w:hAnsi="Times New Roman" w:cs="Times New Roman"/>
          <w:sz w:val="24"/>
          <w:szCs w:val="24"/>
        </w:rPr>
        <w:t>.</w:t>
      </w:r>
    </w:p>
    <w:p w14:paraId="0AC5597A" w14:textId="77777777" w:rsidR="000E5BDC" w:rsidRDefault="000E5BDC" w:rsidP="000E5BDC">
      <w:pPr>
        <w:spacing w:after="120" w:line="240" w:lineRule="auto"/>
        <w:ind w:firstLine="720"/>
        <w:rPr>
          <w:rFonts w:ascii="Times New Roman" w:eastAsia="Times New Roman" w:hAnsi="Times New Roman" w:cs="Times New Roman"/>
          <w:sz w:val="24"/>
          <w:szCs w:val="24"/>
        </w:rPr>
      </w:pPr>
      <w:r w:rsidRPr="00BA2AA2">
        <w:rPr>
          <w:rFonts w:ascii="Times New Roman" w:eastAsia="Times New Roman" w:hAnsi="Times New Roman" w:cs="Times New Roman"/>
          <w:b/>
          <w:sz w:val="24"/>
          <w:szCs w:val="24"/>
        </w:rPr>
        <w:t>Connors’ Continuous Performance Test (CPT-3).</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CPT-3 is a computerized measure of sustained attention, vigilance, and impulsivity. Participants are presented a continuous series of letter stimuli. They are instructed to press a button in response to every letter stimuli and must inhibit their response when an ‘X’ is presented. Participants complete 360 trials over 14 minutes. The CPT-3 was normed on a sample of 1,400 individuals representative of the United States population and has been shown to have good reliability and validity (Conners, 2014).  Specific scores from the CPT-3 used include Hit Reaction Time as a metric of processing speed, and Omissions and Commissions as measures of executive function.</w:t>
      </w:r>
    </w:p>
    <w:p w14:paraId="50065C69" w14:textId="77777777" w:rsidR="000E5BDC" w:rsidRDefault="000E5BDC" w:rsidP="000E5BDC">
      <w:pPr>
        <w:spacing w:after="120" w:line="240" w:lineRule="auto"/>
        <w:ind w:firstLine="720"/>
        <w:rPr>
          <w:rFonts w:ascii="Times New Roman" w:eastAsia="Times New Roman" w:hAnsi="Times New Roman" w:cs="Times New Roman"/>
          <w:sz w:val="24"/>
          <w:szCs w:val="24"/>
        </w:rPr>
      </w:pPr>
      <w:r w:rsidRPr="2011512F">
        <w:rPr>
          <w:rFonts w:ascii="Times New Roman" w:eastAsia="Times New Roman" w:hAnsi="Times New Roman" w:cs="Times New Roman"/>
          <w:b/>
          <w:bCs/>
          <w:sz w:val="24"/>
          <w:szCs w:val="24"/>
        </w:rPr>
        <w:t>Behavior Rating Inventory of Executive Function - Adult Version (BRIEF-A)</w:t>
      </w:r>
      <w:r w:rsidRPr="2011512F">
        <w:rPr>
          <w:rFonts w:ascii="Times New Roman" w:eastAsia="Times New Roman" w:hAnsi="Times New Roman" w:cs="Times New Roman"/>
          <w:sz w:val="24"/>
          <w:szCs w:val="24"/>
        </w:rPr>
        <w:t xml:space="preserve">. The BRIEF-A is a standardized self-report questionnaire designed to assess executive function within the context of an individual’s day-to-day environment. It consists of 75 items assessing behavioral manifestations of executive problems in daily life. Scores on individual items contribute to the calculation of nine non-overlapping clinical scales reflecting different aspects of EF, including inhibitory control, self-monitoring ability, planning and organizational skill, emotional control, and working memory. In addition, two broader indices (BRI and MI) as well as a composite score reflecting overall executive ability (Global Executive Composite [GEC]) can be computed. The BRIEF-A has shown good reliability and validity in adult samples (Roth et al., 2005). </w:t>
      </w:r>
    </w:p>
    <w:p w14:paraId="1F13FFBD" w14:textId="77777777" w:rsidR="000E5BDC" w:rsidRDefault="000E5BDC" w:rsidP="000E5BDC">
      <w:pPr>
        <w:spacing w:after="120" w:line="240" w:lineRule="auto"/>
        <w:ind w:firstLine="720"/>
        <w:rPr>
          <w:rFonts w:ascii="Times New Roman" w:eastAsia="Times New Roman" w:hAnsi="Times New Roman" w:cs="Times New Roman"/>
          <w:sz w:val="24"/>
          <w:szCs w:val="24"/>
        </w:rPr>
      </w:pPr>
      <w:r w:rsidRPr="2011512F">
        <w:rPr>
          <w:rFonts w:ascii="Times New Roman" w:eastAsia="Times New Roman" w:hAnsi="Times New Roman" w:cs="Times New Roman"/>
          <w:b/>
          <w:bCs/>
          <w:sz w:val="24"/>
          <w:szCs w:val="24"/>
        </w:rPr>
        <w:t xml:space="preserve">Connors’ Adult ADHD Rating Scales (CAARS). </w:t>
      </w:r>
      <w:r w:rsidRPr="2011512F">
        <w:rPr>
          <w:rFonts w:ascii="Times New Roman" w:eastAsia="Times New Roman" w:hAnsi="Times New Roman" w:cs="Times New Roman"/>
          <w:sz w:val="24"/>
          <w:szCs w:val="24"/>
        </w:rPr>
        <w:t xml:space="preserve">The CAARS is a standardized self-report measure designed to assess attention within the context of an individual’s day-to-day environment. It consists of 66 items assessing behavioral manifestations of attention problems in daily life. Scores on individual items contribute to the calculation of nine clinical subscales, including symptoms of inattention, hyperactivity and impulsivity, problems with self-concept, and an overall ADHD index. An inconsistency scale is also included to capture random response styles. The CAARS has shown good reliability and validity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ZOTERO_ITEM CSL_CITATION {"citationID":"aDrVP9HD","properties":{"formattedCitation":"(Conners et al., 1999)","plainCitation":"(Conners et al., 1999)","noteIndex":0},"citationItems":[{"id":464,"uris":["http://zotero.org/users/5841272/items/G8U5DC86"],"uri":["http://zotero.org/users/5841272/items/G8U5DC86"],"itemData":{"id":464,"type":"article-journal","container-title":"Archives of Clinical Neuropsychology","journalAbbreviation":"Archives of Clinical Neuropsychology","page":"431-437","source":"ResearchGate","title":"Conners’ adult ADHD rating scales (CARRS)","volume":"18","author":[{"family":"Conners","given":"C.K."},{"family":"Erhardt","given":"D."},{"family":"Sparrow","given":"M.A."}],"issued":{"date-parts":[["1999",1,1]]}}}],"schema":"https://github.com/citation-style-language/schema/raw/master/csl-citation.json"} </w:instrText>
      </w:r>
      <w:r>
        <w:rPr>
          <w:rFonts w:ascii="Times New Roman" w:eastAsia="Times New Roman" w:hAnsi="Times New Roman" w:cs="Times New Roman"/>
          <w:sz w:val="24"/>
          <w:szCs w:val="24"/>
        </w:rPr>
        <w:fldChar w:fldCharType="separate"/>
      </w:r>
      <w:r w:rsidRPr="00D40846">
        <w:rPr>
          <w:rFonts w:ascii="Times New Roman" w:hAnsi="Times New Roman" w:cs="Times New Roman"/>
          <w:sz w:val="24"/>
        </w:rPr>
        <w:t>(Conners et al., 1999)</w:t>
      </w:r>
      <w:r>
        <w:rPr>
          <w:rFonts w:ascii="Times New Roman" w:eastAsia="Times New Roman" w:hAnsi="Times New Roman" w:cs="Times New Roman"/>
          <w:sz w:val="24"/>
          <w:szCs w:val="24"/>
        </w:rPr>
        <w:fldChar w:fldCharType="end"/>
      </w:r>
      <w:r w:rsidRPr="2011512F">
        <w:rPr>
          <w:rFonts w:ascii="Times New Roman" w:eastAsia="Times New Roman" w:hAnsi="Times New Roman" w:cs="Times New Roman"/>
          <w:sz w:val="24"/>
          <w:szCs w:val="24"/>
        </w:rPr>
        <w:t>.</w:t>
      </w:r>
    </w:p>
    <w:p w14:paraId="5D46B619" w14:textId="77777777" w:rsidR="000E5BDC" w:rsidRDefault="000E5BDC" w:rsidP="000E5BDC">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Social Responsiveness Scale - II (SRS - II)</w:t>
      </w:r>
      <w:r>
        <w:rPr>
          <w:rFonts w:ascii="Times New Roman" w:eastAsia="Times New Roman" w:hAnsi="Times New Roman" w:cs="Times New Roman"/>
          <w:sz w:val="24"/>
          <w:szCs w:val="24"/>
        </w:rPr>
        <w:t xml:space="preserve">. The SRS-II is a standardized report measure designed to assess impairments in social communication associated with autism spectrum disorders. It consists of 65 items that assess an individual’s engagement in reciprocal social interactions, understanding of emotional and social cues, and motivation to engage with others. The self-report version of the SRS-II was utilized in the present study. Scores on individual items contribute to a total score along with five subscales including social awareness, social cognition, social communication, social motivation and autistic mannerisms. The SRS-II has been shown to have good reliability and validity (Constantino &amp; Gruber, 2012). </w:t>
      </w:r>
    </w:p>
    <w:p w14:paraId="7CC4BF03" w14:textId="77777777" w:rsidR="000E5BDC" w:rsidRDefault="000E5BDC" w:rsidP="000E5BDC">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Beck Anxiety Inventory (BAI). </w:t>
      </w:r>
      <w:r>
        <w:rPr>
          <w:rFonts w:ascii="Times New Roman" w:eastAsia="Times New Roman" w:hAnsi="Times New Roman" w:cs="Times New Roman"/>
          <w:sz w:val="24"/>
          <w:szCs w:val="24"/>
        </w:rPr>
        <w:t xml:space="preserve">The BAI is a self-report questionnaire designed to assess the prevalence and impact of symptoms of anxiety. It consists of 21 items that assess the presence of symptoms common among individuals experiencing anxiety. A total score derived from the individual items can then be categorized via score cut-offs as reflecting mild, moderate, or severe anxiety. The BAI has been shown to have high reliability and good validity among adult samples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ZOTERO_ITEM CSL_CITATION {"citationID":"eENh9mDG","properties":{"formattedCitation":"(Beck et al., 1988)","plainCitation":"(Beck et al., 1988)","noteIndex":0},"citationItems":[{"id":466,"uris":["http://zotero.org/users/5841272/items/FJLH5ME5"],"uri":["http://zotero.org/users/5841272/items/FJLH5ME5"],"itemData":{"id":466,"type":"article-journal","abstract":"The development of a 21-item self-report inventory for measuring the severity of anxiety in psychiatric populations is described. The initial item pool of 86 items were drawn from three preexisting scales: the Anxiety Checklist, the Physician's Desk Reference Checklist, and the Situational Anxiety Checklist. A series of analyses was usd to reduce the item pool. The resulting Beck Anxiety Inventory (BAI) is a 21-item scale that showed high internal consistency (α = .92) and test–retest reliability over 1 week, r(81) = .75. The BAI discriminated anxious diagnostic groups (panic disorder, generalized anxiety disorder, etc.) from nonanxious diagnostic groups (major depression, dysthymic disorder, etc.). In addition, the BAI was moderately correlated with the revised Hamilton Anxiety Rating Scale, r(150) = .51, and was only mildly correlated with the revised Hamilton Depression Rating Scale, r(153) = .25. (PsycINFO Database Record (c) 2016 APA, all rights reserved)","container-title":"Journal of Consulting and Clinical Psychology","DOI":"10.1037/0022-006X.56.6.893","ISSN":"1939-2117","issue":"6","note":"publisher-place: US\npublisher: American Psychological Association","page":"893-897","source":"APA PsycNet","title":"An inventory for measuring clinical anxiety: Psychometric properties","title-short":"An inventory for measuring clinical anxiety","volume":"56","author":[{"family":"Beck","given":"Aaron T."},{"family":"Epstein","given":"Norman"},{"family":"Brown","given":"Gary"},{"family":"Steer","given":"Robert A."}],"issued":{"date-parts":[["1988"]]}}}],"schema":"https://github.com/citation-style-language/schema/raw/master/csl-citation.json"} </w:instrText>
      </w:r>
      <w:r>
        <w:rPr>
          <w:rFonts w:ascii="Times New Roman" w:eastAsia="Times New Roman" w:hAnsi="Times New Roman" w:cs="Times New Roman"/>
          <w:sz w:val="24"/>
          <w:szCs w:val="24"/>
        </w:rPr>
        <w:fldChar w:fldCharType="separate"/>
      </w:r>
      <w:r w:rsidRPr="00461FC7">
        <w:rPr>
          <w:rFonts w:ascii="Times New Roman" w:hAnsi="Times New Roman" w:cs="Times New Roman"/>
          <w:sz w:val="24"/>
        </w:rPr>
        <w:t>(Beck et al., 1988)</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22E0BF71" w14:textId="1AC29DF6" w:rsidR="000E5BDC" w:rsidRDefault="000E5BDC" w:rsidP="000E5BDC">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Beck Depression Inventory II (BDI-</w:t>
      </w:r>
      <w:r w:rsidR="00A840ED">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The BDI-</w:t>
      </w:r>
      <w:r w:rsidR="00A840E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is a self-report questionnaire designed to assess depressive symptomatology. It consists of 21 items assessing the presence of symptoms common among those experiencing a depressive episode. A total score derived from the individual items can then be categorized via score cut-offs as reflecting minimal, mild, moderate, or severe depression. The BDI-</w:t>
      </w:r>
      <w:r w:rsidR="00A840E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has been shown to have high reliability and validity in adult samples (Beck et al., 1996).</w:t>
      </w:r>
    </w:p>
    <w:p w14:paraId="37329E7D" w14:textId="730F9B53" w:rsidR="00242656" w:rsidRDefault="00242656" w:rsidP="004F6824">
      <w:pPr>
        <w:spacing w:after="120" w:line="240" w:lineRule="auto"/>
        <w:rPr>
          <w:rFonts w:ascii="Times New Roman" w:eastAsia="Times New Roman" w:hAnsi="Times New Roman" w:cs="Times New Roman"/>
          <w:sz w:val="24"/>
          <w:szCs w:val="24"/>
        </w:rPr>
      </w:pPr>
    </w:p>
    <w:p w14:paraId="521AE355" w14:textId="77777777" w:rsidR="00701EC6" w:rsidRDefault="00701EC6" w:rsidP="004F6824">
      <w:pPr>
        <w:spacing w:after="120" w:line="240" w:lineRule="auto"/>
        <w:rPr>
          <w:rFonts w:ascii="Times New Roman" w:eastAsia="Times New Roman" w:hAnsi="Times New Roman" w:cs="Times New Roman"/>
          <w:sz w:val="24"/>
          <w:szCs w:val="24"/>
        </w:rPr>
        <w:sectPr w:rsidR="00701EC6" w:rsidSect="002012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299"/>
        </w:sectPr>
      </w:pPr>
    </w:p>
    <w:p w14:paraId="46A34981" w14:textId="77214635" w:rsidR="00701EC6" w:rsidRDefault="00242656" w:rsidP="004F6824">
      <w:pPr>
        <w:spacing w:after="120" w:line="240" w:lineRule="auto"/>
        <w:rPr>
          <w:rFonts w:ascii="Times New Roman" w:eastAsia="Times New Roman" w:hAnsi="Times New Roman" w:cs="Times New Roman"/>
          <w:b/>
          <w:bCs/>
          <w:sz w:val="24"/>
          <w:szCs w:val="24"/>
        </w:rPr>
      </w:pPr>
      <w:r w:rsidRPr="00242656">
        <w:rPr>
          <w:rFonts w:ascii="Times New Roman" w:eastAsia="Times New Roman" w:hAnsi="Times New Roman" w:cs="Times New Roman"/>
          <w:b/>
          <w:bCs/>
          <w:sz w:val="24"/>
          <w:szCs w:val="24"/>
        </w:rPr>
        <w:lastRenderedPageBreak/>
        <w:t>FIGURE S1</w:t>
      </w:r>
    </w:p>
    <w:p w14:paraId="528F6214" w14:textId="77777777" w:rsidR="00701EC6" w:rsidRDefault="00701EC6" w:rsidP="004F6824">
      <w:pPr>
        <w:spacing w:after="120" w:line="240" w:lineRule="auto"/>
        <w:rPr>
          <w:rFonts w:ascii="Times New Roman" w:eastAsia="Times New Roman" w:hAnsi="Times New Roman" w:cs="Times New Roman"/>
          <w:b/>
          <w:bCs/>
          <w:sz w:val="24"/>
          <w:szCs w:val="24"/>
        </w:rPr>
      </w:pPr>
    </w:p>
    <w:p w14:paraId="3798D489" w14:textId="5BFBEA8F" w:rsidR="00242656" w:rsidRPr="00701EC6" w:rsidRDefault="00701EC6" w:rsidP="004F6824">
      <w:pPr>
        <w:spacing w:after="120" w:line="240" w:lineRule="auto"/>
        <w:rPr>
          <w:rFonts w:ascii="Times New Roman" w:eastAsia="Times New Roman" w:hAnsi="Times New Roman" w:cs="Times New Roman"/>
          <w:b/>
          <w:bCs/>
          <w:sz w:val="24"/>
          <w:szCs w:val="24"/>
        </w:rPr>
      </w:pPr>
      <w:r>
        <w:rPr>
          <w:noProof/>
        </w:rPr>
        <w:drawing>
          <wp:anchor distT="0" distB="0" distL="114300" distR="114300" simplePos="0" relativeHeight="251660288" behindDoc="0" locked="0" layoutInCell="1" allowOverlap="1" wp14:anchorId="1A801BDE" wp14:editId="0AE121D2">
            <wp:simplePos x="0" y="0"/>
            <wp:positionH relativeFrom="margin">
              <wp:posOffset>5811520</wp:posOffset>
            </wp:positionH>
            <wp:positionV relativeFrom="margin">
              <wp:posOffset>1002030</wp:posOffset>
            </wp:positionV>
            <wp:extent cx="2103120" cy="1700245"/>
            <wp:effectExtent l="0" t="0" r="0" b="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103120" cy="1700245"/>
                    </a:xfrm>
                    <a:prstGeom prst="rect">
                      <a:avLst/>
                    </a:prstGeom>
                  </pic:spPr>
                </pic:pic>
              </a:graphicData>
            </a:graphic>
            <wp14:sizeRelH relativeFrom="margin">
              <wp14:pctWidth>0</wp14:pctWidth>
            </wp14:sizeRelH>
            <wp14:sizeRelV relativeFrom="margin">
              <wp14:pctHeight>0</wp14:pctHeight>
            </wp14:sizeRelV>
          </wp:anchor>
        </w:drawing>
      </w:r>
      <w:r w:rsidR="00B3245B">
        <w:rPr>
          <w:noProof/>
        </w:rPr>
        <w:drawing>
          <wp:inline distT="0" distB="0" distL="0" distR="0" wp14:anchorId="0205C2A0" wp14:editId="0B161083">
            <wp:extent cx="5571460" cy="4038791"/>
            <wp:effectExtent l="0" t="0" r="0" b="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74772" cy="4041192"/>
                    </a:xfrm>
                    <a:prstGeom prst="rect">
                      <a:avLst/>
                    </a:prstGeom>
                    <a:noFill/>
                    <a:ln>
                      <a:noFill/>
                    </a:ln>
                  </pic:spPr>
                </pic:pic>
              </a:graphicData>
            </a:graphic>
          </wp:inline>
        </w:drawing>
      </w:r>
    </w:p>
    <w:p w14:paraId="1BAFF45D" w14:textId="31D2E898" w:rsidR="00242656" w:rsidRDefault="00242656" w:rsidP="004F6824">
      <w:pPr>
        <w:spacing w:after="120" w:line="240" w:lineRule="auto"/>
        <w:rPr>
          <w:rFonts w:ascii="Times New Roman" w:eastAsia="Times New Roman" w:hAnsi="Times New Roman" w:cs="Times New Roman"/>
          <w:i/>
          <w:iCs/>
          <w:sz w:val="24"/>
          <w:szCs w:val="24"/>
        </w:rPr>
      </w:pPr>
    </w:p>
    <w:p w14:paraId="0F4464D8" w14:textId="70C9B883" w:rsidR="00242656" w:rsidRDefault="00242656" w:rsidP="009C58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Figure S1.</w:t>
      </w:r>
      <w:r>
        <w:rPr>
          <w:rFonts w:ascii="Times New Roman" w:eastAsia="Times New Roman" w:hAnsi="Times New Roman" w:cs="Times New Roman"/>
          <w:sz w:val="24"/>
          <w:szCs w:val="24"/>
        </w:rPr>
        <w:t xml:space="preserve">  Correlations between cognitive composite scores and </w:t>
      </w:r>
      <w:r w:rsidR="00536F5D">
        <w:rPr>
          <w:rFonts w:ascii="Times New Roman" w:eastAsia="Times New Roman" w:hAnsi="Times New Roman" w:cs="Times New Roman"/>
          <w:sz w:val="24"/>
          <w:szCs w:val="24"/>
        </w:rPr>
        <w:t xml:space="preserve">blood phe levels during different </w:t>
      </w:r>
      <w:r>
        <w:rPr>
          <w:rFonts w:ascii="Times New Roman" w:eastAsia="Times New Roman" w:hAnsi="Times New Roman" w:cs="Times New Roman"/>
          <w:sz w:val="24"/>
          <w:szCs w:val="24"/>
        </w:rPr>
        <w:t>developmental epochs.</w:t>
      </w:r>
    </w:p>
    <w:p w14:paraId="4DDD5EC0" w14:textId="2B2EAF60" w:rsidR="00242656" w:rsidRDefault="00242656" w:rsidP="009C58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*p&lt;.0</w:t>
      </w:r>
      <w:r w:rsidR="009C584F">
        <w:rPr>
          <w:rFonts w:ascii="Times New Roman" w:eastAsia="Times New Roman" w:hAnsi="Times New Roman" w:cs="Times New Roman"/>
          <w:sz w:val="24"/>
          <w:szCs w:val="24"/>
        </w:rPr>
        <w:t>5 FDR corrected;</w:t>
      </w:r>
      <w:r>
        <w:rPr>
          <w:rFonts w:ascii="Times New Roman" w:eastAsia="Times New Roman" w:hAnsi="Times New Roman" w:cs="Times New Roman"/>
          <w:sz w:val="24"/>
          <w:szCs w:val="24"/>
        </w:rPr>
        <w:t xml:space="preserve"> **p&lt;.005</w:t>
      </w:r>
      <w:r w:rsidR="009C584F">
        <w:rPr>
          <w:rFonts w:ascii="Times New Roman" w:eastAsia="Times New Roman" w:hAnsi="Times New Roman" w:cs="Times New Roman"/>
          <w:sz w:val="24"/>
          <w:szCs w:val="24"/>
        </w:rPr>
        <w:t xml:space="preserve"> FDR corrected.</w:t>
      </w:r>
    </w:p>
    <w:p w14:paraId="266CAF0C" w14:textId="32843408" w:rsidR="00701EC6" w:rsidRDefault="00701EC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4CCD420" w14:textId="690085D4" w:rsidR="00701EC6" w:rsidRPr="00701EC6" w:rsidRDefault="00701EC6" w:rsidP="004F6824">
      <w:pPr>
        <w:spacing w:after="120" w:line="240" w:lineRule="auto"/>
        <w:rPr>
          <w:rFonts w:ascii="Times New Roman" w:eastAsia="Times New Roman" w:hAnsi="Times New Roman" w:cs="Times New Roman"/>
          <w:b/>
          <w:bCs/>
          <w:sz w:val="24"/>
          <w:szCs w:val="24"/>
        </w:rPr>
      </w:pPr>
      <w:r w:rsidRPr="00701EC6">
        <w:rPr>
          <w:rFonts w:ascii="Times New Roman" w:eastAsia="Times New Roman" w:hAnsi="Times New Roman" w:cs="Times New Roman"/>
          <w:b/>
          <w:bCs/>
          <w:sz w:val="24"/>
          <w:szCs w:val="24"/>
        </w:rPr>
        <w:lastRenderedPageBreak/>
        <w:t>FIGURE S2</w:t>
      </w:r>
    </w:p>
    <w:p w14:paraId="541B04D5" w14:textId="2B955205" w:rsidR="00701EC6" w:rsidRDefault="00701EC6" w:rsidP="004F6824">
      <w:pPr>
        <w:spacing w:after="120" w:line="240" w:lineRule="auto"/>
        <w:rPr>
          <w:rFonts w:ascii="Times New Roman" w:eastAsia="Times New Roman" w:hAnsi="Times New Roman" w:cs="Times New Roman"/>
          <w:sz w:val="24"/>
          <w:szCs w:val="24"/>
        </w:rPr>
      </w:pPr>
    </w:p>
    <w:p w14:paraId="32FE912B" w14:textId="70D2FC18" w:rsidR="00701EC6" w:rsidRDefault="0003087F" w:rsidP="004F6824">
      <w:pPr>
        <w:spacing w:after="120" w:line="240" w:lineRule="auto"/>
        <w:rPr>
          <w:rFonts w:ascii="Times New Roman" w:eastAsia="Times New Roman" w:hAnsi="Times New Roman" w:cs="Times New Roman"/>
          <w:sz w:val="24"/>
          <w:szCs w:val="24"/>
        </w:rPr>
      </w:pPr>
      <w:r>
        <w:rPr>
          <w:noProof/>
        </w:rPr>
        <w:drawing>
          <wp:inline distT="0" distB="0" distL="0" distR="0" wp14:anchorId="255FEB78" wp14:editId="27DD92EA">
            <wp:extent cx="5699051" cy="4131282"/>
            <wp:effectExtent l="0" t="0" r="0" b="3175"/>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01460" cy="4133028"/>
                    </a:xfrm>
                    <a:prstGeom prst="rect">
                      <a:avLst/>
                    </a:prstGeom>
                    <a:noFill/>
                    <a:ln>
                      <a:noFill/>
                    </a:ln>
                  </pic:spPr>
                </pic:pic>
              </a:graphicData>
            </a:graphic>
          </wp:inline>
        </w:drawing>
      </w:r>
      <w:r w:rsidR="00701EC6">
        <w:rPr>
          <w:noProof/>
        </w:rPr>
        <w:drawing>
          <wp:anchor distT="0" distB="0" distL="114300" distR="114300" simplePos="0" relativeHeight="251661312" behindDoc="0" locked="0" layoutInCell="1" allowOverlap="1" wp14:anchorId="6F86336A" wp14:editId="4272AC8A">
            <wp:simplePos x="0" y="0"/>
            <wp:positionH relativeFrom="margin">
              <wp:posOffset>5850908</wp:posOffset>
            </wp:positionH>
            <wp:positionV relativeFrom="margin">
              <wp:posOffset>906511</wp:posOffset>
            </wp:positionV>
            <wp:extent cx="2103120" cy="1700186"/>
            <wp:effectExtent l="0" t="0" r="0" b="0"/>
            <wp:wrapSquare wrapText="bothSides"/>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103120" cy="1700186"/>
                    </a:xfrm>
                    <a:prstGeom prst="rect">
                      <a:avLst/>
                    </a:prstGeom>
                  </pic:spPr>
                </pic:pic>
              </a:graphicData>
            </a:graphic>
            <wp14:sizeRelH relativeFrom="margin">
              <wp14:pctWidth>0</wp14:pctWidth>
            </wp14:sizeRelH>
            <wp14:sizeRelV relativeFrom="margin">
              <wp14:pctHeight>0</wp14:pctHeight>
            </wp14:sizeRelV>
          </wp:anchor>
        </w:drawing>
      </w:r>
    </w:p>
    <w:p w14:paraId="78EA7021" w14:textId="77777777" w:rsidR="00701EC6" w:rsidRDefault="00701EC6" w:rsidP="004F6824">
      <w:pPr>
        <w:spacing w:after="120" w:line="240" w:lineRule="auto"/>
        <w:rPr>
          <w:rFonts w:ascii="Times New Roman" w:eastAsia="Times New Roman" w:hAnsi="Times New Roman" w:cs="Times New Roman"/>
          <w:sz w:val="24"/>
          <w:szCs w:val="24"/>
        </w:rPr>
      </w:pPr>
    </w:p>
    <w:p w14:paraId="60AD48E7" w14:textId="77777777" w:rsidR="009C584F" w:rsidRDefault="00701EC6" w:rsidP="009C58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Figure S2.</w:t>
      </w:r>
      <w:r>
        <w:rPr>
          <w:rFonts w:ascii="Times New Roman" w:eastAsia="Times New Roman" w:hAnsi="Times New Roman" w:cs="Times New Roman"/>
          <w:sz w:val="24"/>
          <w:szCs w:val="24"/>
        </w:rPr>
        <w:t xml:space="preserve">  Correlations between self-report measures and </w:t>
      </w:r>
      <w:r w:rsidR="00536F5D">
        <w:rPr>
          <w:rFonts w:ascii="Times New Roman" w:eastAsia="Times New Roman" w:hAnsi="Times New Roman" w:cs="Times New Roman"/>
          <w:sz w:val="24"/>
          <w:szCs w:val="24"/>
        </w:rPr>
        <w:t>blood phe levels during different developmental epochs.</w:t>
      </w:r>
      <w:r>
        <w:rPr>
          <w:rFonts w:ascii="Times New Roman" w:eastAsia="Times New Roman" w:hAnsi="Times New Roman" w:cs="Times New Roman"/>
          <w:sz w:val="24"/>
          <w:szCs w:val="24"/>
        </w:rPr>
        <w:t xml:space="preserve"> </w:t>
      </w:r>
    </w:p>
    <w:p w14:paraId="7FC988F7" w14:textId="27C66F18" w:rsidR="00D33DA1" w:rsidRDefault="00701EC6" w:rsidP="009C58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*p&lt;.05</w:t>
      </w:r>
      <w:r w:rsidR="009C584F">
        <w:rPr>
          <w:rFonts w:ascii="Times New Roman" w:eastAsia="Times New Roman" w:hAnsi="Times New Roman" w:cs="Times New Roman"/>
          <w:sz w:val="24"/>
          <w:szCs w:val="24"/>
        </w:rPr>
        <w:t xml:space="preserve"> FDR corrected</w:t>
      </w:r>
      <w:r>
        <w:rPr>
          <w:rFonts w:ascii="Times New Roman" w:eastAsia="Times New Roman" w:hAnsi="Times New Roman" w:cs="Times New Roman"/>
          <w:sz w:val="24"/>
          <w:szCs w:val="24"/>
        </w:rPr>
        <w:t xml:space="preserve">; **p&lt;.005 </w:t>
      </w:r>
      <w:r w:rsidR="009C584F">
        <w:rPr>
          <w:rFonts w:ascii="Times New Roman" w:eastAsia="Times New Roman" w:hAnsi="Times New Roman" w:cs="Times New Roman"/>
          <w:sz w:val="24"/>
          <w:szCs w:val="24"/>
        </w:rPr>
        <w:t>FDR corrected.</w:t>
      </w:r>
    </w:p>
    <w:p w14:paraId="0BBBA2B7" w14:textId="77777777" w:rsidR="00D33DA1" w:rsidRDefault="00D33DA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F748D7F" w14:textId="77777777" w:rsidR="000D110E" w:rsidRDefault="000D110E" w:rsidP="004F6824">
      <w:pPr>
        <w:spacing w:after="120" w:line="240" w:lineRule="auto"/>
        <w:rPr>
          <w:rFonts w:ascii="Times New Roman" w:eastAsia="Times New Roman" w:hAnsi="Times New Roman" w:cs="Times New Roman"/>
          <w:sz w:val="24"/>
          <w:szCs w:val="24"/>
        </w:rPr>
        <w:sectPr w:rsidR="000D110E" w:rsidSect="003626F7">
          <w:pgSz w:w="15840" w:h="12240" w:orient="landscape"/>
          <w:pgMar w:top="1440" w:right="1440" w:bottom="1440" w:left="1440" w:header="720" w:footer="720" w:gutter="0"/>
          <w:cols w:space="720"/>
          <w:docGrid w:linePitch="299"/>
        </w:sectPr>
      </w:pPr>
    </w:p>
    <w:p w14:paraId="2C6C0B29" w14:textId="71FF7B4C" w:rsidR="00536F5D" w:rsidRPr="00536F5D" w:rsidRDefault="00536F5D" w:rsidP="004F6824">
      <w:pPr>
        <w:spacing w:after="120" w:line="240" w:lineRule="auto"/>
        <w:rPr>
          <w:rFonts w:ascii="Times New Roman" w:eastAsia="Times New Roman" w:hAnsi="Times New Roman" w:cs="Times New Roman"/>
          <w:b/>
          <w:bCs/>
          <w:sz w:val="24"/>
          <w:szCs w:val="24"/>
        </w:rPr>
      </w:pPr>
      <w:r w:rsidRPr="00536F5D">
        <w:rPr>
          <w:rFonts w:ascii="Times New Roman" w:eastAsia="Times New Roman" w:hAnsi="Times New Roman" w:cs="Times New Roman"/>
          <w:b/>
          <w:bCs/>
          <w:sz w:val="24"/>
          <w:szCs w:val="24"/>
        </w:rPr>
        <w:lastRenderedPageBreak/>
        <w:t>FIGURE S3</w:t>
      </w:r>
    </w:p>
    <w:p w14:paraId="62AA11CB" w14:textId="2C3849AD" w:rsidR="00336AA8" w:rsidRDefault="008F7B2C" w:rsidP="004F6824">
      <w:pPr>
        <w:spacing w:after="120" w:line="240" w:lineRule="auto"/>
      </w:pPr>
      <w:r>
        <w:rPr>
          <w:noProof/>
        </w:rPr>
        <w:drawing>
          <wp:inline distT="0" distB="0" distL="0" distR="0" wp14:anchorId="59AC7846" wp14:editId="70399812">
            <wp:extent cx="3028728" cy="2393374"/>
            <wp:effectExtent l="0" t="0" r="635" b="6985"/>
            <wp:docPr id="12" name="Picture 1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scatter chart&#10;&#10;Description automatically generated"/>
                    <pic:cNvPicPr/>
                  </pic:nvPicPr>
                  <pic:blipFill>
                    <a:blip r:embed="rId16"/>
                    <a:stretch>
                      <a:fillRect/>
                    </a:stretch>
                  </pic:blipFill>
                  <pic:spPr>
                    <a:xfrm>
                      <a:off x="0" y="0"/>
                      <a:ext cx="3047249" cy="2408009"/>
                    </a:xfrm>
                    <a:prstGeom prst="rect">
                      <a:avLst/>
                    </a:prstGeom>
                  </pic:spPr>
                </pic:pic>
              </a:graphicData>
            </a:graphic>
          </wp:inline>
        </w:drawing>
      </w:r>
      <w:r w:rsidR="00242656">
        <w:t xml:space="preserve">         </w:t>
      </w:r>
      <w:r w:rsidR="00EF09FC">
        <w:rPr>
          <w:noProof/>
        </w:rPr>
        <w:drawing>
          <wp:inline distT="0" distB="0" distL="0" distR="0" wp14:anchorId="066F470C" wp14:editId="46B2142E">
            <wp:extent cx="2992843" cy="2418958"/>
            <wp:effectExtent l="0" t="0" r="0" b="635"/>
            <wp:docPr id="1"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catter chart&#10;&#10;Description automatically generated"/>
                    <pic:cNvPicPr/>
                  </pic:nvPicPr>
                  <pic:blipFill>
                    <a:blip r:embed="rId17"/>
                    <a:stretch>
                      <a:fillRect/>
                    </a:stretch>
                  </pic:blipFill>
                  <pic:spPr>
                    <a:xfrm>
                      <a:off x="0" y="0"/>
                      <a:ext cx="3018898" cy="2440017"/>
                    </a:xfrm>
                    <a:prstGeom prst="rect">
                      <a:avLst/>
                    </a:prstGeom>
                  </pic:spPr>
                </pic:pic>
              </a:graphicData>
            </a:graphic>
          </wp:inline>
        </w:drawing>
      </w:r>
    </w:p>
    <w:p w14:paraId="735B09AE" w14:textId="30919B2B" w:rsidR="00336AA8" w:rsidRDefault="00712CE1" w:rsidP="004F6824">
      <w:pPr>
        <w:spacing w:after="120" w:line="240" w:lineRule="auto"/>
      </w:pPr>
      <w:r>
        <w:rPr>
          <w:noProof/>
        </w:rPr>
        <w:drawing>
          <wp:inline distT="0" distB="0" distL="0" distR="0" wp14:anchorId="5CFA8B53" wp14:editId="1FBC7C45">
            <wp:extent cx="3026956" cy="2431592"/>
            <wp:effectExtent l="0" t="0" r="2540" b="6985"/>
            <wp:docPr id="17" name="Picture 17"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scatter chart&#10;&#10;Description automatically generated"/>
                    <pic:cNvPicPr/>
                  </pic:nvPicPr>
                  <pic:blipFill>
                    <a:blip r:embed="rId18"/>
                    <a:stretch>
                      <a:fillRect/>
                    </a:stretch>
                  </pic:blipFill>
                  <pic:spPr>
                    <a:xfrm>
                      <a:off x="0" y="0"/>
                      <a:ext cx="3043888" cy="2445194"/>
                    </a:xfrm>
                    <a:prstGeom prst="rect">
                      <a:avLst/>
                    </a:prstGeom>
                  </pic:spPr>
                </pic:pic>
              </a:graphicData>
            </a:graphic>
          </wp:inline>
        </w:drawing>
      </w:r>
      <w:r w:rsidR="00336AA8">
        <w:t xml:space="preserve">        </w:t>
      </w:r>
      <w:r w:rsidR="007B4344">
        <w:rPr>
          <w:noProof/>
        </w:rPr>
        <w:drawing>
          <wp:inline distT="0" distB="0" distL="0" distR="0" wp14:anchorId="76EEBE60" wp14:editId="2ECC789E">
            <wp:extent cx="3170274" cy="2533621"/>
            <wp:effectExtent l="0" t="0" r="0" b="635"/>
            <wp:docPr id="13" name="Picture 1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scatter chart&#10;&#10;Description automatically generated"/>
                    <pic:cNvPicPr/>
                  </pic:nvPicPr>
                  <pic:blipFill>
                    <a:blip r:embed="rId19"/>
                    <a:stretch>
                      <a:fillRect/>
                    </a:stretch>
                  </pic:blipFill>
                  <pic:spPr>
                    <a:xfrm>
                      <a:off x="0" y="0"/>
                      <a:ext cx="3186693" cy="2546743"/>
                    </a:xfrm>
                    <a:prstGeom prst="rect">
                      <a:avLst/>
                    </a:prstGeom>
                  </pic:spPr>
                </pic:pic>
              </a:graphicData>
            </a:graphic>
          </wp:inline>
        </w:drawing>
      </w:r>
    </w:p>
    <w:p w14:paraId="74DAF591" w14:textId="2D1D581B" w:rsidR="00242656" w:rsidRDefault="000C1CBA" w:rsidP="004F6824">
      <w:pPr>
        <w:spacing w:after="120" w:line="240" w:lineRule="auto"/>
      </w:pPr>
      <w:r>
        <w:rPr>
          <w:noProof/>
        </w:rPr>
        <w:lastRenderedPageBreak/>
        <w:drawing>
          <wp:inline distT="0" distB="0" distL="0" distR="0" wp14:anchorId="65362CDA" wp14:editId="27190457">
            <wp:extent cx="3091195" cy="2472956"/>
            <wp:effectExtent l="0" t="0" r="0" b="3810"/>
            <wp:docPr id="11" name="Picture 1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scatter chart&#10;&#10;Description automatically generated"/>
                    <pic:cNvPicPr/>
                  </pic:nvPicPr>
                  <pic:blipFill>
                    <a:blip r:embed="rId20"/>
                    <a:stretch>
                      <a:fillRect/>
                    </a:stretch>
                  </pic:blipFill>
                  <pic:spPr>
                    <a:xfrm>
                      <a:off x="0" y="0"/>
                      <a:ext cx="3122668" cy="2498135"/>
                    </a:xfrm>
                    <a:prstGeom prst="rect">
                      <a:avLst/>
                    </a:prstGeom>
                  </pic:spPr>
                </pic:pic>
              </a:graphicData>
            </a:graphic>
          </wp:inline>
        </w:drawing>
      </w:r>
      <w:r w:rsidR="00242656">
        <w:t xml:space="preserve">        </w:t>
      </w:r>
      <w:r w:rsidR="0005682C">
        <w:rPr>
          <w:noProof/>
        </w:rPr>
        <w:drawing>
          <wp:inline distT="0" distB="0" distL="0" distR="0" wp14:anchorId="59C9C944" wp14:editId="6F12A83D">
            <wp:extent cx="3103942" cy="2472956"/>
            <wp:effectExtent l="0" t="0" r="1270" b="3810"/>
            <wp:docPr id="15" name="Picture 1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scatter chart&#10;&#10;Description automatically generated"/>
                    <pic:cNvPicPr/>
                  </pic:nvPicPr>
                  <pic:blipFill>
                    <a:blip r:embed="rId21"/>
                    <a:stretch>
                      <a:fillRect/>
                    </a:stretch>
                  </pic:blipFill>
                  <pic:spPr>
                    <a:xfrm>
                      <a:off x="0" y="0"/>
                      <a:ext cx="3124251" cy="2489137"/>
                    </a:xfrm>
                    <a:prstGeom prst="rect">
                      <a:avLst/>
                    </a:prstGeom>
                  </pic:spPr>
                </pic:pic>
              </a:graphicData>
            </a:graphic>
          </wp:inline>
        </w:drawing>
      </w:r>
    </w:p>
    <w:p w14:paraId="6AB2307F" w14:textId="2126B197" w:rsidR="00242656" w:rsidRDefault="00B21951" w:rsidP="004F6824">
      <w:pPr>
        <w:spacing w:after="120" w:line="240" w:lineRule="auto"/>
        <w:rPr>
          <w:rFonts w:ascii="Times New Roman" w:hAnsi="Times New Roman" w:cs="Times New Roman"/>
          <w:i/>
          <w:iCs/>
          <w:sz w:val="24"/>
          <w:szCs w:val="24"/>
        </w:rPr>
      </w:pPr>
      <w:r>
        <w:rPr>
          <w:noProof/>
        </w:rPr>
        <w:drawing>
          <wp:inline distT="0" distB="0" distL="0" distR="0" wp14:anchorId="6477BCE7" wp14:editId="5B43AEBF">
            <wp:extent cx="3194851" cy="2573079"/>
            <wp:effectExtent l="0" t="0" r="5715" b="0"/>
            <wp:docPr id="16" name="Picture 16"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scatter chart&#10;&#10;Description automatically generated"/>
                    <pic:cNvPicPr/>
                  </pic:nvPicPr>
                  <pic:blipFill>
                    <a:blip r:embed="rId22"/>
                    <a:stretch>
                      <a:fillRect/>
                    </a:stretch>
                  </pic:blipFill>
                  <pic:spPr>
                    <a:xfrm>
                      <a:off x="0" y="0"/>
                      <a:ext cx="3200694" cy="2577785"/>
                    </a:xfrm>
                    <a:prstGeom prst="rect">
                      <a:avLst/>
                    </a:prstGeom>
                  </pic:spPr>
                </pic:pic>
              </a:graphicData>
            </a:graphic>
          </wp:inline>
        </w:drawing>
      </w:r>
    </w:p>
    <w:p w14:paraId="1388A840" w14:textId="2E90C7B1" w:rsidR="00336AA8" w:rsidRPr="00712CE1" w:rsidRDefault="00336AA8" w:rsidP="00336AA8">
      <w:pPr>
        <w:rPr>
          <w:rFonts w:ascii="Times New Roman" w:hAnsi="Times New Roman" w:cs="Times New Roman"/>
          <w:color w:val="FF0000"/>
          <w:sz w:val="24"/>
          <w:szCs w:val="24"/>
        </w:rPr>
      </w:pPr>
      <w:r>
        <w:rPr>
          <w:rFonts w:ascii="Times New Roman" w:hAnsi="Times New Roman" w:cs="Times New Roman"/>
          <w:i/>
          <w:iCs/>
          <w:sz w:val="24"/>
          <w:szCs w:val="24"/>
        </w:rPr>
        <w:t xml:space="preserve">Figure S3. </w:t>
      </w:r>
      <w:r>
        <w:rPr>
          <w:rFonts w:ascii="Times New Roman" w:hAnsi="Times New Roman" w:cs="Times New Roman"/>
          <w:sz w:val="24"/>
          <w:szCs w:val="24"/>
        </w:rPr>
        <w:t>Scatter plot graphs illustrating the relationship between cognitive composite scores and most recent blood phe levels. Lower composite scores are indicative of worse functioning. The dashed reference line in each scatterplot represents the average score/performance for the non-PKU group.</w:t>
      </w:r>
      <w:r w:rsidR="00611E29" w:rsidRPr="00442D62">
        <w:rPr>
          <w:rFonts w:ascii="Times New Roman" w:hAnsi="Times New Roman" w:cs="Times New Roman"/>
          <w:sz w:val="24"/>
          <w:szCs w:val="24"/>
        </w:rPr>
        <w:t xml:space="preserve"> </w:t>
      </w:r>
      <w:r w:rsidR="00442D62">
        <w:rPr>
          <w:rFonts w:ascii="Times New Roman" w:hAnsi="Times New Roman" w:cs="Times New Roman"/>
          <w:sz w:val="24"/>
          <w:szCs w:val="24"/>
        </w:rPr>
        <w:t xml:space="preserve">Stated </w:t>
      </w:r>
      <w:r w:rsidR="00442D62" w:rsidRPr="00442D62">
        <w:rPr>
          <w:rFonts w:ascii="Times New Roman" w:hAnsi="Times New Roman" w:cs="Times New Roman"/>
          <w:i/>
          <w:iCs/>
          <w:sz w:val="24"/>
          <w:szCs w:val="24"/>
        </w:rPr>
        <w:t>p</w:t>
      </w:r>
      <w:r w:rsidR="00712CE1" w:rsidRPr="00442D62">
        <w:rPr>
          <w:rFonts w:ascii="Times New Roman" w:hAnsi="Times New Roman" w:cs="Times New Roman"/>
          <w:sz w:val="24"/>
          <w:szCs w:val="24"/>
        </w:rPr>
        <w:t xml:space="preserve"> values are corrected for</w:t>
      </w:r>
      <w:r w:rsidR="00A87DA4" w:rsidRPr="00442D62">
        <w:rPr>
          <w:rFonts w:ascii="Times New Roman" w:hAnsi="Times New Roman" w:cs="Times New Roman"/>
          <w:sz w:val="24"/>
          <w:szCs w:val="24"/>
        </w:rPr>
        <w:t xml:space="preserve"> FDR.</w:t>
      </w:r>
    </w:p>
    <w:p w14:paraId="20FCB24B" w14:textId="77777777" w:rsidR="00F670FE" w:rsidRDefault="00F670FE" w:rsidP="00336AA8">
      <w:pPr>
        <w:rPr>
          <w:rFonts w:ascii="Times New Roman" w:hAnsi="Times New Roman" w:cs="Times New Roman"/>
          <w:b/>
          <w:bCs/>
          <w:sz w:val="24"/>
          <w:szCs w:val="24"/>
        </w:rPr>
      </w:pPr>
      <w:r>
        <w:rPr>
          <w:rFonts w:ascii="Times New Roman" w:hAnsi="Times New Roman" w:cs="Times New Roman"/>
          <w:sz w:val="24"/>
          <w:szCs w:val="24"/>
        </w:rPr>
        <w:br w:type="page"/>
      </w:r>
      <w:r w:rsidRPr="00F670FE">
        <w:rPr>
          <w:rFonts w:ascii="Times New Roman" w:hAnsi="Times New Roman" w:cs="Times New Roman"/>
          <w:b/>
          <w:bCs/>
          <w:sz w:val="24"/>
          <w:szCs w:val="24"/>
        </w:rPr>
        <w:lastRenderedPageBreak/>
        <w:t>FIGURE S4</w:t>
      </w:r>
    </w:p>
    <w:p w14:paraId="79663285" w14:textId="45DC58C7" w:rsidR="00F670FE" w:rsidRDefault="00610417" w:rsidP="00336AA8">
      <w:pPr>
        <w:rPr>
          <w:rFonts w:ascii="Times New Roman" w:hAnsi="Times New Roman" w:cs="Times New Roman"/>
          <w:b/>
          <w:bCs/>
          <w:sz w:val="24"/>
          <w:szCs w:val="24"/>
        </w:rPr>
      </w:pPr>
      <w:r>
        <w:rPr>
          <w:noProof/>
        </w:rPr>
        <w:drawing>
          <wp:inline distT="0" distB="0" distL="0" distR="0" wp14:anchorId="49498CAF" wp14:editId="3C248E67">
            <wp:extent cx="2976658" cy="2397350"/>
            <wp:effectExtent l="0" t="0" r="0" b="3175"/>
            <wp:docPr id="18" name="Picture 18"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scatter chart&#10;&#10;Description automatically generated"/>
                    <pic:cNvPicPr/>
                  </pic:nvPicPr>
                  <pic:blipFill>
                    <a:blip r:embed="rId23"/>
                    <a:stretch>
                      <a:fillRect/>
                    </a:stretch>
                  </pic:blipFill>
                  <pic:spPr>
                    <a:xfrm>
                      <a:off x="0" y="0"/>
                      <a:ext cx="3008525" cy="2423015"/>
                    </a:xfrm>
                    <a:prstGeom prst="rect">
                      <a:avLst/>
                    </a:prstGeom>
                  </pic:spPr>
                </pic:pic>
              </a:graphicData>
            </a:graphic>
          </wp:inline>
        </w:drawing>
      </w:r>
      <w:r w:rsidR="0012044F" w:rsidRPr="0012044F">
        <w:rPr>
          <w:noProof/>
        </w:rPr>
        <w:t xml:space="preserve"> </w:t>
      </w:r>
      <w:r w:rsidR="0012044F">
        <w:rPr>
          <w:noProof/>
        </w:rPr>
        <w:drawing>
          <wp:inline distT="0" distB="0" distL="0" distR="0" wp14:anchorId="498AB6B3" wp14:editId="5CB54EEB">
            <wp:extent cx="2932829" cy="2349906"/>
            <wp:effectExtent l="0" t="0" r="1270" b="0"/>
            <wp:docPr id="19" name="Picture 19"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 scatter chart&#10;&#10;Description automatically generated"/>
                    <pic:cNvPicPr/>
                  </pic:nvPicPr>
                  <pic:blipFill>
                    <a:blip r:embed="rId24"/>
                    <a:stretch>
                      <a:fillRect/>
                    </a:stretch>
                  </pic:blipFill>
                  <pic:spPr>
                    <a:xfrm>
                      <a:off x="0" y="0"/>
                      <a:ext cx="2957876" cy="2369974"/>
                    </a:xfrm>
                    <a:prstGeom prst="rect">
                      <a:avLst/>
                    </a:prstGeom>
                  </pic:spPr>
                </pic:pic>
              </a:graphicData>
            </a:graphic>
          </wp:inline>
        </w:drawing>
      </w:r>
      <w:r w:rsidR="001513B5" w:rsidRPr="001513B5">
        <w:rPr>
          <w:noProof/>
        </w:rPr>
        <w:t xml:space="preserve"> </w:t>
      </w:r>
      <w:r w:rsidR="001513B5">
        <w:rPr>
          <w:noProof/>
        </w:rPr>
        <w:drawing>
          <wp:inline distT="0" distB="0" distL="0" distR="0" wp14:anchorId="7E498AF5" wp14:editId="41BD1C12">
            <wp:extent cx="3136605" cy="2483680"/>
            <wp:effectExtent l="0" t="0" r="6985" b="0"/>
            <wp:docPr id="20" name="Picture 20"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art, scatter chart&#10;&#10;Description automatically generated"/>
                    <pic:cNvPicPr/>
                  </pic:nvPicPr>
                  <pic:blipFill>
                    <a:blip r:embed="rId25"/>
                    <a:stretch>
                      <a:fillRect/>
                    </a:stretch>
                  </pic:blipFill>
                  <pic:spPr>
                    <a:xfrm>
                      <a:off x="0" y="0"/>
                      <a:ext cx="3147491" cy="2492300"/>
                    </a:xfrm>
                    <a:prstGeom prst="rect">
                      <a:avLst/>
                    </a:prstGeom>
                  </pic:spPr>
                </pic:pic>
              </a:graphicData>
            </a:graphic>
          </wp:inline>
        </w:drawing>
      </w:r>
    </w:p>
    <w:p w14:paraId="024AD76E" w14:textId="679BB496" w:rsidR="00F670FE" w:rsidRDefault="00F670FE" w:rsidP="004F6824">
      <w:pPr>
        <w:spacing w:after="120" w:line="240" w:lineRule="auto"/>
        <w:rPr>
          <w:rFonts w:ascii="Times New Roman" w:hAnsi="Times New Roman" w:cs="Times New Roman"/>
          <w:sz w:val="24"/>
          <w:szCs w:val="24"/>
        </w:rPr>
      </w:pPr>
      <w:r w:rsidRPr="00F670FE">
        <w:rPr>
          <w:rFonts w:ascii="Times New Roman" w:hAnsi="Times New Roman" w:cs="Times New Roman"/>
          <w:i/>
          <w:iCs/>
          <w:sz w:val="24"/>
          <w:szCs w:val="24"/>
        </w:rPr>
        <w:t>Figure S4</w:t>
      </w:r>
      <w:r>
        <w:rPr>
          <w:rFonts w:ascii="Times New Roman" w:hAnsi="Times New Roman" w:cs="Times New Roman"/>
          <w:sz w:val="24"/>
          <w:szCs w:val="24"/>
        </w:rPr>
        <w:t xml:space="preserve">. </w:t>
      </w:r>
      <w:r w:rsidRPr="00F670FE">
        <w:rPr>
          <w:rFonts w:ascii="Times New Roman" w:hAnsi="Times New Roman" w:cs="Times New Roman"/>
          <w:sz w:val="24"/>
          <w:szCs w:val="24"/>
        </w:rPr>
        <w:t xml:space="preserve">Scatter plot graphs illustrating the relationship between </w:t>
      </w:r>
      <w:r>
        <w:rPr>
          <w:rFonts w:ascii="Times New Roman" w:hAnsi="Times New Roman" w:cs="Times New Roman"/>
          <w:sz w:val="24"/>
          <w:szCs w:val="24"/>
        </w:rPr>
        <w:t>report measure</w:t>
      </w:r>
      <w:r w:rsidRPr="00F670FE">
        <w:rPr>
          <w:rFonts w:ascii="Times New Roman" w:hAnsi="Times New Roman" w:cs="Times New Roman"/>
          <w:sz w:val="24"/>
          <w:szCs w:val="24"/>
        </w:rPr>
        <w:t xml:space="preserve"> scores and most recent blood phe levels. </w:t>
      </w:r>
      <w:r>
        <w:rPr>
          <w:rFonts w:ascii="Times New Roman" w:hAnsi="Times New Roman" w:cs="Times New Roman"/>
          <w:sz w:val="24"/>
          <w:szCs w:val="24"/>
        </w:rPr>
        <w:t>Higher t scores</w:t>
      </w:r>
      <w:r w:rsidRPr="00F670FE">
        <w:rPr>
          <w:rFonts w:ascii="Times New Roman" w:hAnsi="Times New Roman" w:cs="Times New Roman"/>
          <w:sz w:val="24"/>
          <w:szCs w:val="24"/>
        </w:rPr>
        <w:t xml:space="preserve"> are indicative of worse functioning. The dashed reference line in each scatterplot represents the average score/performance for the non-PKU group</w:t>
      </w:r>
      <w:r w:rsidR="00442D62">
        <w:rPr>
          <w:rFonts w:ascii="Times New Roman" w:hAnsi="Times New Roman" w:cs="Times New Roman"/>
          <w:color w:val="FF0000"/>
          <w:sz w:val="24"/>
          <w:szCs w:val="24"/>
        </w:rPr>
        <w:t xml:space="preserve">. </w:t>
      </w:r>
      <w:r w:rsidR="00442D62">
        <w:rPr>
          <w:rFonts w:ascii="Times New Roman" w:hAnsi="Times New Roman" w:cs="Times New Roman"/>
          <w:sz w:val="24"/>
          <w:szCs w:val="24"/>
        </w:rPr>
        <w:t xml:space="preserve">Stated </w:t>
      </w:r>
      <w:r w:rsidR="00442D62" w:rsidRPr="00442D62">
        <w:rPr>
          <w:rFonts w:ascii="Times New Roman" w:hAnsi="Times New Roman" w:cs="Times New Roman"/>
          <w:i/>
          <w:iCs/>
          <w:sz w:val="24"/>
          <w:szCs w:val="24"/>
        </w:rPr>
        <w:t>p</w:t>
      </w:r>
      <w:r w:rsidR="00442D62" w:rsidRPr="00442D62">
        <w:rPr>
          <w:rFonts w:ascii="Times New Roman" w:hAnsi="Times New Roman" w:cs="Times New Roman"/>
          <w:sz w:val="24"/>
          <w:szCs w:val="24"/>
        </w:rPr>
        <w:t xml:space="preserve"> values are corrected for FDR.</w:t>
      </w:r>
    </w:p>
    <w:p w14:paraId="1E93125C" w14:textId="387CE149" w:rsidR="0000205F" w:rsidRDefault="001513B5" w:rsidP="004F6824">
      <w:pPr>
        <w:spacing w:after="120" w:line="240" w:lineRule="auto"/>
        <w:rPr>
          <w:rFonts w:ascii="Times New Roman" w:hAnsi="Times New Roman" w:cs="Times New Roman"/>
          <w:sz w:val="24"/>
          <w:szCs w:val="24"/>
        </w:rPr>
      </w:pPr>
      <w:r w:rsidRPr="00F670FE">
        <w:rPr>
          <w:rFonts w:ascii="Times New Roman" w:hAnsi="Times New Roman" w:cs="Times New Roman"/>
          <w:b/>
          <w:bCs/>
          <w:sz w:val="24"/>
          <w:szCs w:val="24"/>
        </w:rPr>
        <w:lastRenderedPageBreak/>
        <w:t>FIGURE S</w:t>
      </w:r>
      <w:r>
        <w:rPr>
          <w:rFonts w:ascii="Times New Roman" w:hAnsi="Times New Roman" w:cs="Times New Roman"/>
          <w:b/>
          <w:bCs/>
          <w:sz w:val="24"/>
          <w:szCs w:val="24"/>
        </w:rPr>
        <w:t>5</w:t>
      </w:r>
    </w:p>
    <w:p w14:paraId="54706421" w14:textId="7B590705" w:rsidR="00BB39BD" w:rsidRDefault="00BB39BD" w:rsidP="004F6824">
      <w:pPr>
        <w:spacing w:after="120" w:line="240" w:lineRule="auto"/>
        <w:rPr>
          <w:rFonts w:ascii="Times New Roman" w:hAnsi="Times New Roman" w:cs="Times New Roman"/>
          <w:sz w:val="24"/>
          <w:szCs w:val="24"/>
        </w:rPr>
      </w:pPr>
      <w:r w:rsidRPr="00BB39BD">
        <w:rPr>
          <w:rFonts w:ascii="Times New Roman" w:hAnsi="Times New Roman" w:cs="Times New Roman"/>
          <w:noProof/>
          <w:sz w:val="24"/>
          <w:szCs w:val="24"/>
        </w:rPr>
        <w:drawing>
          <wp:inline distT="0" distB="0" distL="0" distR="0" wp14:anchorId="5984602A" wp14:editId="5A6B35D6">
            <wp:extent cx="7534072" cy="50906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45121" cy="5098081"/>
                    </a:xfrm>
                    <a:prstGeom prst="rect">
                      <a:avLst/>
                    </a:prstGeom>
                    <a:noFill/>
                    <a:ln>
                      <a:noFill/>
                    </a:ln>
                  </pic:spPr>
                </pic:pic>
              </a:graphicData>
            </a:graphic>
          </wp:inline>
        </w:drawing>
      </w:r>
    </w:p>
    <w:p w14:paraId="041ED9BE" w14:textId="02C7CBFF" w:rsidR="00236FDC" w:rsidRDefault="001513B5" w:rsidP="00236FDC">
      <w:pPr>
        <w:spacing w:after="120" w:line="240" w:lineRule="auto"/>
        <w:rPr>
          <w:rFonts w:ascii="Times New Roman" w:hAnsi="Times New Roman" w:cs="Times New Roman"/>
          <w:sz w:val="24"/>
          <w:szCs w:val="24"/>
        </w:rPr>
      </w:pPr>
      <w:r w:rsidRPr="00F670FE">
        <w:rPr>
          <w:rFonts w:ascii="Times New Roman" w:hAnsi="Times New Roman" w:cs="Times New Roman"/>
          <w:i/>
          <w:iCs/>
          <w:sz w:val="24"/>
          <w:szCs w:val="24"/>
        </w:rPr>
        <w:t>Figure S</w:t>
      </w:r>
      <w:r>
        <w:rPr>
          <w:rFonts w:ascii="Times New Roman" w:hAnsi="Times New Roman" w:cs="Times New Roman"/>
          <w:i/>
          <w:iCs/>
          <w:sz w:val="24"/>
          <w:szCs w:val="24"/>
        </w:rPr>
        <w:t>5</w:t>
      </w:r>
      <w:r>
        <w:rPr>
          <w:rFonts w:ascii="Times New Roman" w:hAnsi="Times New Roman" w:cs="Times New Roman"/>
          <w:sz w:val="24"/>
          <w:szCs w:val="24"/>
        </w:rPr>
        <w:t>.</w:t>
      </w:r>
      <w:r w:rsidR="00324D56">
        <w:rPr>
          <w:rFonts w:ascii="Times New Roman" w:hAnsi="Times New Roman" w:cs="Times New Roman"/>
          <w:sz w:val="24"/>
          <w:szCs w:val="24"/>
        </w:rPr>
        <w:t xml:space="preserve"> Bar graph illustrating the </w:t>
      </w:r>
      <w:r w:rsidR="00236FDC">
        <w:rPr>
          <w:rFonts w:ascii="Times New Roman" w:hAnsi="Times New Roman" w:cs="Times New Roman"/>
          <w:sz w:val="24"/>
          <w:szCs w:val="24"/>
        </w:rPr>
        <w:t xml:space="preserve">mean values of all CAARS subscales. </w:t>
      </w:r>
      <w:r w:rsidR="00AA1B45">
        <w:rPr>
          <w:rFonts w:ascii="Times New Roman" w:hAnsi="Times New Roman" w:cs="Times New Roman"/>
          <w:sz w:val="24"/>
          <w:szCs w:val="24"/>
        </w:rPr>
        <w:t xml:space="preserve">Asterisks indicate significant </w:t>
      </w:r>
      <w:r w:rsidR="002B39EC">
        <w:rPr>
          <w:rFonts w:ascii="Times New Roman" w:hAnsi="Times New Roman" w:cs="Times New Roman"/>
          <w:sz w:val="24"/>
          <w:szCs w:val="24"/>
        </w:rPr>
        <w:t>group differences.</w:t>
      </w:r>
    </w:p>
    <w:p w14:paraId="5896B272" w14:textId="0D0A63CE" w:rsidR="00BB39BD" w:rsidRPr="002B39EC" w:rsidRDefault="00236FDC" w:rsidP="004F6824">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*p&lt;.05; **p&lt;.005 </w:t>
      </w:r>
    </w:p>
    <w:sectPr w:rsidR="00BB39BD" w:rsidRPr="002B39EC" w:rsidSect="00F670FE">
      <w:footerReference w:type="default" r:id="rId2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5FE4" w14:textId="77777777" w:rsidR="004409F1" w:rsidRDefault="004409F1" w:rsidP="00B6089E">
      <w:pPr>
        <w:spacing w:after="0" w:line="240" w:lineRule="auto"/>
      </w:pPr>
      <w:r>
        <w:separator/>
      </w:r>
    </w:p>
  </w:endnote>
  <w:endnote w:type="continuationSeparator" w:id="0">
    <w:p w14:paraId="5DB7AC8E" w14:textId="77777777" w:rsidR="004409F1" w:rsidRDefault="004409F1" w:rsidP="00B6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1612" w14:textId="77777777" w:rsidR="003626F7" w:rsidRDefault="00362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0344669"/>
      <w:docPartObj>
        <w:docPartGallery w:val="Page Numbers (Bottom of Page)"/>
        <w:docPartUnique/>
      </w:docPartObj>
    </w:sdtPr>
    <w:sdtEndPr>
      <w:rPr>
        <w:noProof/>
      </w:rPr>
    </w:sdtEndPr>
    <w:sdtContent>
      <w:p w14:paraId="28881201" w14:textId="429832EC" w:rsidR="00E43201" w:rsidRPr="00D33DA1" w:rsidRDefault="003626F7" w:rsidP="00D33DA1">
        <w:pPr>
          <w:pStyle w:val="Footer"/>
          <w:jc w:val="center"/>
          <w:rPr>
            <w:rFonts w:ascii="Times New Roman" w:hAnsi="Times New Roman" w:cs="Times New Roman"/>
            <w:sz w:val="24"/>
            <w:szCs w:val="24"/>
          </w:rPr>
        </w:pPr>
        <w:r w:rsidRPr="00E43201">
          <w:rPr>
            <w:rFonts w:ascii="Times New Roman" w:hAnsi="Times New Roman" w:cs="Times New Roman"/>
            <w:sz w:val="24"/>
            <w:szCs w:val="24"/>
          </w:rPr>
          <w:fldChar w:fldCharType="begin"/>
        </w:r>
        <w:r w:rsidRPr="00E43201">
          <w:rPr>
            <w:rFonts w:ascii="Times New Roman" w:hAnsi="Times New Roman" w:cs="Times New Roman"/>
            <w:sz w:val="24"/>
            <w:szCs w:val="24"/>
          </w:rPr>
          <w:instrText xml:space="preserve"> PAGE   \* MERGEFORMAT </w:instrText>
        </w:r>
        <w:r w:rsidRPr="00E43201">
          <w:rPr>
            <w:rFonts w:ascii="Times New Roman" w:hAnsi="Times New Roman" w:cs="Times New Roman"/>
            <w:sz w:val="24"/>
            <w:szCs w:val="24"/>
          </w:rPr>
          <w:fldChar w:fldCharType="separate"/>
        </w:r>
        <w:r w:rsidRPr="00E43201">
          <w:rPr>
            <w:rFonts w:ascii="Times New Roman" w:hAnsi="Times New Roman" w:cs="Times New Roman"/>
            <w:noProof/>
            <w:sz w:val="24"/>
            <w:szCs w:val="24"/>
          </w:rPr>
          <w:t>2</w:t>
        </w:r>
        <w:r w:rsidRPr="00E43201">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0272464"/>
      <w:docPartObj>
        <w:docPartGallery w:val="Page Numbers (Bottom of Page)"/>
        <w:docPartUnique/>
      </w:docPartObj>
    </w:sdtPr>
    <w:sdtEndPr>
      <w:rPr>
        <w:noProof/>
      </w:rPr>
    </w:sdtEndPr>
    <w:sdtContent>
      <w:p w14:paraId="73BC1368" w14:textId="19804E59" w:rsidR="00E43201" w:rsidRPr="00D33DA1" w:rsidRDefault="00D33DA1" w:rsidP="00D33DA1">
        <w:pPr>
          <w:pStyle w:val="Footer"/>
          <w:jc w:val="center"/>
          <w:rPr>
            <w:rFonts w:ascii="Times New Roman" w:hAnsi="Times New Roman" w:cs="Times New Roman"/>
            <w:sz w:val="24"/>
            <w:szCs w:val="24"/>
          </w:rPr>
        </w:pPr>
        <w:r w:rsidRPr="00E43201">
          <w:rPr>
            <w:rFonts w:ascii="Times New Roman" w:hAnsi="Times New Roman" w:cs="Times New Roman"/>
            <w:sz w:val="24"/>
            <w:szCs w:val="24"/>
          </w:rPr>
          <w:fldChar w:fldCharType="begin"/>
        </w:r>
        <w:r w:rsidRPr="00E43201">
          <w:rPr>
            <w:rFonts w:ascii="Times New Roman" w:hAnsi="Times New Roman" w:cs="Times New Roman"/>
            <w:sz w:val="24"/>
            <w:szCs w:val="24"/>
          </w:rPr>
          <w:instrText xml:space="preserve"> PAGE   \* MERGEFORMAT </w:instrText>
        </w:r>
        <w:r w:rsidRPr="00E43201">
          <w:rPr>
            <w:rFonts w:ascii="Times New Roman" w:hAnsi="Times New Roman" w:cs="Times New Roman"/>
            <w:sz w:val="24"/>
            <w:szCs w:val="24"/>
          </w:rPr>
          <w:fldChar w:fldCharType="separate"/>
        </w:r>
        <w:r>
          <w:rPr>
            <w:rFonts w:ascii="Times New Roman" w:hAnsi="Times New Roman" w:cs="Times New Roman"/>
            <w:sz w:val="24"/>
            <w:szCs w:val="24"/>
          </w:rPr>
          <w:t>2</w:t>
        </w:r>
        <w:r w:rsidRPr="00E43201">
          <w:rPr>
            <w:rFonts w:ascii="Times New Roman" w:hAnsi="Times New Roman" w:cs="Times New Roman"/>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957948322"/>
      <w:docPartObj>
        <w:docPartGallery w:val="Page Numbers (Bottom of Page)"/>
        <w:docPartUnique/>
      </w:docPartObj>
    </w:sdtPr>
    <w:sdtEndPr>
      <w:rPr>
        <w:noProof/>
      </w:rPr>
    </w:sdtEndPr>
    <w:sdtContent>
      <w:p w14:paraId="1528C68B" w14:textId="0705D910" w:rsidR="00E43201" w:rsidRPr="00E43201" w:rsidRDefault="003626F7">
        <w:pPr>
          <w:pStyle w:val="Footer"/>
          <w:jc w:val="center"/>
          <w:rPr>
            <w:rFonts w:ascii="Times New Roman" w:hAnsi="Times New Roman" w:cs="Times New Roman"/>
            <w:sz w:val="24"/>
            <w:szCs w:val="24"/>
          </w:rPr>
        </w:pPr>
        <w:r w:rsidRPr="00E43201">
          <w:rPr>
            <w:rFonts w:ascii="Times New Roman" w:hAnsi="Times New Roman" w:cs="Times New Roman"/>
            <w:sz w:val="24"/>
            <w:szCs w:val="24"/>
          </w:rPr>
          <w:fldChar w:fldCharType="begin"/>
        </w:r>
        <w:r w:rsidRPr="00E43201">
          <w:rPr>
            <w:rFonts w:ascii="Times New Roman" w:hAnsi="Times New Roman" w:cs="Times New Roman"/>
            <w:sz w:val="24"/>
            <w:szCs w:val="24"/>
          </w:rPr>
          <w:instrText xml:space="preserve"> PAGE   \* MERGEFORMAT </w:instrText>
        </w:r>
        <w:r w:rsidRPr="00E43201">
          <w:rPr>
            <w:rFonts w:ascii="Times New Roman" w:hAnsi="Times New Roman" w:cs="Times New Roman"/>
            <w:sz w:val="24"/>
            <w:szCs w:val="24"/>
          </w:rPr>
          <w:fldChar w:fldCharType="separate"/>
        </w:r>
        <w:r w:rsidRPr="00E43201">
          <w:rPr>
            <w:rFonts w:ascii="Times New Roman" w:hAnsi="Times New Roman" w:cs="Times New Roman"/>
            <w:noProof/>
            <w:sz w:val="24"/>
            <w:szCs w:val="24"/>
          </w:rPr>
          <w:t>2</w:t>
        </w:r>
        <w:r w:rsidRPr="00E43201">
          <w:rPr>
            <w:rFonts w:ascii="Times New Roman" w:hAnsi="Times New Roman" w:cs="Times New Roman"/>
            <w:noProof/>
            <w:sz w:val="24"/>
            <w:szCs w:val="24"/>
          </w:rPr>
          <w:fldChar w:fldCharType="end"/>
        </w:r>
      </w:p>
    </w:sdtContent>
  </w:sdt>
  <w:p w14:paraId="58557A17" w14:textId="77777777" w:rsidR="00E43201" w:rsidRDefault="004409F1" w:rsidP="00E432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68DE" w14:textId="77777777" w:rsidR="004409F1" w:rsidRDefault="004409F1" w:rsidP="00B6089E">
      <w:pPr>
        <w:spacing w:after="0" w:line="240" w:lineRule="auto"/>
      </w:pPr>
      <w:r>
        <w:separator/>
      </w:r>
    </w:p>
  </w:footnote>
  <w:footnote w:type="continuationSeparator" w:id="0">
    <w:p w14:paraId="2D9130C1" w14:textId="77777777" w:rsidR="004409F1" w:rsidRDefault="004409F1" w:rsidP="00B60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A337" w14:textId="77777777" w:rsidR="003626F7" w:rsidRDefault="00362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CC9F" w14:textId="77777777" w:rsidR="003626F7" w:rsidRDefault="003626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6454" w14:textId="77777777" w:rsidR="008A1FC7" w:rsidRDefault="003626F7" w:rsidP="008A1FC7">
    <w:pPr>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Clocksin-Neurocognitive Functioning in ETPKU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7F"/>
    <w:rsid w:val="0000205F"/>
    <w:rsid w:val="0000687F"/>
    <w:rsid w:val="0003087F"/>
    <w:rsid w:val="0003611E"/>
    <w:rsid w:val="0005682C"/>
    <w:rsid w:val="000747E3"/>
    <w:rsid w:val="000C1CBA"/>
    <w:rsid w:val="000D110E"/>
    <w:rsid w:val="000E5BDC"/>
    <w:rsid w:val="0012044F"/>
    <w:rsid w:val="001513B5"/>
    <w:rsid w:val="001936A6"/>
    <w:rsid w:val="00201275"/>
    <w:rsid w:val="0023293F"/>
    <w:rsid w:val="00236FDC"/>
    <w:rsid w:val="00242656"/>
    <w:rsid w:val="002706DC"/>
    <w:rsid w:val="002B39EC"/>
    <w:rsid w:val="00324D56"/>
    <w:rsid w:val="00336AA8"/>
    <w:rsid w:val="003626F7"/>
    <w:rsid w:val="004409F1"/>
    <w:rsid w:val="00442D62"/>
    <w:rsid w:val="004A522F"/>
    <w:rsid w:val="004F6824"/>
    <w:rsid w:val="00536F5D"/>
    <w:rsid w:val="00550FD7"/>
    <w:rsid w:val="00610417"/>
    <w:rsid w:val="00611E29"/>
    <w:rsid w:val="006E5798"/>
    <w:rsid w:val="006F2E2B"/>
    <w:rsid w:val="006F549B"/>
    <w:rsid w:val="00701EC6"/>
    <w:rsid w:val="007129EB"/>
    <w:rsid w:val="00712CE1"/>
    <w:rsid w:val="00734849"/>
    <w:rsid w:val="007B2CC2"/>
    <w:rsid w:val="007B4344"/>
    <w:rsid w:val="00846370"/>
    <w:rsid w:val="008F7B2C"/>
    <w:rsid w:val="00927C6E"/>
    <w:rsid w:val="00995C40"/>
    <w:rsid w:val="009A336D"/>
    <w:rsid w:val="009C584F"/>
    <w:rsid w:val="00A840ED"/>
    <w:rsid w:val="00A87DA4"/>
    <w:rsid w:val="00AA1B45"/>
    <w:rsid w:val="00AC56EB"/>
    <w:rsid w:val="00B169FD"/>
    <w:rsid w:val="00B21951"/>
    <w:rsid w:val="00B3245B"/>
    <w:rsid w:val="00B6089E"/>
    <w:rsid w:val="00B82B33"/>
    <w:rsid w:val="00BB39BD"/>
    <w:rsid w:val="00C843A9"/>
    <w:rsid w:val="00C9070F"/>
    <w:rsid w:val="00D33DA1"/>
    <w:rsid w:val="00E06F8A"/>
    <w:rsid w:val="00EF09FC"/>
    <w:rsid w:val="00F56424"/>
    <w:rsid w:val="00F6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8A40A"/>
  <w15:chartTrackingRefBased/>
  <w15:docId w15:val="{6E43BDEC-6047-4F48-A917-942B7C60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2656"/>
    <w:pPr>
      <w:tabs>
        <w:tab w:val="center" w:pos="4680"/>
        <w:tab w:val="right" w:pos="9360"/>
      </w:tabs>
      <w:spacing w:after="0" w:line="240" w:lineRule="auto"/>
    </w:pPr>
    <w:rPr>
      <w:rFonts w:ascii="Arial" w:eastAsia="Arial" w:hAnsi="Arial" w:cs="Arial"/>
      <w:lang w:val="en"/>
    </w:rPr>
  </w:style>
  <w:style w:type="character" w:customStyle="1" w:styleId="FooterChar">
    <w:name w:val="Footer Char"/>
    <w:basedOn w:val="DefaultParagraphFont"/>
    <w:link w:val="Footer"/>
    <w:uiPriority w:val="99"/>
    <w:rsid w:val="00242656"/>
    <w:rPr>
      <w:rFonts w:ascii="Arial" w:eastAsia="Arial" w:hAnsi="Arial" w:cs="Arial"/>
      <w:lang w:val="en"/>
    </w:rPr>
  </w:style>
  <w:style w:type="paragraph" w:styleId="Header">
    <w:name w:val="header"/>
    <w:basedOn w:val="Normal"/>
    <w:link w:val="HeaderChar"/>
    <w:uiPriority w:val="99"/>
    <w:unhideWhenUsed/>
    <w:rsid w:val="00B60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89E"/>
  </w:style>
  <w:style w:type="character" w:styleId="CommentReference">
    <w:name w:val="annotation reference"/>
    <w:basedOn w:val="DefaultParagraphFont"/>
    <w:uiPriority w:val="99"/>
    <w:semiHidden/>
    <w:unhideWhenUsed/>
    <w:rsid w:val="009A336D"/>
    <w:rPr>
      <w:sz w:val="16"/>
      <w:szCs w:val="16"/>
    </w:rPr>
  </w:style>
  <w:style w:type="paragraph" w:styleId="CommentText">
    <w:name w:val="annotation text"/>
    <w:basedOn w:val="Normal"/>
    <w:link w:val="CommentTextChar"/>
    <w:uiPriority w:val="99"/>
    <w:semiHidden/>
    <w:unhideWhenUsed/>
    <w:rsid w:val="009A336D"/>
    <w:pPr>
      <w:spacing w:line="240" w:lineRule="auto"/>
    </w:pPr>
    <w:rPr>
      <w:sz w:val="20"/>
      <w:szCs w:val="20"/>
    </w:rPr>
  </w:style>
  <w:style w:type="character" w:customStyle="1" w:styleId="CommentTextChar">
    <w:name w:val="Comment Text Char"/>
    <w:basedOn w:val="DefaultParagraphFont"/>
    <w:link w:val="CommentText"/>
    <w:uiPriority w:val="99"/>
    <w:semiHidden/>
    <w:rsid w:val="009A336D"/>
    <w:rPr>
      <w:sz w:val="20"/>
      <w:szCs w:val="20"/>
    </w:rPr>
  </w:style>
  <w:style w:type="paragraph" w:styleId="CommentSubject">
    <w:name w:val="annotation subject"/>
    <w:basedOn w:val="CommentText"/>
    <w:next w:val="CommentText"/>
    <w:link w:val="CommentSubjectChar"/>
    <w:uiPriority w:val="99"/>
    <w:semiHidden/>
    <w:unhideWhenUsed/>
    <w:rsid w:val="009A336D"/>
    <w:rPr>
      <w:b/>
      <w:bCs/>
    </w:rPr>
  </w:style>
  <w:style w:type="character" w:customStyle="1" w:styleId="CommentSubjectChar">
    <w:name w:val="Comment Subject Char"/>
    <w:basedOn w:val="CommentTextChar"/>
    <w:link w:val="CommentSubject"/>
    <w:uiPriority w:val="99"/>
    <w:semiHidden/>
    <w:rsid w:val="009A33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3.tiff"/><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tiff"/><Relationship Id="rId22" Type="http://schemas.openxmlformats.org/officeDocument/2006/relationships/image" Target="media/image10.png"/><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5DCA7-97C8-4E87-9F91-501F5D16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10</Pages>
  <Words>3142</Words>
  <Characters>17914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Christ</dc:creator>
  <cp:keywords/>
  <dc:description/>
  <cp:lastModifiedBy>Christ, Shawn E.</cp:lastModifiedBy>
  <cp:revision>54</cp:revision>
  <dcterms:created xsi:type="dcterms:W3CDTF">2022-02-23T16:07:00Z</dcterms:created>
  <dcterms:modified xsi:type="dcterms:W3CDTF">2022-06-28T14:29:00Z</dcterms:modified>
</cp:coreProperties>
</file>