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75" w:rsidRDefault="00B97E39" w:rsidP="00B97E39">
      <w:pPr>
        <w:spacing w:line="480" w:lineRule="auto"/>
        <w:jc w:val="center"/>
      </w:pPr>
      <w:r>
        <w:rPr>
          <w:b/>
        </w:rPr>
        <w:t>Supplementary File</w:t>
      </w:r>
      <w:r w:rsidR="00C00F50">
        <w:rPr>
          <w:b/>
        </w:rPr>
        <w:t xml:space="preserve"> </w:t>
      </w:r>
      <w:r w:rsidR="001B2210" w:rsidRPr="003321D4">
        <w:rPr>
          <w:b/>
          <w:color w:val="FF0000"/>
        </w:rPr>
        <w:t>1</w:t>
      </w:r>
    </w:p>
    <w:p w:rsidR="007A4DB4" w:rsidRPr="007A4DB4" w:rsidRDefault="007A4DB4" w:rsidP="007A4DB4">
      <w:pPr>
        <w:spacing w:line="480" w:lineRule="auto"/>
        <w:jc w:val="both"/>
        <w:rPr>
          <w:i/>
        </w:rPr>
      </w:pPr>
      <w:r>
        <w:rPr>
          <w:i/>
        </w:rPr>
        <w:t>Sensitivity Analyses</w:t>
      </w:r>
    </w:p>
    <w:p w:rsidR="00B97E39" w:rsidRDefault="00B97E39" w:rsidP="00B97E39">
      <w:pPr>
        <w:spacing w:line="480" w:lineRule="auto"/>
        <w:ind w:firstLine="720"/>
      </w:pPr>
      <w:r>
        <w:t>Sensitivity analyses were undertaken for the primary hypotheses, to determine whether the reported findings were dependent on i) exclusion of participants with mild cognitive impairment (MCI) who had other neurological abnormalities, or ii) inclusion of participants with existing MCI prior to wave 4 of the Personality and Total Health (PATH) Through Life longitudinal study.</w:t>
      </w:r>
    </w:p>
    <w:p w:rsidR="00B97E39" w:rsidRDefault="00B97E39" w:rsidP="00B97E39">
      <w:pPr>
        <w:spacing w:line="480" w:lineRule="auto"/>
      </w:pPr>
      <w:r>
        <w:rPr>
          <w:i/>
        </w:rPr>
        <w:t>Sensitivity Analysis 1 – Re-analysis using full cohort of participants with Mild Cognitive Impairment</w:t>
      </w:r>
    </w:p>
    <w:p w:rsidR="007A4DB4" w:rsidRDefault="00B97E39" w:rsidP="00B97E39">
      <w:pPr>
        <w:spacing w:line="480" w:lineRule="auto"/>
        <w:rPr>
          <w:i/>
        </w:rPr>
      </w:pPr>
      <w:r>
        <w:tab/>
        <w:t xml:space="preserve">This analysis compared decision-making performance scores for 116 participants with MCI (including those with other neurological abnormalities stroke </w:t>
      </w:r>
      <w:r>
        <w:rPr>
          <w:i/>
        </w:rPr>
        <w:t>n</w:t>
      </w:r>
      <w:r>
        <w:t xml:space="preserve"> = 7, Parkinson’s disease </w:t>
      </w:r>
      <w:r>
        <w:rPr>
          <w:i/>
        </w:rPr>
        <w:t>n</w:t>
      </w:r>
      <w:r>
        <w:t xml:space="preserve"> = 3</w:t>
      </w:r>
      <w:r w:rsidR="009D20B6">
        <w:t>,</w:t>
      </w:r>
      <w:r>
        <w:t xml:space="preserve"> or missing data on comorbidity flags </w:t>
      </w:r>
      <w:r>
        <w:rPr>
          <w:i/>
        </w:rPr>
        <w:t>n</w:t>
      </w:r>
      <w:r>
        <w:t xml:space="preserve"> = 3) to </w:t>
      </w:r>
      <w:r>
        <w:t xml:space="preserve">the </w:t>
      </w:r>
      <w:r w:rsidR="00033804" w:rsidRPr="003321D4">
        <w:rPr>
          <w:color w:val="FF0000"/>
        </w:rPr>
        <w:t>142</w:t>
      </w:r>
      <w:r w:rsidR="00033804">
        <w:t xml:space="preserve"> </w:t>
      </w:r>
      <w:r>
        <w:t xml:space="preserve">older </w:t>
      </w:r>
      <w:r>
        <w:t xml:space="preserve">adults </w:t>
      </w:r>
      <w:r>
        <w:t>without MCI.</w:t>
      </w:r>
      <w:r w:rsidR="009D20B6">
        <w:t xml:space="preserve"> </w:t>
      </w:r>
      <w:r w:rsidR="00033804" w:rsidRPr="003321D4">
        <w:rPr>
          <w:color w:val="FF0000"/>
        </w:rPr>
        <w:t>As</w:t>
      </w:r>
      <w:r w:rsidR="009D20B6">
        <w:t xml:space="preserve"> in the primary analysis</w:t>
      </w:r>
      <w:r w:rsidR="00033804">
        <w:t xml:space="preserve"> </w:t>
      </w:r>
      <w:r w:rsidR="00033804" w:rsidRPr="003321D4">
        <w:rPr>
          <w:color w:val="FF0000"/>
        </w:rPr>
        <w:t>there were</w:t>
      </w:r>
      <w:r w:rsidR="00033804">
        <w:t xml:space="preserve"> no significant </w:t>
      </w:r>
      <w:r w:rsidR="00033804" w:rsidRPr="003321D4">
        <w:rPr>
          <w:color w:val="FF0000"/>
        </w:rPr>
        <w:t>differences on GDT</w:t>
      </w:r>
      <w:r w:rsidR="009D20B6" w:rsidRPr="003321D4">
        <w:rPr>
          <w:color w:val="FF0000"/>
        </w:rPr>
        <w:t xml:space="preserve"> net </w:t>
      </w:r>
      <w:r w:rsidR="009D20B6">
        <w:t xml:space="preserve">scores and significantly higher numbers of single number </w:t>
      </w:r>
      <w:r w:rsidR="009D20B6">
        <w:t xml:space="preserve">choices among </w:t>
      </w:r>
      <w:r w:rsidR="009D20B6">
        <w:t xml:space="preserve">people with MCI, </w:t>
      </w:r>
      <w:r w:rsidR="009D20B6">
        <w:t>compared to older adults without MCI</w:t>
      </w:r>
      <w:r w:rsidR="00033804">
        <w:t xml:space="preserve">. </w:t>
      </w:r>
      <w:r w:rsidR="00033804" w:rsidRPr="003321D4">
        <w:rPr>
          <w:color w:val="FF0000"/>
        </w:rPr>
        <w:t>However while the main analysis found a significantly higher number of strategy changes among people with MCI than those without MCI, for the first sensitivity analysis this result was not upheld</w:t>
      </w:r>
      <w:r w:rsidR="009D20B6">
        <w:t xml:space="preserve"> (see Table S1).</w:t>
      </w:r>
    </w:p>
    <w:p w:rsidR="00B97E39" w:rsidRDefault="009D20B6" w:rsidP="00B97E39">
      <w:pPr>
        <w:spacing w:line="480" w:lineRule="auto"/>
      </w:pPr>
      <w:r>
        <w:rPr>
          <w:i/>
        </w:rPr>
        <w:t xml:space="preserve">Table S1: </w:t>
      </w:r>
      <w:r w:rsidR="00B97E39" w:rsidRPr="001C5711">
        <w:rPr>
          <w:i/>
        </w:rPr>
        <w:t>Game of</w:t>
      </w:r>
      <w:r w:rsidR="00B97E39">
        <w:rPr>
          <w:i/>
        </w:rPr>
        <w:t xml:space="preserve"> Dice Task performance measures by diagnostic grouping</w:t>
      </w:r>
      <w:r w:rsidR="00B97E39" w:rsidRPr="001C5711">
        <w:rPr>
          <w:i/>
        </w:rPr>
        <w:t xml:space="preserve">. </w:t>
      </w:r>
    </w:p>
    <w:tbl>
      <w:tblPr>
        <w:tblStyle w:val="TableGrid"/>
        <w:tblW w:w="9072" w:type="dxa"/>
        <w:tblLayout w:type="fixed"/>
        <w:tblLook w:val="04A0" w:firstRow="1" w:lastRow="0" w:firstColumn="1" w:lastColumn="0" w:noHBand="0" w:noVBand="1"/>
      </w:tblPr>
      <w:tblGrid>
        <w:gridCol w:w="2268"/>
        <w:gridCol w:w="851"/>
        <w:gridCol w:w="1276"/>
        <w:gridCol w:w="1559"/>
        <w:gridCol w:w="1276"/>
        <w:gridCol w:w="850"/>
        <w:gridCol w:w="992"/>
      </w:tblGrid>
      <w:tr w:rsidR="00B97E39" w:rsidRPr="00672E96" w:rsidTr="009D20B6">
        <w:trPr>
          <w:tblHeader/>
        </w:trPr>
        <w:tc>
          <w:tcPr>
            <w:tcW w:w="2268" w:type="dxa"/>
            <w:tcBorders>
              <w:left w:val="nil"/>
              <w:bottom w:val="single" w:sz="4" w:space="0" w:color="auto"/>
              <w:right w:val="nil"/>
            </w:tcBorders>
            <w:vAlign w:val="center"/>
          </w:tcPr>
          <w:p w:rsidR="00B97E39" w:rsidRDefault="00B97E39" w:rsidP="00633681">
            <w:pPr>
              <w:spacing w:line="480" w:lineRule="auto"/>
              <w:rPr>
                <w:b/>
              </w:rPr>
            </w:pPr>
          </w:p>
        </w:tc>
        <w:tc>
          <w:tcPr>
            <w:tcW w:w="851" w:type="dxa"/>
            <w:tcBorders>
              <w:left w:val="nil"/>
              <w:bottom w:val="single" w:sz="4" w:space="0" w:color="auto"/>
              <w:right w:val="nil"/>
            </w:tcBorders>
          </w:tcPr>
          <w:p w:rsidR="00B97E39" w:rsidRDefault="00B97E39" w:rsidP="00633681">
            <w:pPr>
              <w:jc w:val="center"/>
            </w:pPr>
          </w:p>
        </w:tc>
        <w:tc>
          <w:tcPr>
            <w:tcW w:w="1276" w:type="dxa"/>
            <w:tcBorders>
              <w:left w:val="nil"/>
              <w:bottom w:val="single" w:sz="4" w:space="0" w:color="auto"/>
              <w:right w:val="nil"/>
            </w:tcBorders>
            <w:vAlign w:val="center"/>
          </w:tcPr>
          <w:p w:rsidR="00B97E39" w:rsidRDefault="00B97E39" w:rsidP="00633681">
            <w:pPr>
              <w:jc w:val="center"/>
            </w:pPr>
            <w:r>
              <w:t>Cognitively unimpaired</w:t>
            </w:r>
          </w:p>
          <w:p w:rsidR="00B97E39" w:rsidRPr="006725F4" w:rsidRDefault="00B97E39">
            <w:pPr>
              <w:jc w:val="center"/>
            </w:pPr>
            <w:r>
              <w:t>(</w:t>
            </w:r>
            <w:r>
              <w:rPr>
                <w:i/>
              </w:rPr>
              <w:t>n</w:t>
            </w:r>
            <w:r>
              <w:t xml:space="preserve"> = </w:t>
            </w:r>
            <w:r w:rsidR="009579AA" w:rsidRPr="003321D4">
              <w:rPr>
                <w:color w:val="FF0000"/>
              </w:rPr>
              <w:t>142</w:t>
            </w:r>
            <w:r>
              <w:t>)</w:t>
            </w:r>
          </w:p>
        </w:tc>
        <w:tc>
          <w:tcPr>
            <w:tcW w:w="1559" w:type="dxa"/>
            <w:tcBorders>
              <w:left w:val="nil"/>
              <w:bottom w:val="single" w:sz="4" w:space="0" w:color="auto"/>
              <w:right w:val="nil"/>
            </w:tcBorders>
          </w:tcPr>
          <w:p w:rsidR="00B97E39" w:rsidRDefault="00B97E39" w:rsidP="00633681">
            <w:pPr>
              <w:jc w:val="center"/>
            </w:pPr>
            <w:r>
              <w:t>Mild cognitive impairment</w:t>
            </w:r>
          </w:p>
          <w:p w:rsidR="00B97E39" w:rsidRDefault="00B97E39" w:rsidP="009D20B6">
            <w:pPr>
              <w:jc w:val="center"/>
            </w:pPr>
            <w:r>
              <w:t>(</w:t>
            </w:r>
            <w:r>
              <w:rPr>
                <w:i/>
              </w:rPr>
              <w:t>n</w:t>
            </w:r>
            <w:r>
              <w:t xml:space="preserve"> = 1</w:t>
            </w:r>
            <w:r w:rsidR="009D20B6">
              <w:t>16</w:t>
            </w:r>
            <w:r>
              <w:t>)</w:t>
            </w:r>
          </w:p>
        </w:tc>
        <w:tc>
          <w:tcPr>
            <w:tcW w:w="1276" w:type="dxa"/>
            <w:tcBorders>
              <w:left w:val="nil"/>
              <w:bottom w:val="single" w:sz="4" w:space="0" w:color="auto"/>
              <w:right w:val="nil"/>
            </w:tcBorders>
            <w:vAlign w:val="center"/>
          </w:tcPr>
          <w:p w:rsidR="00B97E39" w:rsidRPr="006725F4" w:rsidRDefault="00B97E39" w:rsidP="00633681">
            <w:pPr>
              <w:jc w:val="center"/>
            </w:pPr>
            <w:r w:rsidRPr="006725F4">
              <w:t>Test statistic</w:t>
            </w:r>
          </w:p>
        </w:tc>
        <w:tc>
          <w:tcPr>
            <w:tcW w:w="850" w:type="dxa"/>
            <w:tcBorders>
              <w:left w:val="nil"/>
              <w:bottom w:val="single" w:sz="4" w:space="0" w:color="auto"/>
              <w:right w:val="nil"/>
            </w:tcBorders>
            <w:vAlign w:val="center"/>
          </w:tcPr>
          <w:p w:rsidR="00B97E39" w:rsidRPr="006725F4" w:rsidRDefault="00B97E39" w:rsidP="00633681">
            <w:pPr>
              <w:jc w:val="center"/>
              <w:rPr>
                <w:i/>
              </w:rPr>
            </w:pPr>
            <w:r w:rsidRPr="006725F4">
              <w:rPr>
                <w:i/>
              </w:rPr>
              <w:t>p</w:t>
            </w:r>
          </w:p>
        </w:tc>
        <w:tc>
          <w:tcPr>
            <w:tcW w:w="992" w:type="dxa"/>
            <w:tcBorders>
              <w:left w:val="nil"/>
              <w:bottom w:val="single" w:sz="4" w:space="0" w:color="auto"/>
              <w:right w:val="nil"/>
            </w:tcBorders>
            <w:vAlign w:val="center"/>
          </w:tcPr>
          <w:p w:rsidR="00B97E39" w:rsidRPr="00672E96" w:rsidRDefault="00B97E39" w:rsidP="00633681">
            <w:pPr>
              <w:jc w:val="center"/>
            </w:pPr>
            <w:r>
              <w:t>Effect size</w:t>
            </w:r>
          </w:p>
        </w:tc>
      </w:tr>
      <w:tr w:rsidR="00B97E39" w:rsidTr="009D20B6">
        <w:trPr>
          <w:trHeight w:hRule="exact" w:val="284"/>
        </w:trPr>
        <w:tc>
          <w:tcPr>
            <w:tcW w:w="2268" w:type="dxa"/>
            <w:tcBorders>
              <w:top w:val="nil"/>
              <w:left w:val="nil"/>
              <w:bottom w:val="nil"/>
              <w:right w:val="nil"/>
            </w:tcBorders>
            <w:vAlign w:val="center"/>
          </w:tcPr>
          <w:p w:rsidR="00B97E39" w:rsidRPr="00251534" w:rsidRDefault="00B97E39" w:rsidP="00633681">
            <w:pPr>
              <w:spacing w:line="480" w:lineRule="auto"/>
              <w:ind w:left="32" w:firstLine="2"/>
            </w:pPr>
            <w:r>
              <w:t>Net Score</w:t>
            </w:r>
          </w:p>
        </w:tc>
        <w:tc>
          <w:tcPr>
            <w:tcW w:w="851" w:type="dxa"/>
            <w:tcBorders>
              <w:top w:val="nil"/>
              <w:left w:val="nil"/>
              <w:bottom w:val="nil"/>
              <w:right w:val="nil"/>
            </w:tcBorders>
          </w:tcPr>
          <w:p w:rsidR="00B97E39" w:rsidRPr="00251534" w:rsidRDefault="00B97E39" w:rsidP="00633681">
            <w:pPr>
              <w:spacing w:line="480" w:lineRule="auto"/>
              <w:jc w:val="center"/>
            </w:pPr>
            <w:r>
              <w:t>M (SD)</w:t>
            </w:r>
          </w:p>
        </w:tc>
        <w:tc>
          <w:tcPr>
            <w:tcW w:w="1276" w:type="dxa"/>
            <w:tcBorders>
              <w:top w:val="nil"/>
              <w:left w:val="nil"/>
              <w:bottom w:val="nil"/>
              <w:right w:val="nil"/>
            </w:tcBorders>
            <w:vAlign w:val="center"/>
          </w:tcPr>
          <w:p w:rsidR="00B97E39" w:rsidRPr="003321D4" w:rsidRDefault="009579AA" w:rsidP="00633681">
            <w:pPr>
              <w:spacing w:line="480" w:lineRule="auto"/>
              <w:jc w:val="center"/>
              <w:rPr>
                <w:color w:val="FF0000"/>
              </w:rPr>
            </w:pPr>
            <w:r w:rsidRPr="003321D4">
              <w:rPr>
                <w:color w:val="FF0000"/>
              </w:rPr>
              <w:t>4.27</w:t>
            </w:r>
            <w:r w:rsidR="00B97E39" w:rsidRPr="003321D4">
              <w:rPr>
                <w:color w:val="FF0000"/>
              </w:rPr>
              <w:t xml:space="preserve"> (10.</w:t>
            </w:r>
            <w:r w:rsidRPr="003321D4">
              <w:rPr>
                <w:color w:val="FF0000"/>
              </w:rPr>
              <w:t>3</w:t>
            </w:r>
            <w:r w:rsidR="00B97E39" w:rsidRPr="003321D4">
              <w:rPr>
                <w:color w:val="FF0000"/>
              </w:rPr>
              <w:t>)</w:t>
            </w:r>
          </w:p>
        </w:tc>
        <w:tc>
          <w:tcPr>
            <w:tcW w:w="1559" w:type="dxa"/>
            <w:tcBorders>
              <w:top w:val="nil"/>
              <w:left w:val="nil"/>
              <w:bottom w:val="nil"/>
              <w:right w:val="nil"/>
            </w:tcBorders>
          </w:tcPr>
          <w:p w:rsidR="00B97E39" w:rsidRDefault="007338BA" w:rsidP="009D20B6">
            <w:pPr>
              <w:spacing w:line="480" w:lineRule="auto"/>
              <w:jc w:val="center"/>
            </w:pPr>
            <w:r>
              <w:t xml:space="preserve">2.62 </w:t>
            </w:r>
            <w:r w:rsidR="00B97E39">
              <w:t>(</w:t>
            </w:r>
            <w:r>
              <w:t>10.0</w:t>
            </w:r>
            <w:r w:rsidR="00B97E39">
              <w:t>)</w:t>
            </w:r>
          </w:p>
        </w:tc>
        <w:tc>
          <w:tcPr>
            <w:tcW w:w="1276" w:type="dxa"/>
            <w:tcBorders>
              <w:top w:val="nil"/>
              <w:left w:val="nil"/>
              <w:bottom w:val="nil"/>
              <w:right w:val="nil"/>
            </w:tcBorders>
            <w:vAlign w:val="center"/>
          </w:tcPr>
          <w:p w:rsidR="00B97E39" w:rsidRPr="003321D4" w:rsidRDefault="00B97E39">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9,070</w:t>
            </w:r>
          </w:p>
        </w:tc>
        <w:tc>
          <w:tcPr>
            <w:tcW w:w="850" w:type="dxa"/>
            <w:tcBorders>
              <w:top w:val="nil"/>
              <w:left w:val="nil"/>
              <w:bottom w:val="nil"/>
              <w:right w:val="nil"/>
            </w:tcBorders>
            <w:vAlign w:val="center"/>
          </w:tcPr>
          <w:p w:rsidR="00B97E39" w:rsidRPr="003321D4" w:rsidRDefault="009D20B6">
            <w:pPr>
              <w:spacing w:line="480" w:lineRule="auto"/>
              <w:jc w:val="center"/>
              <w:rPr>
                <w:color w:val="FF0000"/>
              </w:rPr>
            </w:pPr>
            <w:r w:rsidRPr="003321D4">
              <w:rPr>
                <w:color w:val="FF0000"/>
              </w:rPr>
              <w:t>.</w:t>
            </w:r>
            <w:r w:rsidR="009579AA" w:rsidRPr="003321D4">
              <w:rPr>
                <w:color w:val="FF0000"/>
              </w:rPr>
              <w:t>161</w:t>
            </w:r>
          </w:p>
        </w:tc>
        <w:tc>
          <w:tcPr>
            <w:tcW w:w="992" w:type="dxa"/>
            <w:tcBorders>
              <w:top w:val="nil"/>
              <w:left w:val="nil"/>
              <w:bottom w:val="nil"/>
              <w:right w:val="nil"/>
            </w:tcBorders>
            <w:vAlign w:val="center"/>
          </w:tcPr>
          <w:p w:rsidR="00B97E39" w:rsidRPr="008D3DAB" w:rsidRDefault="009579AA">
            <w:pPr>
              <w:spacing w:line="480" w:lineRule="auto"/>
              <w:jc w:val="center"/>
            </w:pPr>
            <w:r>
              <w:t>-</w:t>
            </w:r>
          </w:p>
        </w:tc>
      </w:tr>
      <w:tr w:rsidR="00B97E39" w:rsidTr="009D20B6">
        <w:trPr>
          <w:trHeight w:hRule="exact" w:val="284"/>
        </w:trPr>
        <w:tc>
          <w:tcPr>
            <w:tcW w:w="2268" w:type="dxa"/>
            <w:tcBorders>
              <w:top w:val="nil"/>
              <w:left w:val="nil"/>
              <w:bottom w:val="nil"/>
              <w:right w:val="nil"/>
            </w:tcBorders>
            <w:vAlign w:val="center"/>
          </w:tcPr>
          <w:p w:rsidR="00B97E39" w:rsidRPr="00251534" w:rsidRDefault="00B97E39" w:rsidP="00633681">
            <w:pPr>
              <w:spacing w:line="480" w:lineRule="auto"/>
              <w:ind w:left="32" w:firstLine="2"/>
            </w:pPr>
            <w:r>
              <w:t>Single number choices</w:t>
            </w:r>
          </w:p>
        </w:tc>
        <w:tc>
          <w:tcPr>
            <w:tcW w:w="851" w:type="dxa"/>
            <w:tcBorders>
              <w:top w:val="nil"/>
              <w:left w:val="nil"/>
              <w:bottom w:val="nil"/>
              <w:right w:val="nil"/>
            </w:tcBorders>
          </w:tcPr>
          <w:p w:rsidR="00B97E39" w:rsidRDefault="00B97E39" w:rsidP="00633681">
            <w:pPr>
              <w:spacing w:line="480" w:lineRule="auto"/>
              <w:jc w:val="center"/>
            </w:pPr>
            <w:r>
              <w:t>M (SD)</w:t>
            </w:r>
          </w:p>
        </w:tc>
        <w:tc>
          <w:tcPr>
            <w:tcW w:w="1276" w:type="dxa"/>
            <w:tcBorders>
              <w:top w:val="nil"/>
              <w:left w:val="nil"/>
              <w:bottom w:val="nil"/>
              <w:right w:val="nil"/>
            </w:tcBorders>
            <w:vAlign w:val="center"/>
          </w:tcPr>
          <w:p w:rsidR="00B97E39" w:rsidRPr="003321D4" w:rsidRDefault="009579AA" w:rsidP="00633681">
            <w:pPr>
              <w:spacing w:line="480" w:lineRule="auto"/>
              <w:jc w:val="center"/>
              <w:rPr>
                <w:color w:val="FF0000"/>
              </w:rPr>
            </w:pPr>
            <w:r w:rsidRPr="003321D4">
              <w:rPr>
                <w:color w:val="FF0000"/>
              </w:rPr>
              <w:t>3.00</w:t>
            </w:r>
            <w:r w:rsidR="00B97E39" w:rsidRPr="003321D4">
              <w:rPr>
                <w:color w:val="FF0000"/>
              </w:rPr>
              <w:t xml:space="preserve"> (3.7</w:t>
            </w:r>
            <w:r w:rsidRPr="003321D4">
              <w:rPr>
                <w:color w:val="FF0000"/>
              </w:rPr>
              <w:t>4</w:t>
            </w:r>
            <w:r w:rsidR="00B97E39" w:rsidRPr="003321D4">
              <w:rPr>
                <w:color w:val="FF0000"/>
              </w:rPr>
              <w:t>)</w:t>
            </w:r>
          </w:p>
        </w:tc>
        <w:tc>
          <w:tcPr>
            <w:tcW w:w="1559" w:type="dxa"/>
            <w:tcBorders>
              <w:top w:val="nil"/>
              <w:left w:val="nil"/>
              <w:bottom w:val="nil"/>
              <w:right w:val="nil"/>
            </w:tcBorders>
          </w:tcPr>
          <w:p w:rsidR="00B97E39" w:rsidRDefault="007338BA" w:rsidP="009D20B6">
            <w:pPr>
              <w:spacing w:line="480" w:lineRule="auto"/>
              <w:jc w:val="center"/>
            </w:pPr>
            <w:r>
              <w:t xml:space="preserve">3.66 </w:t>
            </w:r>
            <w:r w:rsidR="00B97E39">
              <w:t>(</w:t>
            </w:r>
            <w:r>
              <w:t>3.80</w:t>
            </w:r>
            <w:r w:rsidR="00B97E39">
              <w:t>)</w:t>
            </w:r>
          </w:p>
        </w:tc>
        <w:tc>
          <w:tcPr>
            <w:tcW w:w="1276" w:type="dxa"/>
            <w:tcBorders>
              <w:top w:val="nil"/>
              <w:left w:val="nil"/>
              <w:bottom w:val="nil"/>
              <w:right w:val="nil"/>
            </w:tcBorders>
            <w:vAlign w:val="center"/>
          </w:tcPr>
          <w:p w:rsidR="00B97E39" w:rsidRPr="003321D4" w:rsidRDefault="00B97E39">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7,082</w:t>
            </w:r>
          </w:p>
        </w:tc>
        <w:tc>
          <w:tcPr>
            <w:tcW w:w="850" w:type="dxa"/>
            <w:tcBorders>
              <w:top w:val="nil"/>
              <w:left w:val="nil"/>
              <w:bottom w:val="nil"/>
              <w:right w:val="nil"/>
            </w:tcBorders>
            <w:vAlign w:val="center"/>
          </w:tcPr>
          <w:p w:rsidR="00B97E39" w:rsidRPr="003321D4" w:rsidRDefault="00B97E39">
            <w:pPr>
              <w:spacing w:line="480" w:lineRule="auto"/>
              <w:jc w:val="center"/>
              <w:rPr>
                <w:color w:val="FF0000"/>
              </w:rPr>
            </w:pPr>
            <w:r w:rsidRPr="003321D4">
              <w:rPr>
                <w:color w:val="FF0000"/>
              </w:rPr>
              <w:t>.0</w:t>
            </w:r>
            <w:r w:rsidR="009579AA" w:rsidRPr="003321D4">
              <w:rPr>
                <w:color w:val="FF0000"/>
              </w:rPr>
              <w:t>48</w:t>
            </w:r>
          </w:p>
        </w:tc>
        <w:tc>
          <w:tcPr>
            <w:tcW w:w="992" w:type="dxa"/>
            <w:tcBorders>
              <w:top w:val="nil"/>
              <w:left w:val="nil"/>
              <w:bottom w:val="nil"/>
              <w:right w:val="nil"/>
            </w:tcBorders>
            <w:vAlign w:val="center"/>
          </w:tcPr>
          <w:p w:rsidR="00B97E39" w:rsidRPr="008D3DAB" w:rsidRDefault="00B97E39" w:rsidP="00633681">
            <w:pPr>
              <w:spacing w:line="480" w:lineRule="auto"/>
              <w:jc w:val="center"/>
            </w:pPr>
            <w:r w:rsidRPr="003321D4">
              <w:rPr>
                <w:i/>
                <w:color w:val="FF0000"/>
              </w:rPr>
              <w:t>r</w:t>
            </w:r>
            <w:r w:rsidRPr="003321D4">
              <w:rPr>
                <w:color w:val="FF0000"/>
                <w:vertAlign w:val="superscript"/>
              </w:rPr>
              <w:t>2</w:t>
            </w:r>
            <w:r w:rsidR="009D20B6" w:rsidRPr="003321D4">
              <w:rPr>
                <w:color w:val="FF0000"/>
              </w:rPr>
              <w:t xml:space="preserve"> = .1</w:t>
            </w:r>
            <w:r w:rsidR="009579AA" w:rsidRPr="003321D4">
              <w:rPr>
                <w:color w:val="FF0000"/>
              </w:rPr>
              <w:t>2</w:t>
            </w:r>
          </w:p>
        </w:tc>
      </w:tr>
      <w:tr w:rsidR="00B97E39" w:rsidTr="009D20B6">
        <w:trPr>
          <w:trHeight w:hRule="exact" w:val="284"/>
        </w:trPr>
        <w:tc>
          <w:tcPr>
            <w:tcW w:w="2268" w:type="dxa"/>
            <w:tcBorders>
              <w:top w:val="nil"/>
              <w:left w:val="nil"/>
              <w:bottom w:val="single" w:sz="4" w:space="0" w:color="auto"/>
              <w:right w:val="nil"/>
            </w:tcBorders>
            <w:vAlign w:val="center"/>
          </w:tcPr>
          <w:p w:rsidR="00B97E39" w:rsidRDefault="00B97E39" w:rsidP="00633681">
            <w:pPr>
              <w:spacing w:line="480" w:lineRule="auto"/>
              <w:ind w:left="32" w:firstLine="2"/>
            </w:pPr>
            <w:r>
              <w:t>Strategy changes</w:t>
            </w:r>
          </w:p>
        </w:tc>
        <w:tc>
          <w:tcPr>
            <w:tcW w:w="851" w:type="dxa"/>
            <w:tcBorders>
              <w:top w:val="nil"/>
              <w:left w:val="nil"/>
              <w:bottom w:val="single" w:sz="4" w:space="0" w:color="auto"/>
              <w:right w:val="nil"/>
            </w:tcBorders>
          </w:tcPr>
          <w:p w:rsidR="00B97E39" w:rsidRDefault="00B97E39" w:rsidP="00633681">
            <w:pPr>
              <w:spacing w:line="480" w:lineRule="auto"/>
              <w:jc w:val="center"/>
            </w:pPr>
            <w:r>
              <w:t>M (SD)</w:t>
            </w:r>
          </w:p>
        </w:tc>
        <w:tc>
          <w:tcPr>
            <w:tcW w:w="1276" w:type="dxa"/>
            <w:tcBorders>
              <w:top w:val="nil"/>
              <w:left w:val="nil"/>
              <w:bottom w:val="single" w:sz="4" w:space="0" w:color="auto"/>
              <w:right w:val="nil"/>
            </w:tcBorders>
            <w:vAlign w:val="center"/>
          </w:tcPr>
          <w:p w:rsidR="00B97E39" w:rsidRPr="003321D4" w:rsidRDefault="00B97E39">
            <w:pPr>
              <w:spacing w:line="480" w:lineRule="auto"/>
              <w:jc w:val="center"/>
              <w:rPr>
                <w:color w:val="FF0000"/>
              </w:rPr>
            </w:pPr>
            <w:r w:rsidRPr="003321D4">
              <w:rPr>
                <w:color w:val="FF0000"/>
              </w:rPr>
              <w:t>4.</w:t>
            </w:r>
            <w:r w:rsidR="009579AA" w:rsidRPr="003321D4">
              <w:rPr>
                <w:color w:val="FF0000"/>
              </w:rPr>
              <w:t>65</w:t>
            </w:r>
            <w:r w:rsidRPr="003321D4">
              <w:rPr>
                <w:color w:val="FF0000"/>
              </w:rPr>
              <w:t xml:space="preserve"> (3.</w:t>
            </w:r>
            <w:r w:rsidR="009579AA" w:rsidRPr="003321D4">
              <w:rPr>
                <w:color w:val="FF0000"/>
              </w:rPr>
              <w:t>27</w:t>
            </w:r>
            <w:r w:rsidRPr="003321D4">
              <w:rPr>
                <w:color w:val="FF0000"/>
              </w:rPr>
              <w:t>)</w:t>
            </w:r>
          </w:p>
        </w:tc>
        <w:tc>
          <w:tcPr>
            <w:tcW w:w="1559" w:type="dxa"/>
            <w:tcBorders>
              <w:top w:val="nil"/>
              <w:left w:val="nil"/>
              <w:bottom w:val="single" w:sz="4" w:space="0" w:color="auto"/>
              <w:right w:val="nil"/>
            </w:tcBorders>
          </w:tcPr>
          <w:p w:rsidR="00B97E39" w:rsidRDefault="007338BA" w:rsidP="009D20B6">
            <w:pPr>
              <w:spacing w:line="480" w:lineRule="auto"/>
              <w:jc w:val="center"/>
            </w:pPr>
            <w:r>
              <w:t xml:space="preserve">5.36 </w:t>
            </w:r>
            <w:r w:rsidR="00B97E39">
              <w:t>(</w:t>
            </w:r>
            <w:r>
              <w:t>3.41</w:t>
            </w:r>
            <w:r w:rsidR="00B97E39">
              <w:t>)</w:t>
            </w:r>
          </w:p>
        </w:tc>
        <w:tc>
          <w:tcPr>
            <w:tcW w:w="1276" w:type="dxa"/>
            <w:tcBorders>
              <w:top w:val="nil"/>
              <w:left w:val="nil"/>
              <w:bottom w:val="single" w:sz="4" w:space="0" w:color="auto"/>
              <w:right w:val="nil"/>
            </w:tcBorders>
            <w:vAlign w:val="center"/>
          </w:tcPr>
          <w:p w:rsidR="00B97E39" w:rsidRPr="003321D4" w:rsidRDefault="00B97E39">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7,192</w:t>
            </w:r>
          </w:p>
        </w:tc>
        <w:tc>
          <w:tcPr>
            <w:tcW w:w="850" w:type="dxa"/>
            <w:tcBorders>
              <w:top w:val="nil"/>
              <w:left w:val="nil"/>
              <w:bottom w:val="single" w:sz="4" w:space="0" w:color="auto"/>
              <w:right w:val="nil"/>
            </w:tcBorders>
            <w:vAlign w:val="center"/>
          </w:tcPr>
          <w:p w:rsidR="00B97E39" w:rsidRPr="003321D4" w:rsidRDefault="009D20B6">
            <w:pPr>
              <w:spacing w:line="480" w:lineRule="auto"/>
              <w:jc w:val="center"/>
              <w:rPr>
                <w:color w:val="FF0000"/>
              </w:rPr>
            </w:pPr>
            <w:r w:rsidRPr="003321D4">
              <w:rPr>
                <w:color w:val="FF0000"/>
              </w:rPr>
              <w:t>.0</w:t>
            </w:r>
            <w:r w:rsidR="009579AA" w:rsidRPr="003321D4">
              <w:rPr>
                <w:color w:val="FF0000"/>
              </w:rPr>
              <w:t>78</w:t>
            </w:r>
          </w:p>
        </w:tc>
        <w:tc>
          <w:tcPr>
            <w:tcW w:w="992" w:type="dxa"/>
            <w:tcBorders>
              <w:top w:val="nil"/>
              <w:left w:val="nil"/>
              <w:bottom w:val="single" w:sz="4" w:space="0" w:color="auto"/>
              <w:right w:val="nil"/>
            </w:tcBorders>
            <w:vAlign w:val="center"/>
          </w:tcPr>
          <w:p w:rsidR="00B97E39" w:rsidRPr="009579AA" w:rsidRDefault="009579AA" w:rsidP="00633681">
            <w:pPr>
              <w:spacing w:line="480" w:lineRule="auto"/>
              <w:jc w:val="center"/>
            </w:pPr>
            <w:r>
              <w:rPr>
                <w:i/>
              </w:rPr>
              <w:t>-</w:t>
            </w:r>
          </w:p>
        </w:tc>
      </w:tr>
    </w:tbl>
    <w:p w:rsidR="009D20B6" w:rsidRDefault="009D20B6" w:rsidP="009D20B6">
      <w:pPr>
        <w:pStyle w:val="EndNoteBibliography"/>
        <w:spacing w:before="240" w:line="480" w:lineRule="auto"/>
      </w:pPr>
      <w:r w:rsidRPr="004C3C95">
        <w:rPr>
          <w:i/>
        </w:rPr>
        <w:t>Note.</w:t>
      </w:r>
      <w:r>
        <w:t xml:space="preserve"> Test statistic and </w:t>
      </w:r>
      <w:r>
        <w:t>effect size results refer to independent paired samples tests between cognitively unimpaired (</w:t>
      </w:r>
      <w:r>
        <w:rPr>
          <w:i/>
        </w:rPr>
        <w:t>n</w:t>
      </w:r>
      <w:r>
        <w:t xml:space="preserve"> = </w:t>
      </w:r>
      <w:r w:rsidR="009579AA" w:rsidRPr="003321D4">
        <w:rPr>
          <w:color w:val="FF0000"/>
        </w:rPr>
        <w:t>142</w:t>
      </w:r>
      <w:r>
        <w:t>) and mild cognitive impairment (</w:t>
      </w:r>
      <w:r>
        <w:rPr>
          <w:i/>
        </w:rPr>
        <w:t>n</w:t>
      </w:r>
      <w:r>
        <w:t xml:space="preserve"> = 116) groups. For the GDT net score measure (-18 minimum to 18 maximum) higher </w:t>
      </w:r>
      <w:r>
        <w:t>scores reflect higher levels of performance. For the frequency of single number choices (0 minimum to 18 maximum) and strategy changes (0 minimum to 17 maximum) lower scores reflect higher levels of performance.</w:t>
      </w:r>
    </w:p>
    <w:p w:rsidR="009D20B6" w:rsidRDefault="009D20B6" w:rsidP="009D20B6">
      <w:pPr>
        <w:spacing w:line="480" w:lineRule="auto"/>
      </w:pPr>
      <w:r>
        <w:rPr>
          <w:i/>
        </w:rPr>
        <w:lastRenderedPageBreak/>
        <w:t>W</w:t>
      </w:r>
      <w:r>
        <w:t xml:space="preserve"> = Wilcoxon rank sum test, </w:t>
      </w:r>
      <w:r>
        <w:rPr>
          <w:i/>
        </w:rPr>
        <w:t>r</w:t>
      </w:r>
      <w:r>
        <w:rPr>
          <w:vertAlign w:val="superscript"/>
        </w:rPr>
        <w:t>2</w:t>
      </w:r>
      <w:r>
        <w:t xml:space="preserve"> = effect size coefficient (</w:t>
      </w:r>
      <w:r>
        <w:rPr>
          <w:i/>
        </w:rPr>
        <w:t>r</w:t>
      </w:r>
      <w:r>
        <w:rPr>
          <w:vertAlign w:val="superscript"/>
        </w:rPr>
        <w:t xml:space="preserve">2 </w:t>
      </w:r>
      <w:r>
        <w:t>&lt; 0.3 = small effect)</w:t>
      </w:r>
    </w:p>
    <w:p w:rsidR="009D20B6" w:rsidRDefault="009D20B6" w:rsidP="009D20B6">
      <w:pPr>
        <w:spacing w:line="480" w:lineRule="auto"/>
      </w:pPr>
      <w:r>
        <w:rPr>
          <w:i/>
        </w:rPr>
        <w:t>Sensitivity Analysis 2 – Re-analysis using sub-sample of participants with Mild Cognitive Impairment incident at wave 4</w:t>
      </w:r>
    </w:p>
    <w:p w:rsidR="009D20B6" w:rsidRDefault="009D20B6" w:rsidP="009D20B6">
      <w:pPr>
        <w:spacing w:line="480" w:lineRule="auto"/>
      </w:pPr>
      <w:r>
        <w:tab/>
        <w:t>This analysis compared decision-</w:t>
      </w:r>
      <w:r>
        <w:t xml:space="preserve">making performance scores for 88 participants with MCI (identified for the first time at wave 4 of the PATH study) to the </w:t>
      </w:r>
      <w:r w:rsidR="009579AA" w:rsidRPr="003321D4">
        <w:rPr>
          <w:color w:val="FF0000"/>
        </w:rPr>
        <w:t>142</w:t>
      </w:r>
      <w:r w:rsidR="009579AA">
        <w:t xml:space="preserve"> </w:t>
      </w:r>
      <w:r>
        <w:t xml:space="preserve">older adults without MCI. </w:t>
      </w:r>
      <w:r w:rsidR="00564006">
        <w:t>As expected a higher proportion of those with multi-domain aMCI (aMCI-multi</w:t>
      </w:r>
      <w:r w:rsidR="00564006">
        <w:t>) at wave 4 were excluded due to having a pre-existing diagnosis of MCI at wave 3 than the single-domain aMCI (aMCI-single) or non-amnestic MCI (naMCI) sub-types (8/31 aMCI-multi vs 5/38 aMCI-single vs 2/33 naMCI, (</w:t>
      </w:r>
      <w:r w:rsidR="00564006">
        <w:rPr>
          <w:rFonts w:cstheme="minorHAnsi"/>
        </w:rPr>
        <w:t>χ</w:t>
      </w:r>
      <w:r w:rsidR="00564006">
        <w:rPr>
          <w:vertAlign w:val="superscript"/>
        </w:rPr>
        <w:t>2</w:t>
      </w:r>
      <w:r w:rsidR="00564006">
        <w:t xml:space="preserve"> (2, N = 88) = 1105, </w:t>
      </w:r>
      <w:r w:rsidR="00564006">
        <w:rPr>
          <w:i/>
        </w:rPr>
        <w:t>p</w:t>
      </w:r>
      <w:r w:rsidR="00564006">
        <w:t xml:space="preserve"> &lt; .001)). </w:t>
      </w:r>
      <w:r w:rsidR="009579AA" w:rsidRPr="003321D4">
        <w:rPr>
          <w:color w:val="FF0000"/>
        </w:rPr>
        <w:t xml:space="preserve">As in the main analysis there were no significant differences in GDT net scores, and there were a higher number of single number choices among participants with MCI than older adults without MCI. However while the main analysis found a significantly higher number of strategy changes among people with MCI than those without MCI, for the first sensitivity analysis this result was not upheld </w:t>
      </w:r>
      <w:r w:rsidRPr="003321D4">
        <w:rPr>
          <w:color w:val="FF0000"/>
        </w:rPr>
        <w:t>(see Table S</w:t>
      </w:r>
      <w:r w:rsidR="00564006" w:rsidRPr="003321D4">
        <w:rPr>
          <w:color w:val="FF0000"/>
        </w:rPr>
        <w:t>2</w:t>
      </w:r>
      <w:r w:rsidRPr="003321D4">
        <w:rPr>
          <w:color w:val="FF0000"/>
        </w:rPr>
        <w:t>).</w:t>
      </w:r>
    </w:p>
    <w:p w:rsidR="009D20B6" w:rsidRDefault="009D20B6" w:rsidP="009D20B6">
      <w:pPr>
        <w:spacing w:line="480" w:lineRule="auto"/>
      </w:pPr>
      <w:r>
        <w:rPr>
          <w:i/>
        </w:rPr>
        <w:t>Table S</w:t>
      </w:r>
      <w:r w:rsidR="00564006">
        <w:rPr>
          <w:i/>
        </w:rPr>
        <w:t>2</w:t>
      </w:r>
      <w:r>
        <w:rPr>
          <w:i/>
        </w:rPr>
        <w:t xml:space="preserve">: </w:t>
      </w:r>
      <w:r w:rsidRPr="001C5711">
        <w:rPr>
          <w:i/>
        </w:rPr>
        <w:t>Game of</w:t>
      </w:r>
      <w:r>
        <w:rPr>
          <w:i/>
        </w:rPr>
        <w:t xml:space="preserve"> Dice Task performance measures by diagnostic grouping</w:t>
      </w:r>
      <w:r w:rsidRPr="001C5711">
        <w:rPr>
          <w:i/>
        </w:rPr>
        <w:t xml:space="preserve">. </w:t>
      </w:r>
    </w:p>
    <w:tbl>
      <w:tblPr>
        <w:tblStyle w:val="TableGrid"/>
        <w:tblW w:w="9072" w:type="dxa"/>
        <w:tblLayout w:type="fixed"/>
        <w:tblLook w:val="04A0" w:firstRow="1" w:lastRow="0" w:firstColumn="1" w:lastColumn="0" w:noHBand="0" w:noVBand="1"/>
      </w:tblPr>
      <w:tblGrid>
        <w:gridCol w:w="2268"/>
        <w:gridCol w:w="851"/>
        <w:gridCol w:w="1276"/>
        <w:gridCol w:w="1559"/>
        <w:gridCol w:w="1276"/>
        <w:gridCol w:w="850"/>
        <w:gridCol w:w="992"/>
      </w:tblGrid>
      <w:tr w:rsidR="009D20B6" w:rsidRPr="00672E96" w:rsidTr="00633681">
        <w:trPr>
          <w:tblHeader/>
        </w:trPr>
        <w:tc>
          <w:tcPr>
            <w:tcW w:w="2268" w:type="dxa"/>
            <w:tcBorders>
              <w:left w:val="nil"/>
              <w:bottom w:val="single" w:sz="4" w:space="0" w:color="auto"/>
              <w:right w:val="nil"/>
            </w:tcBorders>
            <w:vAlign w:val="center"/>
          </w:tcPr>
          <w:p w:rsidR="009D20B6" w:rsidRDefault="009D20B6" w:rsidP="00633681">
            <w:pPr>
              <w:spacing w:line="480" w:lineRule="auto"/>
              <w:rPr>
                <w:b/>
              </w:rPr>
            </w:pPr>
          </w:p>
        </w:tc>
        <w:tc>
          <w:tcPr>
            <w:tcW w:w="851" w:type="dxa"/>
            <w:tcBorders>
              <w:left w:val="nil"/>
              <w:bottom w:val="single" w:sz="4" w:space="0" w:color="auto"/>
              <w:right w:val="nil"/>
            </w:tcBorders>
          </w:tcPr>
          <w:p w:rsidR="009D20B6" w:rsidRDefault="009D20B6" w:rsidP="00633681">
            <w:pPr>
              <w:jc w:val="center"/>
            </w:pPr>
          </w:p>
        </w:tc>
        <w:tc>
          <w:tcPr>
            <w:tcW w:w="1276" w:type="dxa"/>
            <w:tcBorders>
              <w:left w:val="nil"/>
              <w:bottom w:val="single" w:sz="4" w:space="0" w:color="auto"/>
              <w:right w:val="nil"/>
            </w:tcBorders>
            <w:vAlign w:val="center"/>
          </w:tcPr>
          <w:p w:rsidR="009D20B6" w:rsidRDefault="009D20B6" w:rsidP="00633681">
            <w:pPr>
              <w:jc w:val="center"/>
            </w:pPr>
            <w:r>
              <w:t>Cognitively unimpaired</w:t>
            </w:r>
          </w:p>
          <w:p w:rsidR="009D20B6" w:rsidRPr="006725F4" w:rsidRDefault="009D20B6" w:rsidP="003321D4">
            <w:pPr>
              <w:jc w:val="center"/>
            </w:pPr>
            <w:r>
              <w:t>(</w:t>
            </w:r>
            <w:r>
              <w:rPr>
                <w:i/>
              </w:rPr>
              <w:t>n</w:t>
            </w:r>
            <w:r>
              <w:t xml:space="preserve"> = </w:t>
            </w:r>
            <w:r w:rsidR="003321D4" w:rsidRPr="003321D4">
              <w:rPr>
                <w:color w:val="FF0000"/>
              </w:rPr>
              <w:t>142</w:t>
            </w:r>
            <w:r>
              <w:t>)</w:t>
            </w:r>
          </w:p>
        </w:tc>
        <w:tc>
          <w:tcPr>
            <w:tcW w:w="1559" w:type="dxa"/>
            <w:tcBorders>
              <w:left w:val="nil"/>
              <w:bottom w:val="single" w:sz="4" w:space="0" w:color="auto"/>
              <w:right w:val="nil"/>
            </w:tcBorders>
          </w:tcPr>
          <w:p w:rsidR="009D20B6" w:rsidRDefault="009D20B6" w:rsidP="00633681">
            <w:pPr>
              <w:jc w:val="center"/>
            </w:pPr>
            <w:r>
              <w:t>Mild cognitive impairment</w:t>
            </w:r>
          </w:p>
          <w:p w:rsidR="009D20B6" w:rsidRDefault="009D20B6" w:rsidP="00564006">
            <w:pPr>
              <w:jc w:val="center"/>
            </w:pPr>
            <w:r>
              <w:t>(</w:t>
            </w:r>
            <w:r>
              <w:rPr>
                <w:i/>
              </w:rPr>
              <w:t>n</w:t>
            </w:r>
            <w:r>
              <w:t xml:space="preserve"> = </w:t>
            </w:r>
            <w:r w:rsidR="00564006">
              <w:t>88</w:t>
            </w:r>
            <w:r>
              <w:t>)</w:t>
            </w:r>
          </w:p>
        </w:tc>
        <w:tc>
          <w:tcPr>
            <w:tcW w:w="1276" w:type="dxa"/>
            <w:tcBorders>
              <w:left w:val="nil"/>
              <w:bottom w:val="single" w:sz="4" w:space="0" w:color="auto"/>
              <w:right w:val="nil"/>
            </w:tcBorders>
            <w:vAlign w:val="center"/>
          </w:tcPr>
          <w:p w:rsidR="009D20B6" w:rsidRPr="006725F4" w:rsidRDefault="009D20B6" w:rsidP="00633681">
            <w:pPr>
              <w:jc w:val="center"/>
            </w:pPr>
            <w:r w:rsidRPr="006725F4">
              <w:t>Test statistic</w:t>
            </w:r>
          </w:p>
        </w:tc>
        <w:tc>
          <w:tcPr>
            <w:tcW w:w="850" w:type="dxa"/>
            <w:tcBorders>
              <w:left w:val="nil"/>
              <w:bottom w:val="single" w:sz="4" w:space="0" w:color="auto"/>
              <w:right w:val="nil"/>
            </w:tcBorders>
            <w:vAlign w:val="center"/>
          </w:tcPr>
          <w:p w:rsidR="009D20B6" w:rsidRPr="006725F4" w:rsidRDefault="009D20B6" w:rsidP="00633681">
            <w:pPr>
              <w:jc w:val="center"/>
              <w:rPr>
                <w:i/>
              </w:rPr>
            </w:pPr>
            <w:r w:rsidRPr="006725F4">
              <w:rPr>
                <w:i/>
              </w:rPr>
              <w:t>p</w:t>
            </w:r>
          </w:p>
        </w:tc>
        <w:tc>
          <w:tcPr>
            <w:tcW w:w="992" w:type="dxa"/>
            <w:tcBorders>
              <w:left w:val="nil"/>
              <w:bottom w:val="single" w:sz="4" w:space="0" w:color="auto"/>
              <w:right w:val="nil"/>
            </w:tcBorders>
            <w:vAlign w:val="center"/>
          </w:tcPr>
          <w:p w:rsidR="009D20B6" w:rsidRPr="00672E96" w:rsidRDefault="009D20B6" w:rsidP="00633681">
            <w:pPr>
              <w:jc w:val="center"/>
            </w:pPr>
            <w:r>
              <w:t>Effect size</w:t>
            </w:r>
          </w:p>
        </w:tc>
      </w:tr>
      <w:tr w:rsidR="009D20B6" w:rsidTr="00633681">
        <w:trPr>
          <w:trHeight w:hRule="exact" w:val="284"/>
        </w:trPr>
        <w:tc>
          <w:tcPr>
            <w:tcW w:w="2268" w:type="dxa"/>
            <w:tcBorders>
              <w:top w:val="nil"/>
              <w:left w:val="nil"/>
              <w:bottom w:val="nil"/>
              <w:right w:val="nil"/>
            </w:tcBorders>
            <w:vAlign w:val="center"/>
          </w:tcPr>
          <w:p w:rsidR="009D20B6" w:rsidRPr="00251534" w:rsidRDefault="009D20B6" w:rsidP="00633681">
            <w:pPr>
              <w:spacing w:line="480" w:lineRule="auto"/>
              <w:ind w:left="32" w:firstLine="2"/>
            </w:pPr>
            <w:r>
              <w:t>Net Score</w:t>
            </w:r>
          </w:p>
        </w:tc>
        <w:tc>
          <w:tcPr>
            <w:tcW w:w="851" w:type="dxa"/>
            <w:tcBorders>
              <w:top w:val="nil"/>
              <w:left w:val="nil"/>
              <w:bottom w:val="nil"/>
              <w:right w:val="nil"/>
            </w:tcBorders>
          </w:tcPr>
          <w:p w:rsidR="009D20B6" w:rsidRPr="00251534" w:rsidRDefault="009D20B6" w:rsidP="00633681">
            <w:pPr>
              <w:spacing w:line="480" w:lineRule="auto"/>
              <w:jc w:val="center"/>
            </w:pPr>
            <w:r>
              <w:t>M (SD)</w:t>
            </w:r>
          </w:p>
        </w:tc>
        <w:tc>
          <w:tcPr>
            <w:tcW w:w="1276" w:type="dxa"/>
            <w:tcBorders>
              <w:top w:val="nil"/>
              <w:left w:val="nil"/>
              <w:bottom w:val="nil"/>
              <w:right w:val="nil"/>
            </w:tcBorders>
            <w:vAlign w:val="center"/>
          </w:tcPr>
          <w:p w:rsidR="009D20B6" w:rsidRPr="003321D4" w:rsidRDefault="009579AA" w:rsidP="00633681">
            <w:pPr>
              <w:spacing w:line="480" w:lineRule="auto"/>
              <w:jc w:val="center"/>
              <w:rPr>
                <w:color w:val="FF0000"/>
              </w:rPr>
            </w:pPr>
            <w:r w:rsidRPr="003321D4">
              <w:rPr>
                <w:color w:val="FF0000"/>
              </w:rPr>
              <w:t>4.27</w:t>
            </w:r>
            <w:r w:rsidR="009D20B6" w:rsidRPr="003321D4">
              <w:rPr>
                <w:color w:val="FF0000"/>
              </w:rPr>
              <w:t xml:space="preserve"> (10.</w:t>
            </w:r>
            <w:r w:rsidRPr="003321D4">
              <w:rPr>
                <w:color w:val="FF0000"/>
              </w:rPr>
              <w:t>3</w:t>
            </w:r>
            <w:r w:rsidR="009D20B6" w:rsidRPr="003321D4">
              <w:rPr>
                <w:color w:val="FF0000"/>
              </w:rPr>
              <w:t>)</w:t>
            </w:r>
          </w:p>
        </w:tc>
        <w:tc>
          <w:tcPr>
            <w:tcW w:w="1559" w:type="dxa"/>
            <w:tcBorders>
              <w:top w:val="nil"/>
              <w:left w:val="nil"/>
              <w:bottom w:val="nil"/>
              <w:right w:val="nil"/>
            </w:tcBorders>
          </w:tcPr>
          <w:p w:rsidR="009D20B6" w:rsidRDefault="007338BA" w:rsidP="00633681">
            <w:pPr>
              <w:spacing w:line="480" w:lineRule="auto"/>
              <w:jc w:val="center"/>
            </w:pPr>
            <w:r>
              <w:t xml:space="preserve">2.48 </w:t>
            </w:r>
            <w:r w:rsidR="009D20B6">
              <w:t>(</w:t>
            </w:r>
            <w:r>
              <w:t>10.2</w:t>
            </w:r>
            <w:r w:rsidR="009D20B6">
              <w:t>)</w:t>
            </w:r>
          </w:p>
        </w:tc>
        <w:tc>
          <w:tcPr>
            <w:tcW w:w="1276" w:type="dxa"/>
            <w:tcBorders>
              <w:top w:val="nil"/>
              <w:left w:val="nil"/>
              <w:bottom w:val="nil"/>
              <w:right w:val="nil"/>
            </w:tcBorders>
            <w:vAlign w:val="center"/>
          </w:tcPr>
          <w:p w:rsidR="009D20B6" w:rsidRPr="003321D4" w:rsidRDefault="009D20B6">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6,920</w:t>
            </w:r>
          </w:p>
        </w:tc>
        <w:tc>
          <w:tcPr>
            <w:tcW w:w="850" w:type="dxa"/>
            <w:tcBorders>
              <w:top w:val="nil"/>
              <w:left w:val="nil"/>
              <w:bottom w:val="nil"/>
              <w:right w:val="nil"/>
            </w:tcBorders>
            <w:vAlign w:val="center"/>
          </w:tcPr>
          <w:p w:rsidR="009D20B6" w:rsidRPr="003321D4" w:rsidRDefault="009D20B6">
            <w:pPr>
              <w:spacing w:line="480" w:lineRule="auto"/>
              <w:jc w:val="center"/>
              <w:rPr>
                <w:color w:val="FF0000"/>
              </w:rPr>
            </w:pPr>
            <w:r w:rsidRPr="003321D4">
              <w:rPr>
                <w:color w:val="FF0000"/>
              </w:rPr>
              <w:t>.</w:t>
            </w:r>
            <w:r w:rsidR="009579AA" w:rsidRPr="003321D4">
              <w:rPr>
                <w:color w:val="FF0000"/>
              </w:rPr>
              <w:t>17</w:t>
            </w:r>
          </w:p>
        </w:tc>
        <w:tc>
          <w:tcPr>
            <w:tcW w:w="992" w:type="dxa"/>
            <w:tcBorders>
              <w:top w:val="nil"/>
              <w:left w:val="nil"/>
              <w:bottom w:val="nil"/>
              <w:right w:val="nil"/>
            </w:tcBorders>
            <w:vAlign w:val="center"/>
          </w:tcPr>
          <w:p w:rsidR="009D20B6" w:rsidRPr="003321D4" w:rsidRDefault="009579AA">
            <w:pPr>
              <w:spacing w:line="480" w:lineRule="auto"/>
              <w:jc w:val="center"/>
              <w:rPr>
                <w:color w:val="FF0000"/>
              </w:rPr>
            </w:pPr>
            <w:r w:rsidRPr="003321D4">
              <w:rPr>
                <w:color w:val="FF0000"/>
              </w:rPr>
              <w:t>-</w:t>
            </w:r>
          </w:p>
        </w:tc>
      </w:tr>
      <w:tr w:rsidR="009D20B6" w:rsidTr="00633681">
        <w:trPr>
          <w:trHeight w:hRule="exact" w:val="284"/>
        </w:trPr>
        <w:tc>
          <w:tcPr>
            <w:tcW w:w="2268" w:type="dxa"/>
            <w:tcBorders>
              <w:top w:val="nil"/>
              <w:left w:val="nil"/>
              <w:bottom w:val="nil"/>
              <w:right w:val="nil"/>
            </w:tcBorders>
            <w:vAlign w:val="center"/>
          </w:tcPr>
          <w:p w:rsidR="009D20B6" w:rsidRPr="00251534" w:rsidRDefault="009D20B6" w:rsidP="00633681">
            <w:pPr>
              <w:spacing w:line="480" w:lineRule="auto"/>
              <w:ind w:left="32" w:firstLine="2"/>
            </w:pPr>
            <w:r>
              <w:t>Single number choices</w:t>
            </w:r>
          </w:p>
        </w:tc>
        <w:tc>
          <w:tcPr>
            <w:tcW w:w="851" w:type="dxa"/>
            <w:tcBorders>
              <w:top w:val="nil"/>
              <w:left w:val="nil"/>
              <w:bottom w:val="nil"/>
              <w:right w:val="nil"/>
            </w:tcBorders>
          </w:tcPr>
          <w:p w:rsidR="009D20B6" w:rsidRDefault="009D20B6" w:rsidP="00633681">
            <w:pPr>
              <w:spacing w:line="480" w:lineRule="auto"/>
              <w:jc w:val="center"/>
            </w:pPr>
            <w:r>
              <w:t>M (SD)</w:t>
            </w:r>
          </w:p>
        </w:tc>
        <w:tc>
          <w:tcPr>
            <w:tcW w:w="1276" w:type="dxa"/>
            <w:tcBorders>
              <w:top w:val="nil"/>
              <w:left w:val="nil"/>
              <w:bottom w:val="nil"/>
              <w:right w:val="nil"/>
            </w:tcBorders>
            <w:vAlign w:val="center"/>
          </w:tcPr>
          <w:p w:rsidR="009D20B6" w:rsidRPr="003321D4" w:rsidRDefault="009579AA" w:rsidP="00633681">
            <w:pPr>
              <w:spacing w:line="480" w:lineRule="auto"/>
              <w:jc w:val="center"/>
              <w:rPr>
                <w:color w:val="FF0000"/>
              </w:rPr>
            </w:pPr>
            <w:r w:rsidRPr="003321D4">
              <w:rPr>
                <w:color w:val="FF0000"/>
              </w:rPr>
              <w:t>3.00</w:t>
            </w:r>
            <w:r w:rsidR="009D20B6" w:rsidRPr="003321D4">
              <w:rPr>
                <w:color w:val="FF0000"/>
              </w:rPr>
              <w:t xml:space="preserve"> (3.7</w:t>
            </w:r>
            <w:r w:rsidRPr="003321D4">
              <w:rPr>
                <w:color w:val="FF0000"/>
              </w:rPr>
              <w:t>4</w:t>
            </w:r>
            <w:r w:rsidR="009D20B6" w:rsidRPr="003321D4">
              <w:rPr>
                <w:color w:val="FF0000"/>
              </w:rPr>
              <w:t>)</w:t>
            </w:r>
          </w:p>
        </w:tc>
        <w:tc>
          <w:tcPr>
            <w:tcW w:w="1559" w:type="dxa"/>
            <w:tcBorders>
              <w:top w:val="nil"/>
              <w:left w:val="nil"/>
              <w:bottom w:val="nil"/>
              <w:right w:val="nil"/>
            </w:tcBorders>
          </w:tcPr>
          <w:p w:rsidR="009D20B6" w:rsidRDefault="007338BA" w:rsidP="00633681">
            <w:pPr>
              <w:spacing w:line="480" w:lineRule="auto"/>
              <w:jc w:val="center"/>
            </w:pPr>
            <w:r>
              <w:t xml:space="preserve">3.86 </w:t>
            </w:r>
            <w:r w:rsidR="009D20B6">
              <w:t>(</w:t>
            </w:r>
            <w:r>
              <w:t>4.03</w:t>
            </w:r>
            <w:r w:rsidR="009D20B6">
              <w:t>)</w:t>
            </w:r>
          </w:p>
        </w:tc>
        <w:tc>
          <w:tcPr>
            <w:tcW w:w="1276" w:type="dxa"/>
            <w:tcBorders>
              <w:top w:val="nil"/>
              <w:left w:val="nil"/>
              <w:bottom w:val="nil"/>
              <w:right w:val="nil"/>
            </w:tcBorders>
            <w:vAlign w:val="center"/>
          </w:tcPr>
          <w:p w:rsidR="009D20B6" w:rsidRPr="003321D4" w:rsidRDefault="009D20B6" w:rsidP="00564006">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5,286</w:t>
            </w:r>
          </w:p>
        </w:tc>
        <w:tc>
          <w:tcPr>
            <w:tcW w:w="850" w:type="dxa"/>
            <w:tcBorders>
              <w:top w:val="nil"/>
              <w:left w:val="nil"/>
              <w:bottom w:val="nil"/>
              <w:right w:val="nil"/>
            </w:tcBorders>
            <w:vAlign w:val="center"/>
          </w:tcPr>
          <w:p w:rsidR="009D20B6" w:rsidRPr="003321D4" w:rsidRDefault="009D20B6" w:rsidP="00633681">
            <w:pPr>
              <w:spacing w:line="480" w:lineRule="auto"/>
              <w:jc w:val="center"/>
              <w:rPr>
                <w:color w:val="FF0000"/>
              </w:rPr>
            </w:pPr>
            <w:r w:rsidRPr="003321D4">
              <w:rPr>
                <w:color w:val="FF0000"/>
              </w:rPr>
              <w:t>.0</w:t>
            </w:r>
            <w:r w:rsidR="009579AA" w:rsidRPr="003321D4">
              <w:rPr>
                <w:color w:val="FF0000"/>
              </w:rPr>
              <w:t>45</w:t>
            </w:r>
          </w:p>
        </w:tc>
        <w:tc>
          <w:tcPr>
            <w:tcW w:w="992" w:type="dxa"/>
            <w:tcBorders>
              <w:top w:val="nil"/>
              <w:left w:val="nil"/>
              <w:bottom w:val="nil"/>
              <w:right w:val="nil"/>
            </w:tcBorders>
            <w:vAlign w:val="center"/>
          </w:tcPr>
          <w:p w:rsidR="009D20B6" w:rsidRPr="003321D4" w:rsidRDefault="009D20B6" w:rsidP="00633681">
            <w:pPr>
              <w:spacing w:line="480" w:lineRule="auto"/>
              <w:jc w:val="center"/>
              <w:rPr>
                <w:color w:val="FF0000"/>
              </w:rPr>
            </w:pPr>
            <w:r w:rsidRPr="003321D4">
              <w:rPr>
                <w:i/>
                <w:color w:val="FF0000"/>
              </w:rPr>
              <w:t>r</w:t>
            </w:r>
            <w:r w:rsidRPr="003321D4">
              <w:rPr>
                <w:color w:val="FF0000"/>
                <w:vertAlign w:val="superscript"/>
              </w:rPr>
              <w:t>2</w:t>
            </w:r>
            <w:r w:rsidR="00564006" w:rsidRPr="003321D4">
              <w:rPr>
                <w:color w:val="FF0000"/>
              </w:rPr>
              <w:t xml:space="preserve"> = .10</w:t>
            </w:r>
          </w:p>
        </w:tc>
      </w:tr>
      <w:tr w:rsidR="009D20B6" w:rsidTr="00633681">
        <w:trPr>
          <w:trHeight w:hRule="exact" w:val="284"/>
        </w:trPr>
        <w:tc>
          <w:tcPr>
            <w:tcW w:w="2268" w:type="dxa"/>
            <w:tcBorders>
              <w:top w:val="nil"/>
              <w:left w:val="nil"/>
              <w:bottom w:val="single" w:sz="4" w:space="0" w:color="auto"/>
              <w:right w:val="nil"/>
            </w:tcBorders>
            <w:vAlign w:val="center"/>
          </w:tcPr>
          <w:p w:rsidR="009D20B6" w:rsidRDefault="009D20B6" w:rsidP="00633681">
            <w:pPr>
              <w:spacing w:line="480" w:lineRule="auto"/>
              <w:ind w:left="32" w:firstLine="2"/>
            </w:pPr>
            <w:r>
              <w:t>Strategy changes</w:t>
            </w:r>
          </w:p>
        </w:tc>
        <w:tc>
          <w:tcPr>
            <w:tcW w:w="851" w:type="dxa"/>
            <w:tcBorders>
              <w:top w:val="nil"/>
              <w:left w:val="nil"/>
              <w:bottom w:val="single" w:sz="4" w:space="0" w:color="auto"/>
              <w:right w:val="nil"/>
            </w:tcBorders>
          </w:tcPr>
          <w:p w:rsidR="009D20B6" w:rsidRDefault="009D20B6" w:rsidP="00633681">
            <w:pPr>
              <w:spacing w:line="480" w:lineRule="auto"/>
              <w:jc w:val="center"/>
            </w:pPr>
            <w:r>
              <w:t>M (SD)</w:t>
            </w:r>
          </w:p>
        </w:tc>
        <w:tc>
          <w:tcPr>
            <w:tcW w:w="1276" w:type="dxa"/>
            <w:tcBorders>
              <w:top w:val="nil"/>
              <w:left w:val="nil"/>
              <w:bottom w:val="single" w:sz="4" w:space="0" w:color="auto"/>
              <w:right w:val="nil"/>
            </w:tcBorders>
            <w:vAlign w:val="center"/>
          </w:tcPr>
          <w:p w:rsidR="009D20B6" w:rsidRPr="003321D4" w:rsidRDefault="009D20B6" w:rsidP="00633681">
            <w:pPr>
              <w:spacing w:line="480" w:lineRule="auto"/>
              <w:jc w:val="center"/>
              <w:rPr>
                <w:color w:val="FF0000"/>
              </w:rPr>
            </w:pPr>
            <w:r w:rsidRPr="003321D4">
              <w:rPr>
                <w:color w:val="FF0000"/>
              </w:rPr>
              <w:t>4.</w:t>
            </w:r>
            <w:r w:rsidR="009579AA" w:rsidRPr="003321D4">
              <w:rPr>
                <w:color w:val="FF0000"/>
              </w:rPr>
              <w:t>65</w:t>
            </w:r>
            <w:r w:rsidRPr="003321D4">
              <w:rPr>
                <w:color w:val="FF0000"/>
              </w:rPr>
              <w:t xml:space="preserve"> (3.</w:t>
            </w:r>
            <w:r w:rsidR="009579AA" w:rsidRPr="003321D4">
              <w:rPr>
                <w:color w:val="FF0000"/>
              </w:rPr>
              <w:t>27</w:t>
            </w:r>
            <w:r w:rsidRPr="003321D4">
              <w:rPr>
                <w:color w:val="FF0000"/>
              </w:rPr>
              <w:t>)</w:t>
            </w:r>
          </w:p>
        </w:tc>
        <w:tc>
          <w:tcPr>
            <w:tcW w:w="1559" w:type="dxa"/>
            <w:tcBorders>
              <w:top w:val="nil"/>
              <w:left w:val="nil"/>
              <w:bottom w:val="single" w:sz="4" w:space="0" w:color="auto"/>
              <w:right w:val="nil"/>
            </w:tcBorders>
          </w:tcPr>
          <w:p w:rsidR="009D20B6" w:rsidRDefault="007338BA" w:rsidP="00633681">
            <w:pPr>
              <w:spacing w:line="480" w:lineRule="auto"/>
              <w:jc w:val="center"/>
            </w:pPr>
            <w:r>
              <w:t xml:space="preserve">5.49 </w:t>
            </w:r>
            <w:r w:rsidR="009D20B6">
              <w:t>(</w:t>
            </w:r>
            <w:r>
              <w:t>3.48</w:t>
            </w:r>
            <w:r w:rsidR="009D20B6">
              <w:t>)</w:t>
            </w:r>
          </w:p>
        </w:tc>
        <w:tc>
          <w:tcPr>
            <w:tcW w:w="1276" w:type="dxa"/>
            <w:tcBorders>
              <w:top w:val="nil"/>
              <w:left w:val="nil"/>
              <w:bottom w:val="single" w:sz="4" w:space="0" w:color="auto"/>
              <w:right w:val="nil"/>
            </w:tcBorders>
            <w:vAlign w:val="center"/>
          </w:tcPr>
          <w:p w:rsidR="009D20B6" w:rsidRPr="003321D4" w:rsidRDefault="009D20B6" w:rsidP="00633681">
            <w:pPr>
              <w:spacing w:line="480" w:lineRule="auto"/>
              <w:jc w:val="center"/>
              <w:rPr>
                <w:color w:val="FF0000"/>
              </w:rPr>
            </w:pPr>
            <w:r w:rsidRPr="003321D4">
              <w:rPr>
                <w:i/>
                <w:color w:val="FF0000"/>
              </w:rPr>
              <w:t>W</w:t>
            </w:r>
            <w:r w:rsidRPr="003321D4">
              <w:rPr>
                <w:color w:val="FF0000"/>
              </w:rPr>
              <w:t xml:space="preserve"> = </w:t>
            </w:r>
            <w:r w:rsidR="009579AA" w:rsidRPr="003321D4">
              <w:rPr>
                <w:color w:val="FF0000"/>
              </w:rPr>
              <w:t>5,338</w:t>
            </w:r>
          </w:p>
        </w:tc>
        <w:tc>
          <w:tcPr>
            <w:tcW w:w="850" w:type="dxa"/>
            <w:tcBorders>
              <w:top w:val="nil"/>
              <w:left w:val="nil"/>
              <w:bottom w:val="single" w:sz="4" w:space="0" w:color="auto"/>
              <w:right w:val="nil"/>
            </w:tcBorders>
            <w:vAlign w:val="center"/>
          </w:tcPr>
          <w:p w:rsidR="009D20B6" w:rsidRPr="003321D4" w:rsidRDefault="00564006">
            <w:pPr>
              <w:spacing w:line="480" w:lineRule="auto"/>
              <w:jc w:val="center"/>
              <w:rPr>
                <w:color w:val="FF0000"/>
              </w:rPr>
            </w:pPr>
            <w:r w:rsidRPr="003321D4">
              <w:rPr>
                <w:color w:val="FF0000"/>
              </w:rPr>
              <w:t>.0</w:t>
            </w:r>
            <w:r w:rsidR="009579AA" w:rsidRPr="003321D4">
              <w:rPr>
                <w:color w:val="FF0000"/>
              </w:rPr>
              <w:t>62</w:t>
            </w:r>
          </w:p>
        </w:tc>
        <w:tc>
          <w:tcPr>
            <w:tcW w:w="992" w:type="dxa"/>
            <w:tcBorders>
              <w:top w:val="nil"/>
              <w:left w:val="nil"/>
              <w:bottom w:val="single" w:sz="4" w:space="0" w:color="auto"/>
              <w:right w:val="nil"/>
            </w:tcBorders>
            <w:vAlign w:val="center"/>
          </w:tcPr>
          <w:p w:rsidR="009D20B6" w:rsidRPr="003321D4" w:rsidRDefault="009579AA" w:rsidP="00633681">
            <w:pPr>
              <w:spacing w:line="480" w:lineRule="auto"/>
              <w:jc w:val="center"/>
              <w:rPr>
                <w:color w:val="FF0000"/>
              </w:rPr>
            </w:pPr>
            <w:r w:rsidRPr="003321D4">
              <w:rPr>
                <w:color w:val="FF0000"/>
              </w:rPr>
              <w:t>-</w:t>
            </w:r>
          </w:p>
        </w:tc>
      </w:tr>
    </w:tbl>
    <w:p w:rsidR="009D20B6" w:rsidRDefault="009D20B6" w:rsidP="009D20B6">
      <w:pPr>
        <w:pStyle w:val="EndNoteBibliography"/>
        <w:spacing w:before="240" w:line="480" w:lineRule="auto"/>
      </w:pPr>
      <w:r w:rsidRPr="004C3C95">
        <w:rPr>
          <w:i/>
        </w:rPr>
        <w:t>Note.</w:t>
      </w:r>
      <w:r>
        <w:t xml:space="preserve"> Test statistic and effect size results refer to independent paired samples tests between cognitively </w:t>
      </w:r>
      <w:r>
        <w:t>unimpaired (</w:t>
      </w:r>
      <w:r>
        <w:rPr>
          <w:i/>
        </w:rPr>
        <w:t>n</w:t>
      </w:r>
      <w:r>
        <w:t xml:space="preserve"> = </w:t>
      </w:r>
      <w:r w:rsidR="009579AA" w:rsidRPr="003321D4">
        <w:rPr>
          <w:color w:val="FF0000"/>
        </w:rPr>
        <w:t>142</w:t>
      </w:r>
      <w:r>
        <w:t xml:space="preserve">) and mild cognitive </w:t>
      </w:r>
      <w:r>
        <w:t>impairment (</w:t>
      </w:r>
      <w:r>
        <w:rPr>
          <w:i/>
        </w:rPr>
        <w:t>n</w:t>
      </w:r>
      <w:r>
        <w:t xml:space="preserve"> = </w:t>
      </w:r>
      <w:r w:rsidR="00564006">
        <w:t>88</w:t>
      </w:r>
      <w:r>
        <w:t>) groups. For the GDT net score measure (-18 minimum to 18 maximum</w:t>
      </w:r>
      <w:bookmarkStart w:id="0" w:name="_GoBack"/>
      <w:bookmarkEnd w:id="0"/>
      <w:r>
        <w:t>) higher scores reflect higher levels of performance. For the frequency of single number choices (0 minimum to 18 maximum) and strategy changes (0 minimum to 17 maximum) lower scores reflect higher levels of performance.</w:t>
      </w:r>
    </w:p>
    <w:p w:rsidR="009D20B6" w:rsidRPr="00B97E39" w:rsidRDefault="009D20B6" w:rsidP="009D20B6">
      <w:pPr>
        <w:spacing w:line="480" w:lineRule="auto"/>
      </w:pPr>
      <w:r>
        <w:rPr>
          <w:i/>
        </w:rPr>
        <w:t>W</w:t>
      </w:r>
      <w:r>
        <w:t xml:space="preserve"> = Wilcoxon rank sum test, </w:t>
      </w:r>
      <w:r>
        <w:rPr>
          <w:i/>
        </w:rPr>
        <w:t>r</w:t>
      </w:r>
      <w:r>
        <w:rPr>
          <w:vertAlign w:val="superscript"/>
        </w:rPr>
        <w:t>2</w:t>
      </w:r>
      <w:r>
        <w:t xml:space="preserve"> = effect size coefficient (</w:t>
      </w:r>
      <w:r>
        <w:rPr>
          <w:i/>
        </w:rPr>
        <w:t>r</w:t>
      </w:r>
      <w:r>
        <w:rPr>
          <w:vertAlign w:val="superscript"/>
        </w:rPr>
        <w:t xml:space="preserve">2 </w:t>
      </w:r>
      <w:r>
        <w:t>&lt; 0.3 = small effect)</w:t>
      </w:r>
    </w:p>
    <w:p w:rsidR="00B97E39" w:rsidRPr="00B97E39" w:rsidRDefault="00B97E39" w:rsidP="00B97E39">
      <w:pPr>
        <w:spacing w:line="480" w:lineRule="auto"/>
      </w:pPr>
      <w:r>
        <w:tab/>
      </w:r>
    </w:p>
    <w:sectPr w:rsidR="00B97E39" w:rsidRPr="00B97E39" w:rsidSect="00B97E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FD" w:rsidRDefault="00DD75FD" w:rsidP="00B97E39">
      <w:pPr>
        <w:spacing w:after="0" w:line="240" w:lineRule="auto"/>
      </w:pPr>
      <w:r>
        <w:separator/>
      </w:r>
    </w:p>
  </w:endnote>
  <w:endnote w:type="continuationSeparator" w:id="0">
    <w:p w:rsidR="00DD75FD" w:rsidRDefault="00DD75FD" w:rsidP="00B9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40792"/>
      <w:docPartObj>
        <w:docPartGallery w:val="Page Numbers (Bottom of Page)"/>
        <w:docPartUnique/>
      </w:docPartObj>
    </w:sdtPr>
    <w:sdtEndPr>
      <w:rPr>
        <w:noProof/>
      </w:rPr>
    </w:sdtEndPr>
    <w:sdtContent>
      <w:p w:rsidR="00B97E39" w:rsidRDefault="00B97E39">
        <w:pPr>
          <w:pStyle w:val="Footer"/>
          <w:jc w:val="right"/>
        </w:pPr>
        <w:r>
          <w:fldChar w:fldCharType="begin"/>
        </w:r>
        <w:r>
          <w:instrText xml:space="preserve"> PAGE   \* MERGEFORMAT </w:instrText>
        </w:r>
        <w:r>
          <w:fldChar w:fldCharType="separate"/>
        </w:r>
        <w:r w:rsidR="003321D4">
          <w:rPr>
            <w:noProof/>
          </w:rPr>
          <w:t>2</w:t>
        </w:r>
        <w:r>
          <w:rPr>
            <w:noProof/>
          </w:rPr>
          <w:fldChar w:fldCharType="end"/>
        </w:r>
      </w:p>
    </w:sdtContent>
  </w:sdt>
  <w:p w:rsidR="00B97E39" w:rsidRDefault="00B9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FD" w:rsidRDefault="00DD75FD" w:rsidP="00B97E39">
      <w:pPr>
        <w:spacing w:after="0" w:line="240" w:lineRule="auto"/>
      </w:pPr>
      <w:r>
        <w:separator/>
      </w:r>
    </w:p>
  </w:footnote>
  <w:footnote w:type="continuationSeparator" w:id="0">
    <w:p w:rsidR="00DD75FD" w:rsidRDefault="00DD75FD" w:rsidP="00B97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39" w:rsidRDefault="00B97E39">
    <w:pPr>
      <w:pStyle w:val="Header"/>
    </w:pPr>
    <w:r>
      <w:t>DECISION-MAKING AND COGNITIVE IMPAIRMENT</w:t>
    </w:r>
    <w:r w:rsidR="00C00F50">
      <w:tab/>
    </w:r>
    <w:r w:rsidR="00C00F50">
      <w:tab/>
      <w:t xml:space="preserve">Supplementary File </w:t>
    </w:r>
    <w:r w:rsidR="001B2210" w:rsidRPr="003321D4">
      <w:rPr>
        <w:color w:val="FF000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39"/>
    <w:rsid w:val="00033804"/>
    <w:rsid w:val="001B2210"/>
    <w:rsid w:val="001F1F8C"/>
    <w:rsid w:val="003321D4"/>
    <w:rsid w:val="00382826"/>
    <w:rsid w:val="00417E08"/>
    <w:rsid w:val="00564006"/>
    <w:rsid w:val="006446E0"/>
    <w:rsid w:val="007338BA"/>
    <w:rsid w:val="007851CE"/>
    <w:rsid w:val="007A4DB4"/>
    <w:rsid w:val="007F217B"/>
    <w:rsid w:val="008F55BD"/>
    <w:rsid w:val="009579AA"/>
    <w:rsid w:val="0099215C"/>
    <w:rsid w:val="009D20B6"/>
    <w:rsid w:val="009D2350"/>
    <w:rsid w:val="00B97E39"/>
    <w:rsid w:val="00C00F50"/>
    <w:rsid w:val="00C758B5"/>
    <w:rsid w:val="00D95976"/>
    <w:rsid w:val="00DD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4E5BA"/>
  <w15:chartTrackingRefBased/>
  <w15:docId w15:val="{D259561E-972D-4D17-8542-E20E4040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E39"/>
  </w:style>
  <w:style w:type="paragraph" w:styleId="Footer">
    <w:name w:val="footer"/>
    <w:basedOn w:val="Normal"/>
    <w:link w:val="FooterChar"/>
    <w:uiPriority w:val="99"/>
    <w:unhideWhenUsed/>
    <w:rsid w:val="00B97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E39"/>
  </w:style>
  <w:style w:type="table" w:styleId="TableGrid">
    <w:name w:val="Table Grid"/>
    <w:basedOn w:val="TableNormal"/>
    <w:uiPriority w:val="39"/>
    <w:rsid w:val="00B9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9D20B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D20B6"/>
    <w:rPr>
      <w:rFonts w:ascii="Calibri" w:hAnsi="Calibri" w:cs="Calibri"/>
      <w:noProof/>
      <w:lang w:val="en-US"/>
    </w:rPr>
  </w:style>
  <w:style w:type="paragraph" w:styleId="BalloonText">
    <w:name w:val="Balloon Text"/>
    <w:basedOn w:val="Normal"/>
    <w:link w:val="BalloonTextChar"/>
    <w:uiPriority w:val="99"/>
    <w:semiHidden/>
    <w:unhideWhenUsed/>
    <w:rsid w:val="00332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Archives xmlns:xsi="http://www.w3.org/2001/XMLSchema-instance" xmlns:xsd="http://www.w3.org/2001/XMLSchema">
  <BaseUri>https://au-mynotebook.labarchives.com</BaseUri>
  <eid>NzcxMi45MDAwMDAwMDAwMDF8NjA0MjgvNTkzMy9FbnRyeVBhcnQvNjQ4NjE1NjY4fDE5NTc4Ljg5OTk5OTk5OTk5OA==</eid>
  <version>1</version>
  <updated-at>2022-04-18T23:09:54+10:00</updated-at>
</LabArchives>
</file>

<file path=customXml/itemProps1.xml><?xml version="1.0" encoding="utf-8"?>
<ds:datastoreItem xmlns:ds="http://schemas.openxmlformats.org/officeDocument/2006/customXml" ds:itemID="{EB180D29-4C4C-4D8F-97B0-558862BB8A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Sinclair</dc:creator>
  <cp:keywords/>
  <dc:description/>
  <cp:lastModifiedBy>Craig Sinclair</cp:lastModifiedBy>
  <cp:revision>2</cp:revision>
  <dcterms:created xsi:type="dcterms:W3CDTF">2022-05-01T20:01:00Z</dcterms:created>
  <dcterms:modified xsi:type="dcterms:W3CDTF">2022-05-01T20:01:00Z</dcterms:modified>
</cp:coreProperties>
</file>