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8C" w:rsidRPr="00554CBB" w:rsidRDefault="0013158C" w:rsidP="003F57E1">
      <w:pPr>
        <w:rPr>
          <w:rFonts w:ascii="Times New Roman" w:hAnsi="Times New Roman"/>
        </w:rPr>
      </w:pPr>
      <w:r w:rsidRPr="00554CBB">
        <w:rPr>
          <w:rFonts w:ascii="Times New Roman" w:hAnsi="Times New Roman"/>
          <w:b/>
        </w:rPr>
        <w:t>Supplementa</w:t>
      </w:r>
      <w:r>
        <w:rPr>
          <w:rFonts w:ascii="Times New Roman" w:hAnsi="Times New Roman"/>
          <w:b/>
        </w:rPr>
        <w:t>l</w:t>
      </w:r>
      <w:r w:rsidRPr="00554C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554CBB">
        <w:rPr>
          <w:rFonts w:ascii="Times New Roman" w:hAnsi="Times New Roman"/>
          <w:b/>
        </w:rPr>
        <w:t>able</w:t>
      </w:r>
      <w:r>
        <w:rPr>
          <w:rFonts w:ascii="Times New Roman" w:hAnsi="Times New Roman"/>
          <w:b/>
        </w:rPr>
        <w:t xml:space="preserve"> 1</w:t>
      </w:r>
      <w:r w:rsidRPr="00554CBB">
        <w:rPr>
          <w:rFonts w:ascii="Times New Roman" w:hAnsi="Times New Roman"/>
        </w:rPr>
        <w:t>.  Coefficient and associated 95% CI of the interaction between maternal education and family support^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428"/>
        <w:gridCol w:w="1011"/>
        <w:gridCol w:w="831"/>
        <w:gridCol w:w="799"/>
        <w:gridCol w:w="831"/>
        <w:gridCol w:w="976"/>
        <w:gridCol w:w="1190"/>
      </w:tblGrid>
      <w:tr w:rsidR="0013158C" w:rsidRPr="004651EA" w:rsidTr="00751E66">
        <w:trPr>
          <w:trHeight w:val="300"/>
        </w:trPr>
        <w:tc>
          <w:tcPr>
            <w:tcW w:w="21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Characteristics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β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S.E.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p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Exp(β)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95% CI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vMerge/>
            <w:tcBorders>
              <w:top w:val="nil"/>
              <w:left w:val="nil"/>
              <w:bottom w:val="single" w:sz="4" w:space="0" w:color="auto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bottom w:val="single" w:sz="4" w:space="0" w:color="auto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vMerge/>
            <w:tcBorders>
              <w:top w:val="nil"/>
              <w:bottom w:val="single" w:sz="4" w:space="0" w:color="auto"/>
            </w:tcBorders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bottom w:val="single" w:sz="4" w:space="0" w:color="auto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vMerge/>
            <w:tcBorders>
              <w:top w:val="nil"/>
              <w:bottom w:val="single" w:sz="4" w:space="0" w:color="auto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β lower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β higher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top w:val="single" w:sz="4" w:space="0" w:color="auto"/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Maternal education</w:t>
            </w:r>
          </w:p>
        </w:tc>
        <w:tc>
          <w:tcPr>
            <w:tcW w:w="502" w:type="pct"/>
            <w:tcBorders>
              <w:top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0-5 y of schooling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ref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  <w:lang w:val="en-GB"/>
              </w:rPr>
              <w:t>6-8 y of schooling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.268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.194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.167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1.308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.112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0.649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  <w:lang w:val="en-GB"/>
              </w:rPr>
              <w:t>9-11 y of schooling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.305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.235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.193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1.357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.154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0.765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  <w:lang w:val="en-GB"/>
              </w:rPr>
              <w:t>&gt;=12 y of schooling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.016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.276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.954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1.016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.526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0.557</w:t>
            </w:r>
          </w:p>
        </w:tc>
      </w:tr>
      <w:tr w:rsidR="0013158C" w:rsidRPr="004651EA" w:rsidTr="00D07192">
        <w:trPr>
          <w:trHeight w:val="345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Received family support during pregnancy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no support</w:t>
            </w:r>
          </w:p>
        </w:tc>
        <w:tc>
          <w:tcPr>
            <w:tcW w:w="502" w:type="pct"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ref</w:t>
            </w:r>
          </w:p>
        </w:tc>
        <w:tc>
          <w:tcPr>
            <w:tcW w:w="413" w:type="pct"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pct"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yes, some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.502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.172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.004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1.652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.165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0.840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yes, full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.320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.215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.006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1.978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.408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0.832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Maternal education*family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0-5y of schooling, received no support</w:t>
            </w:r>
          </w:p>
        </w:tc>
        <w:tc>
          <w:tcPr>
            <w:tcW w:w="502" w:type="pct"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ref</w:t>
            </w:r>
          </w:p>
        </w:tc>
        <w:tc>
          <w:tcPr>
            <w:tcW w:w="413" w:type="pct"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" w:type="pct"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pct"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751E66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 xml:space="preserve">0-5y of schooling, received </w:t>
            </w:r>
            <w:r>
              <w:rPr>
                <w:rFonts w:ascii="Times New Roman" w:hAnsi="Times New Roman"/>
                <w:color w:val="000000"/>
                <w:lang w:val="id-ID"/>
              </w:rPr>
              <w:t>some</w:t>
            </w:r>
            <w:r w:rsidRPr="00554CBB">
              <w:rPr>
                <w:rFonts w:ascii="Times New Roman" w:hAnsi="Times New Roman"/>
                <w:color w:val="000000"/>
              </w:rPr>
              <w:t xml:space="preserve"> support</w:t>
            </w:r>
          </w:p>
        </w:tc>
        <w:tc>
          <w:tcPr>
            <w:tcW w:w="502" w:type="pct"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.502</w:t>
            </w:r>
          </w:p>
        </w:tc>
        <w:tc>
          <w:tcPr>
            <w:tcW w:w="413" w:type="pct"/>
          </w:tcPr>
          <w:p w:rsidR="0013158C" w:rsidRPr="00554CBB" w:rsidRDefault="0013158C" w:rsidP="00794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.172</w:t>
            </w:r>
          </w:p>
        </w:tc>
        <w:tc>
          <w:tcPr>
            <w:tcW w:w="397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.004</w:t>
            </w:r>
          </w:p>
        </w:tc>
        <w:tc>
          <w:tcPr>
            <w:tcW w:w="413" w:type="pct"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1.652</w:t>
            </w:r>
          </w:p>
        </w:tc>
        <w:tc>
          <w:tcPr>
            <w:tcW w:w="485" w:type="pct"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0.165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0.840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751E66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 xml:space="preserve">0-5y of schooling, received </w:t>
            </w:r>
            <w:r>
              <w:rPr>
                <w:rFonts w:ascii="Times New Roman" w:hAnsi="Times New Roman"/>
                <w:color w:val="000000"/>
                <w:lang w:val="id-ID"/>
              </w:rPr>
              <w:t>full</w:t>
            </w:r>
            <w:r w:rsidRPr="00554CBB">
              <w:rPr>
                <w:rFonts w:ascii="Times New Roman" w:hAnsi="Times New Roman"/>
                <w:color w:val="000000"/>
              </w:rPr>
              <w:t xml:space="preserve"> support</w:t>
            </w:r>
          </w:p>
        </w:tc>
        <w:tc>
          <w:tcPr>
            <w:tcW w:w="502" w:type="pct"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.320</w:t>
            </w:r>
          </w:p>
        </w:tc>
        <w:tc>
          <w:tcPr>
            <w:tcW w:w="413" w:type="pct"/>
          </w:tcPr>
          <w:p w:rsidR="0013158C" w:rsidRPr="00554CBB" w:rsidRDefault="0013158C" w:rsidP="00794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.215</w:t>
            </w:r>
          </w:p>
        </w:tc>
        <w:tc>
          <w:tcPr>
            <w:tcW w:w="397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.006</w:t>
            </w:r>
          </w:p>
        </w:tc>
        <w:tc>
          <w:tcPr>
            <w:tcW w:w="413" w:type="pct"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1.978</w:t>
            </w:r>
          </w:p>
        </w:tc>
        <w:tc>
          <w:tcPr>
            <w:tcW w:w="485" w:type="pct"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0.408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0.832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751E66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 xml:space="preserve">6-8y of schooling, received </w:t>
            </w:r>
            <w:r>
              <w:rPr>
                <w:rFonts w:ascii="Times New Roman" w:hAnsi="Times New Roman"/>
                <w:color w:val="000000"/>
                <w:lang w:val="id-ID"/>
              </w:rPr>
              <w:t>no</w:t>
            </w:r>
            <w:r w:rsidRPr="00554CBB">
              <w:rPr>
                <w:rFonts w:ascii="Times New Roman" w:hAnsi="Times New Roman"/>
                <w:color w:val="000000"/>
              </w:rPr>
              <w:t xml:space="preserve">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.268</w:t>
            </w:r>
          </w:p>
        </w:tc>
        <w:tc>
          <w:tcPr>
            <w:tcW w:w="413" w:type="pct"/>
            <w:noWrap/>
          </w:tcPr>
          <w:p w:rsidR="0013158C" w:rsidRPr="00554CBB" w:rsidRDefault="0013158C" w:rsidP="00794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.194</w:t>
            </w:r>
          </w:p>
        </w:tc>
        <w:tc>
          <w:tcPr>
            <w:tcW w:w="397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.167</w:t>
            </w:r>
          </w:p>
        </w:tc>
        <w:tc>
          <w:tcPr>
            <w:tcW w:w="413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1.308</w:t>
            </w:r>
          </w:p>
        </w:tc>
        <w:tc>
          <w:tcPr>
            <w:tcW w:w="485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.112</w:t>
            </w:r>
          </w:p>
        </w:tc>
        <w:tc>
          <w:tcPr>
            <w:tcW w:w="591" w:type="pct"/>
            <w:tcBorders>
              <w:right w:val="nil"/>
            </w:tcBorders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0.649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6-8y of schooling, received some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.305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.211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.149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.737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.718</w:t>
            </w:r>
          </w:p>
        </w:tc>
        <w:tc>
          <w:tcPr>
            <w:tcW w:w="591" w:type="pct"/>
            <w:tcBorders>
              <w:right w:val="nil"/>
            </w:tcBorders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0.109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6-8y of schooling, received full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.405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.250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.105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1.500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.085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0.895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751E66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 xml:space="preserve">9-11 y of schooling, received </w:t>
            </w:r>
            <w:r>
              <w:rPr>
                <w:rFonts w:ascii="Times New Roman" w:hAnsi="Times New Roman"/>
                <w:color w:val="000000"/>
                <w:lang w:val="id-ID"/>
              </w:rPr>
              <w:t>no</w:t>
            </w:r>
            <w:r w:rsidRPr="00554CBB">
              <w:rPr>
                <w:rFonts w:ascii="Times New Roman" w:hAnsi="Times New Roman"/>
                <w:color w:val="000000"/>
              </w:rPr>
              <w:t xml:space="preserve">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.305</w:t>
            </w:r>
          </w:p>
        </w:tc>
        <w:tc>
          <w:tcPr>
            <w:tcW w:w="413" w:type="pct"/>
            <w:noWrap/>
          </w:tcPr>
          <w:p w:rsidR="0013158C" w:rsidRPr="00554CBB" w:rsidRDefault="0013158C" w:rsidP="00794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.235</w:t>
            </w:r>
          </w:p>
        </w:tc>
        <w:tc>
          <w:tcPr>
            <w:tcW w:w="397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.193</w:t>
            </w:r>
          </w:p>
        </w:tc>
        <w:tc>
          <w:tcPr>
            <w:tcW w:w="413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1.357</w:t>
            </w:r>
          </w:p>
        </w:tc>
        <w:tc>
          <w:tcPr>
            <w:tcW w:w="485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.154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0.765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9-11 y of schooling, received some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.284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.249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.255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.753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.773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0.205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9-11 y of schooling, received full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.086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.281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.760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1.090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.317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0.637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751E66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  <w:lang w:val="en-GB"/>
              </w:rPr>
            </w:pPr>
            <w:r w:rsidRPr="00554CBB">
              <w:rPr>
                <w:rFonts w:ascii="Times New Roman" w:hAnsi="Times New Roman"/>
                <w:color w:val="000000"/>
                <w:lang w:val="en-GB"/>
              </w:rPr>
              <w:t xml:space="preserve">&gt;=12 y of schooling, received </w:t>
            </w:r>
            <w:r>
              <w:rPr>
                <w:rFonts w:ascii="Times New Roman" w:hAnsi="Times New Roman"/>
                <w:color w:val="000000"/>
                <w:lang w:val="id-ID"/>
              </w:rPr>
              <w:t>no</w:t>
            </w:r>
            <w:r w:rsidRPr="00554CBB">
              <w:rPr>
                <w:rFonts w:ascii="Times New Roman" w:hAnsi="Times New Roman"/>
                <w:color w:val="000000"/>
                <w:lang w:val="en-GB"/>
              </w:rPr>
              <w:t xml:space="preserve">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.016</w:t>
            </w:r>
          </w:p>
        </w:tc>
        <w:tc>
          <w:tcPr>
            <w:tcW w:w="413" w:type="pct"/>
            <w:noWrap/>
          </w:tcPr>
          <w:p w:rsidR="0013158C" w:rsidRPr="00554CBB" w:rsidRDefault="0013158C" w:rsidP="00794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.276</w:t>
            </w:r>
          </w:p>
        </w:tc>
        <w:tc>
          <w:tcPr>
            <w:tcW w:w="397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.954</w:t>
            </w:r>
          </w:p>
        </w:tc>
        <w:tc>
          <w:tcPr>
            <w:tcW w:w="413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1.016</w:t>
            </w:r>
          </w:p>
        </w:tc>
        <w:tc>
          <w:tcPr>
            <w:tcW w:w="485" w:type="pct"/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.526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794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0.557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  <w:lang w:val="en-GB"/>
              </w:rPr>
              <w:t>&gt;=12 y of schooling, received some support</w:t>
            </w:r>
          </w:p>
        </w:tc>
        <w:tc>
          <w:tcPr>
            <w:tcW w:w="502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.050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.287</w:t>
            </w:r>
          </w:p>
        </w:tc>
        <w:tc>
          <w:tcPr>
            <w:tcW w:w="397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.861</w:t>
            </w:r>
          </w:p>
        </w:tc>
        <w:tc>
          <w:tcPr>
            <w:tcW w:w="413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.951</w:t>
            </w:r>
          </w:p>
        </w:tc>
        <w:tc>
          <w:tcPr>
            <w:tcW w:w="485" w:type="pct"/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.614</w:t>
            </w:r>
          </w:p>
        </w:tc>
        <w:tc>
          <w:tcPr>
            <w:tcW w:w="591" w:type="pct"/>
            <w:tcBorders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0.513</w:t>
            </w:r>
          </w:p>
        </w:tc>
      </w:tr>
      <w:tr w:rsidR="0013158C" w:rsidRPr="004651EA" w:rsidTr="00D07192">
        <w:trPr>
          <w:trHeight w:val="300"/>
        </w:trPr>
        <w:tc>
          <w:tcPr>
            <w:tcW w:w="2199" w:type="pct"/>
            <w:tcBorders>
              <w:left w:val="nil"/>
              <w:bottom w:val="single" w:sz="4" w:space="0" w:color="auto"/>
            </w:tcBorders>
          </w:tcPr>
          <w:p w:rsidR="0013158C" w:rsidRPr="00554CBB" w:rsidRDefault="0013158C" w:rsidP="00D07192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  <w:lang w:val="en-GB"/>
              </w:rPr>
              <w:t>&gt;=12 y of schooling, received full support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.525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.313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r w:rsidRPr="00554CBB">
              <w:rPr>
                <w:rFonts w:ascii="Times New Roman" w:hAnsi="Times New Roman"/>
                <w:color w:val="000000"/>
              </w:rPr>
              <w:t>.054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1.691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id-ID"/>
              </w:rPr>
              <w:t>0</w:t>
            </w:r>
            <w:bookmarkStart w:id="0" w:name="_GoBack"/>
            <w:bookmarkEnd w:id="0"/>
            <w:r w:rsidRPr="00554CBB">
              <w:rPr>
                <w:rFonts w:ascii="Times New Roman" w:hAnsi="Times New Roman"/>
                <w:color w:val="000000"/>
              </w:rPr>
              <w:t>.089</w:t>
            </w:r>
          </w:p>
        </w:tc>
        <w:tc>
          <w:tcPr>
            <w:tcW w:w="591" w:type="pct"/>
            <w:tcBorders>
              <w:bottom w:val="single" w:sz="4" w:space="0" w:color="auto"/>
              <w:right w:val="nil"/>
            </w:tcBorders>
            <w:noWrap/>
          </w:tcPr>
          <w:p w:rsidR="0013158C" w:rsidRPr="00554CBB" w:rsidRDefault="0013158C" w:rsidP="00D0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4CBB">
              <w:rPr>
                <w:rFonts w:ascii="Times New Roman" w:hAnsi="Times New Roman"/>
                <w:color w:val="000000"/>
              </w:rPr>
              <w:t>0.754</w:t>
            </w:r>
          </w:p>
        </w:tc>
      </w:tr>
    </w:tbl>
    <w:p w:rsidR="0013158C" w:rsidRPr="00554CBB" w:rsidRDefault="0013158C" w:rsidP="003F57E1">
      <w:pPr>
        <w:rPr>
          <w:rFonts w:ascii="Times New Roman" w:hAnsi="Times New Roman"/>
          <w:sz w:val="20"/>
          <w:szCs w:val="20"/>
        </w:rPr>
      </w:pPr>
      <w:r w:rsidRPr="00554CBB">
        <w:rPr>
          <w:rFonts w:ascii="Times New Roman" w:hAnsi="Times New Roman"/>
          <w:sz w:val="20"/>
          <w:szCs w:val="20"/>
        </w:rPr>
        <w:t xml:space="preserve">^adjusted by type of residence, </w:t>
      </w:r>
      <w:r w:rsidRPr="00554CBB">
        <w:rPr>
          <w:rFonts w:ascii="Times New Roman" w:hAnsi="Times New Roman"/>
          <w:sz w:val="20"/>
          <w:szCs w:val="20"/>
          <w:lang w:val="en-GB"/>
        </w:rPr>
        <w:t>year of survey, pregnancy order, child’s age and women’s age</w:t>
      </w:r>
      <w:r w:rsidRPr="00554CBB">
        <w:rPr>
          <w:rFonts w:ascii="Times New Roman" w:hAnsi="Times New Roman"/>
          <w:sz w:val="20"/>
          <w:szCs w:val="20"/>
        </w:rPr>
        <w:t xml:space="preserve"> wealth index, women’s exposure to mass media, frequency of ANC visit, </w:t>
      </w:r>
      <w:r>
        <w:rPr>
          <w:rFonts w:ascii="Times New Roman" w:hAnsi="Times New Roman"/>
          <w:sz w:val="20"/>
          <w:szCs w:val="20"/>
        </w:rPr>
        <w:t xml:space="preserve">perceived problem to </w:t>
      </w:r>
      <w:r w:rsidRPr="00554CBB">
        <w:rPr>
          <w:rFonts w:ascii="Times New Roman" w:hAnsi="Times New Roman"/>
          <w:sz w:val="20"/>
          <w:szCs w:val="20"/>
        </w:rPr>
        <w:t>access health service, women’s knowledge of pregnancy-related risk</w:t>
      </w:r>
    </w:p>
    <w:p w:rsidR="0013158C" w:rsidRDefault="0013158C"/>
    <w:sectPr w:rsidR="0013158C" w:rsidSect="00EC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7E1"/>
    <w:rsid w:val="000D7BB3"/>
    <w:rsid w:val="0013158C"/>
    <w:rsid w:val="002D6A95"/>
    <w:rsid w:val="003F57E1"/>
    <w:rsid w:val="004651EA"/>
    <w:rsid w:val="004E4730"/>
    <w:rsid w:val="00554CBB"/>
    <w:rsid w:val="005952B7"/>
    <w:rsid w:val="00751E66"/>
    <w:rsid w:val="007946A9"/>
    <w:rsid w:val="007A7457"/>
    <w:rsid w:val="00952346"/>
    <w:rsid w:val="00A64A47"/>
    <w:rsid w:val="00D07192"/>
    <w:rsid w:val="00EC6E19"/>
    <w:rsid w:val="00F1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E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267</Words>
  <Characters>1528</Characters>
  <Application>Microsoft Office Outlook</Application>
  <DocSecurity>0</DocSecurity>
  <Lines>0</Lines>
  <Paragraphs>0</Paragraphs>
  <ScaleCrop>false</ScaleCrop>
  <Company>seameo recfon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</dc:title>
  <dc:subject/>
  <dc:creator>rectech</dc:creator>
  <cp:keywords/>
  <dc:description/>
  <cp:lastModifiedBy>Gillian Watling</cp:lastModifiedBy>
  <cp:revision>2</cp:revision>
  <dcterms:created xsi:type="dcterms:W3CDTF">2016-04-22T13:13:00Z</dcterms:created>
  <dcterms:modified xsi:type="dcterms:W3CDTF">2016-04-22T13:13:00Z</dcterms:modified>
</cp:coreProperties>
</file>