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B9" w:rsidRDefault="00261FB9" w:rsidP="00512996">
      <w:pPr>
        <w:spacing w:line="360" w:lineRule="auto"/>
        <w:rPr>
          <w:rFonts w:ascii="Times New Roman" w:hAnsi="Times New Roman"/>
          <w:b/>
          <w:sz w:val="32"/>
          <w:szCs w:val="32"/>
        </w:rPr>
      </w:pPr>
      <w:r>
        <w:rPr>
          <w:rFonts w:ascii="Times New Roman" w:hAnsi="Times New Roman"/>
          <w:b/>
          <w:sz w:val="32"/>
          <w:szCs w:val="32"/>
        </w:rPr>
        <w:t>Supplementary material 1</w:t>
      </w:r>
    </w:p>
    <w:p w:rsidR="00261FB9" w:rsidRPr="00E35C47" w:rsidRDefault="00261FB9" w:rsidP="00512996">
      <w:pPr>
        <w:spacing w:line="360" w:lineRule="auto"/>
        <w:rPr>
          <w:rFonts w:ascii="Times New Roman" w:hAnsi="Times New Roman"/>
          <w:b/>
          <w:sz w:val="28"/>
          <w:szCs w:val="28"/>
        </w:rPr>
      </w:pPr>
      <w:r w:rsidRPr="00512996">
        <w:rPr>
          <w:rFonts w:ascii="Times New Roman" w:hAnsi="Times New Roman"/>
          <w:b/>
          <w:sz w:val="28"/>
          <w:szCs w:val="28"/>
        </w:rPr>
        <w:t>NANS</w:t>
      </w:r>
    </w:p>
    <w:p w:rsidR="00261FB9" w:rsidRPr="00E35C47" w:rsidRDefault="00261FB9" w:rsidP="00440387">
      <w:pPr>
        <w:spacing w:after="0" w:line="360" w:lineRule="auto"/>
        <w:jc w:val="both"/>
        <w:rPr>
          <w:rFonts w:ascii="Times New Roman" w:hAnsi="Times New Roman"/>
          <w:sz w:val="24"/>
          <w:szCs w:val="24"/>
        </w:rPr>
      </w:pPr>
      <w:r w:rsidRPr="00E35C47">
        <w:rPr>
          <w:rFonts w:ascii="Times New Roman" w:hAnsi="Times New Roman"/>
          <w:sz w:val="24"/>
          <w:szCs w:val="24"/>
        </w:rPr>
        <w:t xml:space="preserve">A sample of adults was randomly selected from a database of names and addresses held by Data Ireland (An Post). To recruit respondents for the NANS </w:t>
      </w:r>
      <w:r>
        <w:rPr>
          <w:rFonts w:ascii="Times New Roman" w:hAnsi="Times New Roman"/>
          <w:sz w:val="24"/>
          <w:szCs w:val="24"/>
        </w:rPr>
        <w:t>a</w:t>
      </w:r>
      <w:r w:rsidRPr="00E35C47">
        <w:rPr>
          <w:rFonts w:ascii="Times New Roman" w:hAnsi="Times New Roman"/>
          <w:sz w:val="24"/>
          <w:szCs w:val="24"/>
        </w:rPr>
        <w:t xml:space="preserve">n introductory letter and information leaflet were posted to each person selected from the database. A second level of recruitment was introduced for underrepresented groups, in particularly those aged 18-35. Referrals from respondents were invited and a second database of names and addresses were assembled. A consent form was signed and the survey commenced once a person agreed to take part. The final response rate for the survey was 60%. </w:t>
      </w:r>
    </w:p>
    <w:p w:rsidR="00261FB9" w:rsidRPr="00E35C47" w:rsidRDefault="00261FB9" w:rsidP="00440387">
      <w:pPr>
        <w:spacing w:after="0" w:line="360" w:lineRule="auto"/>
        <w:ind w:firstLine="720"/>
        <w:jc w:val="both"/>
        <w:rPr>
          <w:rFonts w:ascii="Times New Roman" w:hAnsi="Times New Roman"/>
          <w:b/>
          <w:sz w:val="24"/>
          <w:szCs w:val="24"/>
        </w:rPr>
      </w:pPr>
      <w:r w:rsidRPr="00E35C47">
        <w:rPr>
          <w:rFonts w:ascii="Times New Roman" w:hAnsi="Times New Roman"/>
          <w:sz w:val="24"/>
          <w:szCs w:val="24"/>
        </w:rPr>
        <w:t>A four-day food diary was used to collect food and beverage intake data. Respondents recorded detailed information regarding the amount and types of foods, beverages and nutritional supplements consumed, the cooking methods used, and brand names of the foods consumed. Data were also collected on the time of each eating or drinking occasion, definition of each eating or drinking occasion (e.g. morning snack, lunch) and the location of the preparation of the meal or snack consumed (e.g. home, takeaway)</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"URL" : "http://www.iuna.net/", "accessed" : { "date-parts" : [ [ "2016", "5", "30" ] ] }, "author" : [ { "dropping-particle" : "", "family" : "IUNA", "given" : "", "non-dropping-particle" : "", "parse-names" : false, "suffix" : "" } ], "id" : "ITEM-1", "issued" : { "date-parts" : [ [ "2011" ] ] }, "title" : "National Adult Nutrition Survey", "type" : "webpage" }, "uris" : [ "http://www.mendeley.com/documents/?uuid=f2e64acf-c2fb-35d8-93ad-5e54a605222a" ] } ], "mendeley" : { "formattedCitation" : "&lt;sup&gt;(39)&lt;/sup&gt;", "plainTextFormattedCitation" : "(39)", "previouslyFormattedCitation" : "&lt;sup&gt;(39)&lt;/sup&gt;" }, "properties" : { "noteIndex" : 0 }, "schema" : "https://github.com/citation-style-language/schema/raw/master/csl-citation.json" }</w:instrText>
      </w:r>
      <w:r>
        <w:rPr>
          <w:rFonts w:ascii="Times New Roman" w:hAnsi="Times New Roman"/>
          <w:sz w:val="24"/>
          <w:szCs w:val="24"/>
        </w:rPr>
        <w:fldChar w:fldCharType="separate"/>
      </w:r>
      <w:r w:rsidRPr="00E35C47">
        <w:rPr>
          <w:rFonts w:ascii="Times New Roman" w:hAnsi="Times New Roman"/>
          <w:noProof/>
          <w:sz w:val="24"/>
          <w:szCs w:val="24"/>
          <w:vertAlign w:val="superscript"/>
        </w:rPr>
        <w:t>(39)</w:t>
      </w:r>
      <w:r>
        <w:rPr>
          <w:rFonts w:ascii="Times New Roman" w:hAnsi="Times New Roman"/>
          <w:sz w:val="24"/>
          <w:szCs w:val="24"/>
        </w:rPr>
        <w:fldChar w:fldCharType="end"/>
      </w:r>
      <w:r w:rsidRPr="00E35C47">
        <w:rPr>
          <w:rFonts w:ascii="Times New Roman" w:hAnsi="Times New Roman"/>
          <w:sz w:val="24"/>
          <w:szCs w:val="24"/>
        </w:rPr>
        <w:t>.</w:t>
      </w:r>
      <w:r w:rsidRPr="00E35C47">
        <w:rPr>
          <w:rFonts w:ascii="Times New Roman" w:hAnsi="Times New Roman"/>
          <w:b/>
          <w:sz w:val="24"/>
          <w:szCs w:val="24"/>
        </w:rPr>
        <w:t xml:space="preserve"> </w:t>
      </w:r>
    </w:p>
    <w:p w:rsidR="00261FB9" w:rsidRPr="00E35C47" w:rsidRDefault="00261FB9" w:rsidP="00440387">
      <w:pPr>
        <w:spacing w:after="0" w:line="360" w:lineRule="auto"/>
        <w:jc w:val="both"/>
        <w:rPr>
          <w:rFonts w:ascii="Times New Roman" w:hAnsi="Times New Roman"/>
          <w:b/>
          <w:sz w:val="28"/>
          <w:szCs w:val="28"/>
        </w:rPr>
      </w:pPr>
    </w:p>
    <w:p w:rsidR="00261FB9" w:rsidRPr="00E35C47" w:rsidRDefault="00261FB9" w:rsidP="00440387">
      <w:pPr>
        <w:spacing w:after="0" w:line="360" w:lineRule="auto"/>
        <w:jc w:val="both"/>
        <w:rPr>
          <w:rFonts w:ascii="Times New Roman" w:hAnsi="Times New Roman"/>
          <w:b/>
          <w:sz w:val="28"/>
          <w:szCs w:val="28"/>
        </w:rPr>
      </w:pPr>
      <w:r w:rsidRPr="00E35C47">
        <w:rPr>
          <w:rFonts w:ascii="Times New Roman" w:hAnsi="Times New Roman"/>
          <w:b/>
          <w:sz w:val="28"/>
          <w:szCs w:val="28"/>
        </w:rPr>
        <w:t>Emission factors</w:t>
      </w:r>
    </w:p>
    <w:p w:rsidR="00261FB9" w:rsidRPr="00E35C47" w:rsidRDefault="00261FB9" w:rsidP="00440387">
      <w:pPr>
        <w:spacing w:after="0" w:line="360" w:lineRule="auto"/>
        <w:jc w:val="both"/>
        <w:rPr>
          <w:rFonts w:ascii="Times New Roman" w:hAnsi="Times New Roman"/>
          <w:sz w:val="24"/>
          <w:szCs w:val="24"/>
        </w:rPr>
      </w:pPr>
      <w:r w:rsidRPr="00E35C47">
        <w:rPr>
          <w:rFonts w:ascii="Times New Roman" w:hAnsi="Times New Roman"/>
          <w:sz w:val="24"/>
          <w:szCs w:val="24"/>
        </w:rPr>
        <w:t xml:space="preserve">It was not possible to attain all emission factors specifically for Ireland. Therefore, in total fifty emission factors were adopted from a UK study by Green et al. </w:t>
      </w:r>
      <w:r w:rsidRPr="00E35C47">
        <w:rPr>
          <w:rFonts w:ascii="Times New Roman" w:hAnsi="Times New Roman"/>
          <w:sz w:val="24"/>
          <w:szCs w:val="24"/>
        </w:rPr>
        <w:fldChar w:fldCharType="begin" w:fldLock="1"/>
      </w:r>
      <w:r w:rsidRPr="00E35C47">
        <w:rPr>
          <w:rFonts w:ascii="Times New Roman" w:hAnsi="Times New Roman"/>
          <w:sz w:val="24"/>
          <w:szCs w:val="24"/>
        </w:rPr>
        <w:instrText>ADDIN CSL_CITATION { "citationItems" : [ { "id" : "ITEM-1", "itemData" : { "DOI" : "10.1007/s10584-015-1329-y", "ISSN" : "0165-0009", "author" : [ { "dropping-particle" : "", "family" : "Green", "given" : "Rosemary", "non-dropping-particle" : "", "parse-names" : false, "suffix" : "" }, { "dropping-particle" : "", "family" : "Milner", "given" : "James", "non-dropping-particle" : "", "parse-names" : false, "suffix" : "" }, { "dropping-particle" : "", "family" : "Dangour", "given" : "Alan D.", "non-dropping-particle" : "", "parse-names" : false, "suffix" : "" }, { "dropping-particle" : "", "family" : "Haines", "given" : "Andy", "non-dropping-particle" : "", "parse-names" : false, "suffix" : "" }, { "dropping-particle" : "", "family" : "Chalabi", "given" : "Zaid", "non-dropping-particle" : "", "parse-names" : false, "suffix" : "" }, { "dropping-particle" : "", "family" : "Markandya", "given" : "Anil", "non-dropping-particle" : "", "parse-names" : false, "suffix" : "" }, { "dropping-particle" : "", "family" : "Spadaro", "given" : "Joseph", "non-dropping-particle" : "", "parse-names" : false, "suffix" : "" }, { "dropping-particle" : "", "family" : "Wilkinson", "given" : "Paul", "non-dropping-particle" : "", "parse-names" : false, "suffix" : "" } ], "container-title" : "Climatic Change", "id" : "ITEM-1", "issue" : "1-2", "issued" : { "date-parts" : [ [ "2015", "1", "26" ] ] }, "language" : "en", "page" : "253-265", "publisher" : "Springer Netherlands", "title" : "The potential to reduce greenhouse gas emissions in the UK through healthy and realistic dietary change", "type" : "article-journal", "volume" : "129" }, "uris" : [ "http://www.mendeley.com/documents/?uuid=12297d74-f440-4abe-a6db-9d02414abd70" ] } ], "mendeley" : { "formattedCitation" : "&lt;sup&gt;(22)&lt;/sup&gt;", "plainTextFormattedCitation" : "(22)", "previouslyFormattedCitation" : "&lt;sup&gt;(22)&lt;/sup&gt;" }, "properties" : { "noteIndex" : 0 }, "schema" : "https://github.com/citation-style-language/schema/raw/master/csl-citation.json" }</w:instrText>
      </w:r>
      <w:r w:rsidRPr="00E35C47">
        <w:rPr>
          <w:rFonts w:ascii="Times New Roman" w:hAnsi="Times New Roman"/>
          <w:sz w:val="24"/>
          <w:szCs w:val="24"/>
        </w:rPr>
        <w:fldChar w:fldCharType="separate"/>
      </w:r>
      <w:r w:rsidRPr="00E35C47">
        <w:rPr>
          <w:rFonts w:ascii="Times New Roman" w:hAnsi="Times New Roman"/>
          <w:noProof/>
          <w:sz w:val="24"/>
          <w:szCs w:val="24"/>
          <w:vertAlign w:val="superscript"/>
        </w:rPr>
        <w:t>(22)</w:t>
      </w:r>
      <w:r w:rsidRPr="00E35C47">
        <w:rPr>
          <w:rFonts w:ascii="Times New Roman" w:hAnsi="Times New Roman"/>
          <w:sz w:val="24"/>
          <w:szCs w:val="24"/>
        </w:rPr>
        <w:fldChar w:fldCharType="end"/>
      </w:r>
      <w:r w:rsidRPr="00E35C47">
        <w:rPr>
          <w:rFonts w:ascii="Times New Roman" w:hAnsi="Times New Roman"/>
          <w:sz w:val="24"/>
          <w:szCs w:val="24"/>
        </w:rPr>
        <w:t>, eight from a US study by Heller et al</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"10.1111/jiec.12174", "ISSN" : "10881980", "author" : [ { "dropping-particle" : "", "family" : "Heller", "given" : "Martin C.", "non-dropping-particle" : "", "parse-names" : false, "suffix" : "" }, { "dropping-particle" : "", "family" : "Keoleian", "given" : "Gregory A.", "non-dropping-particle" : "", "parse-names" : false, "suffix" : "" } ], "container-title" : "Journal of Industrial Ecology", "id" : "ITEM-1", "issue" : "3", "issued" : { "date-parts" : [ [ "2015", "6", "4" ] ] }, "page" : "391-401", "title" : "Greenhouse Gas Emission Estimates of U.S. Dietary Choices and Food Loss", "type" : "article-journal", "volume" : "19" }, "uris" : [ "http://www.mendeley.com/documents/?uuid=e4ee6117-f20e-4699-a720-878ce913d778" ] } ], "mendeley" : { "formattedCitation" : "&lt;sup&gt;(41)&lt;/sup&gt;", "plainTextFormattedCitation" : "(41)", "previouslyFormattedCitation" : "&lt;sup&gt;(41)&lt;/sup&gt;" }, "properties" : { "noteIndex" : 0 }, "schema" : "https://github.com/citation-style-language/schema/raw/master/csl-citation.json" }</w:instrText>
      </w:r>
      <w:r>
        <w:rPr>
          <w:rFonts w:ascii="Times New Roman" w:hAnsi="Times New Roman"/>
          <w:sz w:val="24"/>
          <w:szCs w:val="24"/>
        </w:rPr>
        <w:fldChar w:fldCharType="separate"/>
      </w:r>
      <w:r w:rsidRPr="00E35C47">
        <w:rPr>
          <w:rFonts w:ascii="Times New Roman" w:hAnsi="Times New Roman"/>
          <w:noProof/>
          <w:sz w:val="24"/>
          <w:szCs w:val="24"/>
          <w:vertAlign w:val="superscript"/>
        </w:rPr>
        <w:t>(41)</w:t>
      </w:r>
      <w:r>
        <w:rPr>
          <w:rFonts w:ascii="Times New Roman" w:hAnsi="Times New Roman"/>
          <w:sz w:val="24"/>
          <w:szCs w:val="24"/>
        </w:rPr>
        <w:fldChar w:fldCharType="end"/>
      </w:r>
      <w:r w:rsidRPr="00E35C47">
        <w:rPr>
          <w:rFonts w:ascii="Times New Roman" w:hAnsi="Times New Roman"/>
          <w:sz w:val="24"/>
          <w:szCs w:val="24"/>
        </w:rPr>
        <w:t xml:space="preserve">, and six from an Irish dairy study by Finnegan et al.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"10.1016/j.jclepro.2015.08.025", "ISSN" : "09596526", "abstract" : "In 2015, the milk quota system that is in place in Europe is to be abolished, instigating an increase in milk production. This increase will aid in addressing the world's ever growing demand for food, but will incur increased stresses on the environmental impact and sustainability of the dairy industry. In this paper, an environmental life cycle assessment, which is performed in order to estimate the global warming potential (GWP) associated with 11 dairy products in the Republic of Ireland, is presented. The primary aim of the study is to examine the GWP associated with the processing of raw milk into the various products. However, the GWP contribution from dairy farms producing the raw milk is also included. Therefore, the system boundary utilised in this study is cradle-to-processing factory gate (dairy, farm, raw milk transportation and dairy processing). Furthermore, when performing the analysis, the 11 dairy products are clustered into 6 product groups: fluid milk (whole milk, skimmed and semi-skimmed milk); butter; cheese; cream; milk powders (buttermilk powders, whole milk powders, skimmed milk powders, and chocolate crumb); and whey powders (whey powders and proteins). The total GWP was calculated for each product group and mass allocation was used to derive the GWP of each product within that group. Data from 12 companies (18 dairy processing plants), which account for approximately 92% of the cow's milk processed in the Republic of Ireland, was used in this study to accurately assess the Irish dairy processing industry. From the analysis, it was found that raw milk production accounted for between 80.8% and 97.3% of the total GWP, depending on the amount of raw milk per kg of product. Additionally, raw milk transportation accounted for approximately 0.4% of the GWP, with the remainder contributed by the processing phase. The main contributor to GWP in the processing phase was direct energy use within the plant (electricity, natural gas and other fuel), which accounts for between 91 and 98% of the GWP, depending on the product. Furthermore, even though raw milk production is the most significant contributor to the total GWP of each dairy product, it was observed that energy use and water consumption in the processing phase were of the same magnitude as that of the production phase.", "author" : [ { "dropping-particle" : "", "family" : "Finnegan", "given" : "William", "non-dropping-particle" : "", "parse-names" : false, "suffix" : "" }, { "dropping-particle" : "", "family" : "Goggins", "given" : "Jamie", "non-dropping-particle" : "", "parse-names" : false, "suffix" : "" }, { "dropping-particle" : "", "family" : "Clifford", "given" : "Eoghan", "non-dropping-particle" : "", "parse-names" : false, "suffix" : "" }, { "dropping-particle" : "", "family" : "Zhan", "given" : "Xinmin", "non-dropping-particle" : "", "parse-names" : false, "suffix" : "" } ], "container-title" : "Journal of Cleaner Production", "id" : "ITEM-1", "issued" : { "date-parts" : [ [ "2015", "8" ] ] }, "title" : "Global warming potential associated with dairy products in the Republic of Ireland", "type" : "article-journal" }, "uris" : [ "http://www.mendeley.com/documents/?uuid=f3d1e074-d026-41cf-a211-04ab44c51d5f" ] } ], "mendeley" : { "formattedCitation" : "&lt;sup&gt;(43)&lt;/sup&gt;", "plainTextFormattedCitation" : "(43)", "previouslyFormattedCitation" : "&lt;sup&gt;(43)&lt;/sup&gt;" }, "properties" : { "noteIndex" : 0 }, "schema" : "https://github.com/citation-style-language/schema/raw/master/csl-citation.json" }</w:instrText>
      </w:r>
      <w:r>
        <w:rPr>
          <w:rFonts w:ascii="Times New Roman" w:hAnsi="Times New Roman"/>
          <w:sz w:val="24"/>
          <w:szCs w:val="24"/>
        </w:rPr>
        <w:fldChar w:fldCharType="separate"/>
      </w:r>
      <w:r w:rsidRPr="00E35C47">
        <w:rPr>
          <w:rFonts w:ascii="Times New Roman" w:hAnsi="Times New Roman"/>
          <w:noProof/>
          <w:sz w:val="24"/>
          <w:szCs w:val="24"/>
          <w:vertAlign w:val="superscript"/>
        </w:rPr>
        <w:t>(43)</w:t>
      </w:r>
      <w:r>
        <w:rPr>
          <w:rFonts w:ascii="Times New Roman" w:hAnsi="Times New Roman"/>
          <w:sz w:val="24"/>
          <w:szCs w:val="24"/>
        </w:rPr>
        <w:fldChar w:fldCharType="end"/>
      </w:r>
      <w:r w:rsidRPr="00E35C47">
        <w:rPr>
          <w:rFonts w:ascii="Times New Roman" w:hAnsi="Times New Roman"/>
          <w:sz w:val="24"/>
          <w:szCs w:val="24"/>
        </w:rPr>
        <w:t xml:space="preserve">. With the exception of dairy, all emission factors were chosen from Green et al. where possible as they were deemed most appropriate to an Irish context. For certain emission factors this was not feasible as they were not available from Green et al., therefore some emission factors for fruit and vegetables were adopted from Heller et al. However, dairy emission factors were available for Ireland and adopted from Finnegan et al. </w:t>
      </w:r>
    </w:p>
    <w:p w:rsidR="00261FB9" w:rsidRPr="00E35C47" w:rsidRDefault="00261FB9" w:rsidP="00440387">
      <w:pPr>
        <w:spacing w:after="0" w:line="360" w:lineRule="auto"/>
        <w:ind w:firstLine="720"/>
        <w:jc w:val="both"/>
        <w:rPr>
          <w:rFonts w:ascii="Times New Roman" w:hAnsi="Times New Roman"/>
          <w:sz w:val="24"/>
          <w:szCs w:val="24"/>
        </w:rPr>
      </w:pPr>
      <w:r w:rsidRPr="00E35C47">
        <w:rPr>
          <w:rFonts w:ascii="Times New Roman" w:hAnsi="Times New Roman"/>
          <w:sz w:val="24"/>
          <w:szCs w:val="24"/>
        </w:rPr>
        <w:t xml:space="preserve">Many of the dishes were consumed as composite dishes rather than in isolation. Mixed dishes comprised of combinations of foods, e.g. casseroles, stews, curries with rice, and pasta based dishes. Indeed, when assessing composite dishes it is important to quantify the meat component of the dish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"10.1079/BJN20051427", "ISSN" : "0007-1145", "author" : [ { "dropping-particle" : "", "family" : "Cosgrove", "given" : "Meadhbh", "non-dropping-particle" : "", "parse-names" : false, "suffix" : "" }, { "dropping-particle" : "", "family" : "Flynn", "given" : "Albert", "non-dropping-particle" : "", "parse-names" : false, "suffix" : "" }, { "dropping-particle" : "", "family" : "Kiely", "given" : "M\u00e1ir\u00e9ad", "non-dropping-particle" : "", "parse-names" : false, "suffix" : "" } ], "container-title" : "British Journal of Nutrition", "id" : "ITEM-1", "issue" : "06", "issued" : { "date-parts" : [ [ "2007", "3", "8" ] ] }, "language" : "English", "page" : "933", "publisher" : "Cambridge University Press", "title" : "Consumption of red meat, white meat and processed meat in Irish adults in relation to dietary quality", "type" : "article-journal", "volume" : "93" }, "uris" : [ "http://www.mendeley.com/documents/?uuid=b4d02547-bdda-4c8f-8f6c-ed391de526e3" ] } ], "mendeley" : { "formattedCitation" : "&lt;sup&gt;(102)&lt;/sup&gt;", "plainTextFormattedCitation" : "(102)", "previouslyFormattedCitation" : "&lt;sup&gt;(101)&lt;/sup&gt;" }, "properties" : { "noteIndex" : 0 }, "schema" : "https://github.com/citation-style-language/schema/raw/master/csl-citation.json" }</w:instrText>
      </w:r>
      <w:r>
        <w:rPr>
          <w:rFonts w:ascii="Times New Roman" w:hAnsi="Times New Roman"/>
          <w:sz w:val="24"/>
          <w:szCs w:val="24"/>
        </w:rPr>
        <w:fldChar w:fldCharType="separate"/>
      </w:r>
      <w:r w:rsidRPr="00574A79">
        <w:rPr>
          <w:rFonts w:ascii="Times New Roman" w:hAnsi="Times New Roman"/>
          <w:noProof/>
          <w:sz w:val="24"/>
          <w:szCs w:val="24"/>
          <w:vertAlign w:val="superscript"/>
        </w:rPr>
        <w:t>(10</w:t>
      </w:r>
      <w:r>
        <w:rPr>
          <w:rFonts w:ascii="Times New Roman" w:hAnsi="Times New Roman"/>
          <w:noProof/>
          <w:sz w:val="24"/>
          <w:szCs w:val="24"/>
          <w:vertAlign w:val="superscript"/>
        </w:rPr>
        <w:t>3</w:t>
      </w:r>
      <w:r w:rsidRPr="00574A79">
        <w:rPr>
          <w:rFonts w:ascii="Times New Roman" w:hAnsi="Times New Roman"/>
          <w:noProof/>
          <w:sz w:val="24"/>
          <w:szCs w:val="24"/>
          <w:vertAlign w:val="superscript"/>
        </w:rPr>
        <w:t>)</w:t>
      </w:r>
      <w:r>
        <w:rPr>
          <w:rFonts w:ascii="Times New Roman" w:hAnsi="Times New Roman"/>
          <w:sz w:val="24"/>
          <w:szCs w:val="24"/>
        </w:rPr>
        <w:fldChar w:fldCharType="end"/>
      </w:r>
      <w:r w:rsidRPr="00E35C47">
        <w:rPr>
          <w:rFonts w:ascii="Times New Roman" w:hAnsi="Times New Roman"/>
          <w:sz w:val="24"/>
          <w:szCs w:val="24"/>
        </w:rPr>
        <w:t xml:space="preserve">. This is particularly important when considering GHGE as meat has relatively high emission factors. However, it was not possible to attain the exact composition of each composite dish. Nevertheless, in an Irish study by Cosgrove et al. it was found that the average percentage of meat consumed as part of a composite dish to be 34% across all age groups from a preceding NANS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"10.1079/PHN2004692", "ISSN" : "1368-9800", "author" : [ { "dropping-particle" : "", "family" : "Cosgrove", "given" : "Meadhbh", "non-dropping-particle" : "", "parse-names" : false, "suffix" : "" }, { "dropping-particle" : "", "family" : "Flynn", "given" : "Albert", "non-dropping-particle" : "", "parse-names" : false, "suffix" : "" }, { "dropping-particle" : "", "family" : "Kiely", "given" : "M\u00e1ir\u00e9ad", "non-dropping-particle" : "", "parse-names" : false, "suffix" : "" } ], "container-title" : "Public Health Nutrition", "id" : "ITEM-1", "issue" : "03", "issued" : { "date-parts" : [ [ "2007", "1", "2" ] ] }, "language" : "English", "page" : "327-337", "publisher" : "Cambridge University Press", "title" : "Impact of disaggregation of composite foods on estimates of intakes of meat and meat products in Irish adults", "type" : "article-journal", "volume" : "8" }, "uris" : [ "http://www.mendeley.com/documents/?uuid=ad4bda7c-5497-4690-aae8-1f510152fdce" ] } ], "mendeley" : { "formattedCitation" : "&lt;sup&gt;(103)&lt;/sup&gt;", "plainTextFormattedCitation" : "(103)", "previouslyFormattedCitation" : "&lt;sup&gt;(102)&lt;/sup&gt;" }, "properties" : { "noteIndex" : 0 }, "schema" : "https://github.com/citation-style-language/schema/raw/master/csl-citation.json" }</w:instrText>
      </w:r>
      <w:r>
        <w:rPr>
          <w:rFonts w:ascii="Times New Roman" w:hAnsi="Times New Roman"/>
          <w:sz w:val="24"/>
          <w:szCs w:val="24"/>
        </w:rPr>
        <w:fldChar w:fldCharType="separate"/>
      </w:r>
      <w:r w:rsidRPr="00574A79">
        <w:rPr>
          <w:rFonts w:ascii="Times New Roman" w:hAnsi="Times New Roman"/>
          <w:noProof/>
          <w:sz w:val="24"/>
          <w:szCs w:val="24"/>
          <w:vertAlign w:val="superscript"/>
        </w:rPr>
        <w:t>(10</w:t>
      </w:r>
      <w:r>
        <w:rPr>
          <w:rFonts w:ascii="Times New Roman" w:hAnsi="Times New Roman"/>
          <w:noProof/>
          <w:sz w:val="24"/>
          <w:szCs w:val="24"/>
          <w:vertAlign w:val="superscript"/>
        </w:rPr>
        <w:t>4</w:t>
      </w:r>
      <w:r w:rsidRPr="00574A79">
        <w:rPr>
          <w:rFonts w:ascii="Times New Roman" w:hAnsi="Times New Roman"/>
          <w:noProof/>
          <w:sz w:val="24"/>
          <w:szCs w:val="24"/>
          <w:vertAlign w:val="superscript"/>
        </w:rPr>
        <w:t>)</w:t>
      </w:r>
      <w:r>
        <w:rPr>
          <w:rFonts w:ascii="Times New Roman" w:hAnsi="Times New Roman"/>
          <w:sz w:val="24"/>
          <w:szCs w:val="24"/>
        </w:rPr>
        <w:fldChar w:fldCharType="end"/>
      </w:r>
      <w:r w:rsidRPr="00E35C47">
        <w:rPr>
          <w:rFonts w:ascii="Times New Roman" w:hAnsi="Times New Roman"/>
          <w:sz w:val="24"/>
          <w:szCs w:val="24"/>
        </w:rPr>
        <w:t xml:space="preserve">. It was therefore deemed appropriate to disaggregate composite dishes as per Baghurst et al. and Hendrie et al.; where mixed dishes were subsequently assumed to comprise 35% meat or fish, 50% starchy food, 5% sauce and 10% oil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"ISSN" : "1032-1322", "author" : [ { "dropping-particle" : "", "family" : "Baghurst", "given" : "K.", "non-dropping-particle" : "", "parse-names" : false, "suffix" : "" }, { "dropping-particle" : "", "family" : "Record", "given" : "S.", "non-dropping-particle" : "", "parse-names" : false, "suffix" : "" }, { "dropping-particle" : "", "family" : "Leppard", "given" : "P.", "non-dropping-particle" : "", "parse-names" : false, "suffix" : "" } ], "container-title" : "Australian Journal of Nutrition and Dietetics", "id" : "ITEM-1", "issue" : "4 Suppl.", "issued" : { "date-parts" : [ [ "2000" ] ] }, "language" : "English", "publisher" : "Dietitians Association of Australia", "title" : "Red meat consumption in Australia: intakes, nutrient contribution and changes over time.", "type" : "article-journal", "volume" : "57" }, "uris" : [ "http://www.mendeley.com/documents/?uuid=06d7133d-9430-4722-808a-7ccd86e40d5c" ] }, { "id" : "ITEM-2", "itemData" : { "DOI" : "10.3390/nu6010289", "ISSN" : "2072-6643", "PMID" : "24406846", "abstract" : "Nutrition guidelines now consider the environmental impact of food choices as well as maintaining health. In Australia there is insufficient data quantifying the environmental impact of diets, limiting our ability to make evidence-based recommendations. This paper used an environmentally extended input-output model of the economy to estimate greenhouse gas emissions (GHGe) for different food sectors. These data were augmented with food intake estimates from the 1995 Australian National Nutrition Survey. The GHGe of the average Australian diet was 14.5 kg carbon dioxide equivalents (CO2e) per person per day. The recommended dietary patterns in the Australian Dietary Guidelines are nutrient rich and have the lowest GHGe (~25% lower than the average diet). Food groups that made the greatest contribution to diet-related GHGe were red meat (8.0 kg CO2e per person per day) and energy-dense, nutrient poor \"non-core\" foods (3.9 kg CO2e). Non-core foods accounted for 27% of the diet-related emissions. A reduction in non-core foods and consuming the recommended serves of core foods are strategies which may achieve benefits for population health and the environment. These data will enable comparisons between changes in dietary intake and GHGe over time, and provide a reference point for diets which meet population nutrient requirements and have the lowest GHGe.", "author" : [ { "dropping-particle" : "", "family" : "Hendrie", "given" : "Gilly A", "non-dropping-particle" : "", "parse-names" : false, "suffix" : "" }, { "dropping-particle" : "", "family" : "Ridoutt", "given" : "Brad G", "non-dropping-particle" : "", "parse-names" : false, "suffix" : "" }, { "dropping-particle" : "", "family" : "Wiedmann", "given" : "Thomas O", "non-dropping-particle" : "", "parse-names" : false, "suffix" : "" }, { "dropping-particle" : "", "family" : "Noakes", "given" : "Manny", "non-dropping-particle" : "", "parse-names" : false, "suffix" : "" } ], "container-title" : "Nutrients", "id" : "ITEM-2", "issue" : "1", "issued" : { "date-parts" : [ [ "2014", "1", "8" ] ] }, "language" : "en", "page" : "289-303", "publisher" : "Multidisciplinary Digital Publishing Institute", "title" : "Greenhouse gas emissions and the Australian diet--comparing dietary recommendations with average intakes.", "type" : "article-journal", "volume" : "6" }, "uris" : [ "http://www.mendeley.com/documents/?uuid=e39bea25-717e-4cc4-87b9-9230a441d87b" ] } ], "mendeley" : { "formattedCitation" : "&lt;sup&gt;(104,105)&lt;/sup&gt;", "plainTextFormattedCitation" : "(104,105)", "previouslyFormattedCitation" : "&lt;sup&gt;(103,104)&lt;/sup&gt;" }, "properties" : { "noteIndex" : 0 }, "schema" : "https://github.com/citation-style-language/schema/raw/master/csl-citation.json" }</w:instrText>
      </w:r>
      <w:r>
        <w:rPr>
          <w:rFonts w:ascii="Times New Roman" w:hAnsi="Times New Roman"/>
          <w:sz w:val="24"/>
          <w:szCs w:val="24"/>
        </w:rPr>
        <w:fldChar w:fldCharType="separate"/>
      </w:r>
      <w:r w:rsidRPr="00574A79">
        <w:rPr>
          <w:rFonts w:ascii="Times New Roman" w:hAnsi="Times New Roman"/>
          <w:noProof/>
          <w:sz w:val="24"/>
          <w:szCs w:val="24"/>
          <w:vertAlign w:val="superscript"/>
        </w:rPr>
        <w:t>(10</w:t>
      </w:r>
      <w:r>
        <w:rPr>
          <w:rFonts w:ascii="Times New Roman" w:hAnsi="Times New Roman"/>
          <w:noProof/>
          <w:sz w:val="24"/>
          <w:szCs w:val="24"/>
          <w:vertAlign w:val="superscript"/>
        </w:rPr>
        <w:t>5</w:t>
      </w:r>
      <w:r w:rsidRPr="00574A79">
        <w:rPr>
          <w:rFonts w:ascii="Times New Roman" w:hAnsi="Times New Roman"/>
          <w:noProof/>
          <w:sz w:val="24"/>
          <w:szCs w:val="24"/>
          <w:vertAlign w:val="superscript"/>
        </w:rPr>
        <w:t>,10</w:t>
      </w:r>
      <w:r>
        <w:rPr>
          <w:rFonts w:ascii="Times New Roman" w:hAnsi="Times New Roman"/>
          <w:noProof/>
          <w:sz w:val="24"/>
          <w:szCs w:val="24"/>
          <w:vertAlign w:val="superscript"/>
        </w:rPr>
        <w:t>6</w:t>
      </w:r>
      <w:r w:rsidRPr="00574A79">
        <w:rPr>
          <w:rFonts w:ascii="Times New Roman" w:hAnsi="Times New Roman"/>
          <w:noProof/>
          <w:sz w:val="24"/>
          <w:szCs w:val="24"/>
          <w:vertAlign w:val="superscript"/>
        </w:rPr>
        <w:t>)</w:t>
      </w:r>
      <w:r>
        <w:rPr>
          <w:rFonts w:ascii="Times New Roman" w:hAnsi="Times New Roman"/>
          <w:sz w:val="24"/>
          <w:szCs w:val="24"/>
        </w:rPr>
        <w:fldChar w:fldCharType="end"/>
      </w:r>
      <w:r w:rsidRPr="00E35C47">
        <w:rPr>
          <w:rFonts w:ascii="Times New Roman" w:hAnsi="Times New Roman"/>
          <w:sz w:val="24"/>
          <w:szCs w:val="24"/>
        </w:rPr>
        <w:t>. The meat component was assigned to the stated meat type (beef, lamb, pork, chicken or fish) and the starch component assigned to potato, pasta and rice in equal measures. Sensitivity analysis revealed that total dietary emissions would only increase by 3% if the meat components in composite dishes were raised from 35% to 50% (</w:t>
      </w:r>
      <w:r>
        <w:rPr>
          <w:rFonts w:ascii="Times New Roman" w:hAnsi="Times New Roman"/>
          <w:sz w:val="24"/>
          <w:szCs w:val="24"/>
        </w:rPr>
        <w:t>see online ‘</w:t>
      </w:r>
      <w:r w:rsidRPr="00E35C47">
        <w:rPr>
          <w:rFonts w:ascii="Times New Roman" w:hAnsi="Times New Roman"/>
          <w:sz w:val="24"/>
          <w:szCs w:val="24"/>
        </w:rPr>
        <w:t>Supplementary material</w:t>
      </w:r>
      <w:r>
        <w:rPr>
          <w:rFonts w:ascii="Times New Roman" w:hAnsi="Times New Roman"/>
          <w:sz w:val="24"/>
          <w:szCs w:val="24"/>
        </w:rPr>
        <w:t xml:space="preserve"> 2’</w:t>
      </w:r>
      <w:r w:rsidRPr="00E35C47">
        <w:rPr>
          <w:rFonts w:ascii="Times New Roman" w:hAnsi="Times New Roman"/>
          <w:sz w:val="24"/>
          <w:szCs w:val="24"/>
        </w:rPr>
        <w:t>).</w:t>
      </w:r>
    </w:p>
    <w:p w:rsidR="00261FB9" w:rsidRPr="00E35C47" w:rsidRDefault="00261FB9" w:rsidP="00440387">
      <w:pPr>
        <w:spacing w:after="0" w:line="360" w:lineRule="auto"/>
        <w:ind w:firstLine="720"/>
        <w:jc w:val="both"/>
        <w:rPr>
          <w:rFonts w:ascii="Times New Roman" w:hAnsi="Times New Roman"/>
          <w:sz w:val="24"/>
          <w:szCs w:val="24"/>
        </w:rPr>
      </w:pPr>
      <w:r w:rsidRPr="00E35C47">
        <w:rPr>
          <w:rFonts w:ascii="Times New Roman" w:hAnsi="Times New Roman"/>
          <w:sz w:val="24"/>
          <w:szCs w:val="24"/>
        </w:rPr>
        <w:t xml:space="preserve">It was not possible to quantify per participant the exact volume of meat component in the ‘Lamb, pork, and bacon dishes’ food group. To ascribe the appropriate meat quantities from ‘Lamb, pork, and bacon dishes’ the overall mean ratio of lamb, pork and bacon in the food group from NANS was extrapolated and applied to individual consumption (lamb: pork: bacon; </w:t>
      </w:r>
      <w:r w:rsidRPr="00E35C47">
        <w:rPr>
          <w:rFonts w:ascii="Times New Roman" w:hAnsi="Times New Roman"/>
          <w:sz w:val="24"/>
          <w:szCs w:val="24"/>
          <w:lang w:eastAsia="en-IE"/>
        </w:rPr>
        <w:t xml:space="preserve">0.03: 0.34: 0.63). Thereafter, the components of </w:t>
      </w:r>
      <w:r w:rsidRPr="00E35C47">
        <w:rPr>
          <w:rFonts w:ascii="Times New Roman" w:hAnsi="Times New Roman"/>
          <w:sz w:val="24"/>
          <w:szCs w:val="24"/>
        </w:rPr>
        <w:t>‘Lamb, pork, and bacon dishes’ were disaggregated using the same approach as the other composite dishes with the meat components allocated to their respective grouping</w:t>
      </w:r>
      <w:r w:rsidRPr="00E35C47">
        <w:rPr>
          <w:rFonts w:ascii="Times New Roman" w:hAnsi="Times New Roman"/>
          <w:lang w:eastAsia="en-IE"/>
        </w:rPr>
        <w:t>.</w:t>
      </w:r>
      <w:r w:rsidRPr="00E35C47">
        <w:rPr>
          <w:rFonts w:ascii="Times New Roman" w:hAnsi="Times New Roman"/>
          <w:sz w:val="24"/>
          <w:szCs w:val="24"/>
        </w:rPr>
        <w:t xml:space="preserve"> Furthermore, certain food groupings of the NANS had multiple components which could impact the emission factor applied. For instance, the food group ‘Rice &amp; pasta, flours, grains &amp; starches’ was disaggregated into the mean proportion of intake for its individual constituents. This ratio of consumption was used to apply an emission factor to each of the foods within ‘Rice &amp; pasta, flours, grains &amp; starches’. Therefore, a mean emission factor for a whole group could be applied which reflects of the proportion of each of the foods within a food constitute food group. </w:t>
      </w:r>
    </w:p>
    <w:p w:rsidR="00261FB9" w:rsidRPr="00E35C47" w:rsidRDefault="00261FB9" w:rsidP="00440387">
      <w:pPr>
        <w:spacing w:after="0" w:line="360" w:lineRule="auto"/>
        <w:ind w:firstLine="720"/>
        <w:jc w:val="both"/>
        <w:rPr>
          <w:rFonts w:ascii="Times New Roman" w:hAnsi="Times New Roman"/>
          <w:sz w:val="24"/>
          <w:szCs w:val="24"/>
        </w:rPr>
      </w:pPr>
    </w:p>
    <w:p w:rsidR="00261FB9" w:rsidRPr="00E35C47" w:rsidRDefault="00261FB9" w:rsidP="00440387">
      <w:pPr>
        <w:pStyle w:val="Caption"/>
        <w:keepNext/>
        <w:jc w:val="center"/>
        <w:rPr>
          <w:rFonts w:ascii="Times New Roman" w:hAnsi="Times New Roman"/>
          <w:color w:val="auto"/>
          <w:sz w:val="20"/>
          <w:szCs w:val="20"/>
        </w:rPr>
      </w:pPr>
      <w:r w:rsidRPr="00E35C47">
        <w:rPr>
          <w:rFonts w:ascii="Times New Roman" w:hAnsi="Times New Roman"/>
          <w:color w:val="auto"/>
          <w:sz w:val="20"/>
          <w:szCs w:val="20"/>
        </w:rPr>
        <w:t xml:space="preserve">Table </w:t>
      </w:r>
      <w:r>
        <w:rPr>
          <w:rFonts w:ascii="Times New Roman" w:hAnsi="Times New Roman"/>
          <w:color w:val="auto"/>
          <w:sz w:val="20"/>
          <w:szCs w:val="20"/>
        </w:rPr>
        <w:t>S</w:t>
      </w:r>
      <w:r w:rsidRPr="00E35C47">
        <w:rPr>
          <w:rFonts w:ascii="Times New Roman" w:hAnsi="Times New Roman"/>
          <w:color w:val="auto"/>
          <w:sz w:val="20"/>
          <w:szCs w:val="20"/>
        </w:rPr>
        <w:t xml:space="preserve">1. Food intake and GHGE emissions factors of the food groupings of the NANS. Standard errors are represented by numbers surrounded by brackets.  </w:t>
      </w:r>
    </w:p>
    <w:tbl>
      <w:tblPr>
        <w:tblW w:w="0" w:type="auto"/>
        <w:jc w:val="center"/>
        <w:tblBorders>
          <w:top w:val="single" w:sz="4" w:space="0" w:color="auto"/>
        </w:tblBorders>
        <w:tblLayout w:type="fixed"/>
        <w:tblLook w:val="00A0"/>
      </w:tblPr>
      <w:tblGrid>
        <w:gridCol w:w="1753"/>
        <w:gridCol w:w="3458"/>
        <w:gridCol w:w="993"/>
        <w:gridCol w:w="129"/>
        <w:gridCol w:w="721"/>
        <w:gridCol w:w="851"/>
        <w:gridCol w:w="1337"/>
      </w:tblGrid>
      <w:tr w:rsidR="00261FB9" w:rsidRPr="000419EA" w:rsidTr="004852AB">
        <w:trPr>
          <w:trHeight w:val="300"/>
          <w:jc w:val="center"/>
        </w:trPr>
        <w:tc>
          <w:tcPr>
            <w:tcW w:w="1753" w:type="dxa"/>
            <w:tcBorders>
              <w:top w:val="single" w:sz="4" w:space="0" w:color="auto"/>
              <w:left w:val="nil"/>
              <w:bottom w:val="nil"/>
              <w:right w:val="nil"/>
            </w:tcBorders>
          </w:tcPr>
          <w:p w:rsidR="00261FB9" w:rsidRPr="00E35C47" w:rsidRDefault="00261FB9" w:rsidP="004852AB">
            <w:pPr>
              <w:spacing w:after="0" w:line="240" w:lineRule="auto"/>
              <w:rPr>
                <w:rFonts w:ascii="Times New Roman" w:hAnsi="Times New Roman"/>
                <w:b/>
                <w:bCs/>
                <w:sz w:val="20"/>
                <w:szCs w:val="20"/>
                <w:lang w:eastAsia="en-IE"/>
              </w:rPr>
            </w:pPr>
          </w:p>
        </w:tc>
        <w:tc>
          <w:tcPr>
            <w:tcW w:w="3458" w:type="dxa"/>
            <w:tcBorders>
              <w:top w:val="single" w:sz="4" w:space="0" w:color="auto"/>
              <w:left w:val="nil"/>
              <w:bottom w:val="nil"/>
              <w:right w:val="single" w:sz="4" w:space="0" w:color="auto"/>
            </w:tcBorders>
            <w:noWrap/>
            <w:vAlign w:val="bottom"/>
          </w:tcPr>
          <w:p w:rsidR="00261FB9" w:rsidRPr="00E35C47" w:rsidRDefault="00261FB9" w:rsidP="004852AB">
            <w:pPr>
              <w:spacing w:after="0" w:line="240" w:lineRule="auto"/>
              <w:rPr>
                <w:rFonts w:ascii="Times New Roman" w:hAnsi="Times New Roman"/>
                <w:b/>
                <w:bCs/>
                <w:sz w:val="20"/>
                <w:szCs w:val="20"/>
                <w:lang w:eastAsia="en-IE"/>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261FB9" w:rsidRPr="00E35C47" w:rsidRDefault="00261FB9" w:rsidP="004852AB">
            <w:pPr>
              <w:spacing w:after="0" w:line="240" w:lineRule="auto"/>
              <w:jc w:val="center"/>
              <w:rPr>
                <w:rFonts w:ascii="Times New Roman" w:hAnsi="Times New Roman"/>
                <w:b/>
                <w:bCs/>
                <w:sz w:val="20"/>
                <w:szCs w:val="20"/>
                <w:lang w:eastAsia="en-IE"/>
              </w:rPr>
            </w:pPr>
            <w:r w:rsidRPr="00E35C47">
              <w:rPr>
                <w:rFonts w:ascii="Times New Roman" w:hAnsi="Times New Roman"/>
                <w:b/>
                <w:bCs/>
                <w:sz w:val="20"/>
                <w:szCs w:val="20"/>
                <w:lang w:eastAsia="en-IE"/>
              </w:rPr>
              <w:t>Intake (g/d)</w:t>
            </w:r>
          </w:p>
        </w:tc>
        <w:tc>
          <w:tcPr>
            <w:tcW w:w="851" w:type="dxa"/>
            <w:tcBorders>
              <w:top w:val="single" w:sz="4" w:space="0" w:color="auto"/>
              <w:left w:val="single" w:sz="4" w:space="0" w:color="auto"/>
              <w:bottom w:val="single" w:sz="4" w:space="0" w:color="auto"/>
              <w:right w:val="single" w:sz="4" w:space="0" w:color="auto"/>
            </w:tcBorders>
            <w:vAlign w:val="bottom"/>
          </w:tcPr>
          <w:p w:rsidR="00261FB9" w:rsidRPr="00E35C47" w:rsidRDefault="00261FB9" w:rsidP="004852AB">
            <w:pPr>
              <w:spacing w:after="0" w:line="240" w:lineRule="auto"/>
              <w:jc w:val="center"/>
              <w:rPr>
                <w:rFonts w:ascii="Times New Roman" w:hAnsi="Times New Roman"/>
                <w:b/>
                <w:bCs/>
                <w:sz w:val="20"/>
                <w:szCs w:val="20"/>
                <w:lang w:eastAsia="en-IE"/>
              </w:rPr>
            </w:pPr>
            <w:r w:rsidRPr="00E35C47">
              <w:rPr>
                <w:rFonts w:ascii="Times New Roman" w:hAnsi="Times New Roman"/>
                <w:b/>
                <w:bCs/>
                <w:sz w:val="20"/>
                <w:szCs w:val="20"/>
                <w:lang w:eastAsia="en-IE"/>
              </w:rPr>
              <w:t>Energy intake</w:t>
            </w:r>
          </w:p>
        </w:tc>
        <w:tc>
          <w:tcPr>
            <w:tcW w:w="1337" w:type="dxa"/>
            <w:tcBorders>
              <w:top w:val="single" w:sz="4" w:space="0" w:color="auto"/>
              <w:bottom w:val="single" w:sz="4" w:space="0" w:color="auto"/>
              <w:right w:val="nil"/>
            </w:tcBorders>
            <w:vAlign w:val="bottom"/>
          </w:tcPr>
          <w:p w:rsidR="00261FB9" w:rsidRPr="00E35C47" w:rsidRDefault="00261FB9" w:rsidP="004852AB">
            <w:pPr>
              <w:spacing w:after="0" w:line="240" w:lineRule="auto"/>
              <w:jc w:val="center"/>
              <w:rPr>
                <w:rFonts w:ascii="Times New Roman" w:hAnsi="Times New Roman"/>
                <w:b/>
                <w:bCs/>
                <w:sz w:val="20"/>
                <w:szCs w:val="20"/>
                <w:lang w:eastAsia="en-IE"/>
              </w:rPr>
            </w:pPr>
            <w:r w:rsidRPr="00E35C47">
              <w:rPr>
                <w:rFonts w:ascii="Times New Roman" w:hAnsi="Times New Roman"/>
                <w:b/>
                <w:bCs/>
                <w:sz w:val="20"/>
                <w:szCs w:val="20"/>
                <w:lang w:eastAsia="en-IE"/>
              </w:rPr>
              <w:t>GHGE</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E35C47" w:rsidRDefault="00261FB9" w:rsidP="004852AB">
            <w:pPr>
              <w:spacing w:after="0" w:line="240" w:lineRule="auto"/>
              <w:rPr>
                <w:rFonts w:ascii="Times New Roman" w:hAnsi="Times New Roman"/>
                <w:b/>
                <w:bCs/>
                <w:sz w:val="20"/>
                <w:szCs w:val="20"/>
                <w:lang w:eastAsia="en-IE"/>
              </w:rPr>
            </w:pPr>
          </w:p>
        </w:tc>
        <w:tc>
          <w:tcPr>
            <w:tcW w:w="3458" w:type="dxa"/>
            <w:tcBorders>
              <w:top w:val="nil"/>
              <w:left w:val="nil"/>
              <w:bottom w:val="single" w:sz="4" w:space="0" w:color="auto"/>
              <w:right w:val="single" w:sz="4" w:space="0" w:color="auto"/>
            </w:tcBorders>
            <w:noWrap/>
            <w:vAlign w:val="bottom"/>
          </w:tcPr>
          <w:p w:rsidR="00261FB9" w:rsidRPr="00E35C47" w:rsidRDefault="00261FB9" w:rsidP="004852AB">
            <w:pPr>
              <w:spacing w:after="0" w:line="240" w:lineRule="auto"/>
              <w:rPr>
                <w:rFonts w:ascii="Times New Roman" w:hAnsi="Times New Roman"/>
                <w:b/>
                <w:bCs/>
                <w:sz w:val="20"/>
                <w:szCs w:val="20"/>
                <w:lang w:eastAsia="en-IE"/>
              </w:rPr>
            </w:pPr>
          </w:p>
        </w:tc>
        <w:tc>
          <w:tcPr>
            <w:tcW w:w="993" w:type="dxa"/>
            <w:tcBorders>
              <w:top w:val="single" w:sz="4" w:space="0" w:color="auto"/>
              <w:left w:val="single" w:sz="4" w:space="0" w:color="auto"/>
              <w:bottom w:val="single" w:sz="4" w:space="0" w:color="auto"/>
              <w:right w:val="nil"/>
            </w:tcBorders>
            <w:vAlign w:val="bottom"/>
          </w:tcPr>
          <w:p w:rsidR="00261FB9" w:rsidRPr="00E35C47" w:rsidRDefault="00261FB9" w:rsidP="004852AB">
            <w:pPr>
              <w:spacing w:after="0" w:line="240" w:lineRule="auto"/>
              <w:rPr>
                <w:rFonts w:ascii="Times New Roman" w:hAnsi="Times New Roman"/>
                <w:b/>
                <w:bCs/>
                <w:sz w:val="20"/>
                <w:szCs w:val="20"/>
                <w:lang w:eastAsia="en-IE"/>
              </w:rPr>
            </w:pPr>
            <w:r w:rsidRPr="00E35C47">
              <w:rPr>
                <w:rFonts w:ascii="Times New Roman" w:hAnsi="Times New Roman"/>
                <w:b/>
                <w:bCs/>
                <w:sz w:val="20"/>
                <w:szCs w:val="20"/>
                <w:lang w:eastAsia="en-IE"/>
              </w:rPr>
              <w:t>n = 1500</w:t>
            </w:r>
          </w:p>
        </w:tc>
        <w:tc>
          <w:tcPr>
            <w:tcW w:w="850" w:type="dxa"/>
            <w:gridSpan w:val="2"/>
            <w:tcBorders>
              <w:top w:val="single" w:sz="4" w:space="0" w:color="auto"/>
              <w:left w:val="nil"/>
              <w:bottom w:val="single" w:sz="4" w:space="0" w:color="auto"/>
              <w:right w:val="single" w:sz="4" w:space="0" w:color="auto"/>
            </w:tcBorders>
            <w:vAlign w:val="bottom"/>
          </w:tcPr>
          <w:p w:rsidR="00261FB9" w:rsidRPr="00E35C47" w:rsidRDefault="00261FB9" w:rsidP="004852AB">
            <w:pPr>
              <w:spacing w:after="0" w:line="240" w:lineRule="auto"/>
              <w:rPr>
                <w:rFonts w:ascii="Times New Roman" w:hAnsi="Times New Roman"/>
                <w:b/>
                <w:bCs/>
                <w:sz w:val="20"/>
                <w:szCs w:val="20"/>
                <w:lang w:eastAsia="en-IE"/>
              </w:rPr>
            </w:pPr>
            <w:r w:rsidRPr="00E35C47">
              <w:rPr>
                <w:rFonts w:ascii="Times New Roman" w:hAnsi="Times New Roman"/>
                <w:b/>
                <w:bCs/>
                <w:sz w:val="20"/>
                <w:szCs w:val="20"/>
                <w:lang w:eastAsia="en-IE"/>
              </w:rPr>
              <w:t>n = 960</w:t>
            </w:r>
          </w:p>
        </w:tc>
        <w:tc>
          <w:tcPr>
            <w:tcW w:w="851" w:type="dxa"/>
            <w:tcBorders>
              <w:top w:val="single" w:sz="4" w:space="0" w:color="auto"/>
              <w:left w:val="single" w:sz="4" w:space="0" w:color="auto"/>
              <w:bottom w:val="single" w:sz="4" w:space="0" w:color="auto"/>
              <w:right w:val="single" w:sz="4" w:space="0" w:color="auto"/>
            </w:tcBorders>
            <w:vAlign w:val="bottom"/>
          </w:tcPr>
          <w:p w:rsidR="00261FB9" w:rsidRPr="00E35C47" w:rsidRDefault="00261FB9" w:rsidP="004852AB">
            <w:pPr>
              <w:spacing w:after="0" w:line="240" w:lineRule="auto"/>
              <w:jc w:val="center"/>
              <w:rPr>
                <w:rFonts w:ascii="Times New Roman" w:hAnsi="Times New Roman"/>
                <w:b/>
                <w:bCs/>
                <w:sz w:val="20"/>
                <w:szCs w:val="20"/>
                <w:lang w:eastAsia="en-IE"/>
              </w:rPr>
            </w:pPr>
            <w:r w:rsidRPr="00E35C47">
              <w:rPr>
                <w:rFonts w:ascii="Times New Roman" w:hAnsi="Times New Roman"/>
                <w:b/>
                <w:bCs/>
                <w:sz w:val="20"/>
                <w:szCs w:val="20"/>
                <w:lang w:eastAsia="en-IE"/>
              </w:rPr>
              <w:t>MJ</w:t>
            </w:r>
          </w:p>
        </w:tc>
        <w:tc>
          <w:tcPr>
            <w:tcW w:w="1337" w:type="dxa"/>
            <w:tcBorders>
              <w:top w:val="single" w:sz="4" w:space="0" w:color="auto"/>
              <w:bottom w:val="single" w:sz="4" w:space="0" w:color="auto"/>
              <w:right w:val="nil"/>
            </w:tcBorders>
            <w:vAlign w:val="bottom"/>
          </w:tcPr>
          <w:p w:rsidR="00261FB9" w:rsidRPr="00E35C47" w:rsidRDefault="00261FB9" w:rsidP="004852AB">
            <w:pPr>
              <w:spacing w:after="0" w:line="240" w:lineRule="auto"/>
              <w:jc w:val="center"/>
              <w:rPr>
                <w:rFonts w:ascii="Times New Roman" w:hAnsi="Times New Roman"/>
                <w:b/>
                <w:bCs/>
                <w:sz w:val="20"/>
                <w:szCs w:val="20"/>
                <w:lang w:eastAsia="en-IE"/>
              </w:rPr>
            </w:pPr>
            <w:r w:rsidRPr="00E35C47">
              <w:rPr>
                <w:rFonts w:ascii="Times New Roman" w:hAnsi="Times New Roman"/>
                <w:b/>
                <w:bCs/>
                <w:sz w:val="20"/>
                <w:szCs w:val="20"/>
                <w:lang w:eastAsia="en-IE"/>
              </w:rPr>
              <w:t>(kg CO</w:t>
            </w:r>
            <w:r w:rsidRPr="00E35C47">
              <w:rPr>
                <w:rFonts w:ascii="Times New Roman" w:hAnsi="Times New Roman"/>
                <w:b/>
                <w:bCs/>
                <w:sz w:val="20"/>
                <w:szCs w:val="20"/>
                <w:vertAlign w:val="subscript"/>
                <w:lang w:eastAsia="en-IE"/>
              </w:rPr>
              <w:t>2</w:t>
            </w:r>
            <w:r w:rsidRPr="00E35C47">
              <w:rPr>
                <w:rFonts w:ascii="Times New Roman" w:hAnsi="Times New Roman"/>
                <w:b/>
                <w:bCs/>
                <w:sz w:val="20"/>
                <w:szCs w:val="20"/>
                <w:lang w:eastAsia="en-IE"/>
              </w:rPr>
              <w:t>eq/ kg)</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Starchy stables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Rice &amp; pasta, flours, grains &amp; starches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32.0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31.0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vertAlign w:val="superscript"/>
                <w:lang w:eastAsia="en-IE"/>
              </w:rPr>
            </w:pPr>
            <w:r w:rsidRPr="00E35C47">
              <w:rPr>
                <w:rFonts w:ascii="Times New Roman" w:hAnsi="Times New Roman"/>
                <w:sz w:val="20"/>
                <w:szCs w:val="20"/>
                <w:lang w:eastAsia="en-IE"/>
              </w:rPr>
              <w:t>2.1</w:t>
            </w:r>
            <w:r w:rsidRPr="00E35C47">
              <w:rPr>
                <w:rFonts w:ascii="Times New Roman" w:hAnsi="Times New Roman"/>
                <w:sz w:val="20"/>
                <w:szCs w:val="20"/>
                <w:vertAlign w:val="superscript"/>
                <w:lang w:eastAsia="en-IE"/>
              </w:rPr>
              <w:t>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White breads &amp; rolls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48.2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±1.67</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Wholemeal &amp; brown breads &amp; rolls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53.1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51.7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±1.7</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"Ready-to-eat" breakfast cereals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22.6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±0.8</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22.7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Other breakfast cereals (e.g. porridge)</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39.4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±2.2</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40.7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±2.77</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0.5</w:t>
            </w:r>
            <w:r w:rsidRPr="00E35C47">
              <w:rPr>
                <w:rFonts w:ascii="Times New Roman" w:hAnsi="Times New Roman"/>
                <w:sz w:val="20"/>
                <w:szCs w:val="20"/>
                <w:vertAlign w:val="superscript"/>
                <w:lang w:eastAsia="en-IE"/>
              </w:rPr>
              <w:t xml:space="preserve"> b</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Potatoes  (e.g. boiled, mashed, baked)</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75.2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±1.9</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78.0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±2.5</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1.5</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Processed &amp; homemade potato products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2.3</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Chipped, fried &amp; roasted potatoes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39.7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38.5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±1.5</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2.3</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Dairy</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Whole milk</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98.9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±4.2</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95.0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±5.0</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w:t>
            </w:r>
            <w:r w:rsidRPr="00E35C47">
              <w:rPr>
                <w:rFonts w:ascii="Times New Roman" w:hAnsi="Times New Roman"/>
                <w:sz w:val="20"/>
                <w:szCs w:val="20"/>
                <w:vertAlign w:val="superscript"/>
                <w:lang w:eastAsia="en-IE"/>
              </w:rPr>
              <w:t xml:space="preserve"> c</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Low fat, skimmed and fortified milks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94.7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±3.7</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93.8</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±4.6</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w:t>
            </w:r>
            <w:r w:rsidRPr="00E35C47">
              <w:rPr>
                <w:rFonts w:ascii="Times New Roman" w:hAnsi="Times New Roman"/>
                <w:sz w:val="20"/>
                <w:szCs w:val="20"/>
                <w:vertAlign w:val="superscript"/>
                <w:lang w:eastAsia="en-IE"/>
              </w:rPr>
              <w:t xml:space="preserve"> c</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Other milks (e.g. processed milks)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19.4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±2.3</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w:t>
            </w:r>
            <w:r w:rsidRPr="00E35C47">
              <w:rPr>
                <w:rFonts w:ascii="Times New Roman" w:hAnsi="Times New Roman"/>
                <w:sz w:val="20"/>
                <w:szCs w:val="20"/>
                <w:vertAlign w:val="superscript"/>
                <w:lang w:eastAsia="en-IE"/>
              </w:rPr>
              <w:t xml:space="preserve"> c</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Creams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6.4</w:t>
            </w:r>
            <w:r w:rsidRPr="00E35C47">
              <w:rPr>
                <w:rFonts w:ascii="Times New Roman" w:hAnsi="Times New Roman"/>
                <w:sz w:val="20"/>
                <w:szCs w:val="20"/>
                <w:vertAlign w:val="superscript"/>
                <w:lang w:eastAsia="en-IE"/>
              </w:rPr>
              <w:t xml:space="preserve"> c</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Cheeses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9.2</w:t>
            </w:r>
            <w:r w:rsidRPr="00E35C47">
              <w:rPr>
                <w:rFonts w:ascii="Times New Roman" w:hAnsi="Times New Roman"/>
                <w:sz w:val="20"/>
                <w:szCs w:val="20"/>
                <w:vertAlign w:val="superscript"/>
                <w:lang w:eastAsia="en-IE"/>
              </w:rPr>
              <w:t xml:space="preserve"> c</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Yoghurts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32.3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33.3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±1.8</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Butter</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11.9</w:t>
            </w:r>
            <w:r w:rsidRPr="00E35C47">
              <w:rPr>
                <w:rFonts w:ascii="Times New Roman" w:hAnsi="Times New Roman"/>
                <w:sz w:val="20"/>
                <w:szCs w:val="20"/>
                <w:vertAlign w:val="superscript"/>
                <w:lang w:eastAsia="en-IE"/>
              </w:rPr>
              <w:t xml:space="preserve"> c</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Vegetables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Green vegetables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15.2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±0.8</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1.7</w:t>
            </w:r>
            <w:r w:rsidRPr="00E35C47">
              <w:rPr>
                <w:rFonts w:ascii="Times New Roman" w:hAnsi="Times New Roman"/>
                <w:sz w:val="20"/>
                <w:szCs w:val="20"/>
                <w:vertAlign w:val="superscript"/>
                <w:lang w:eastAsia="en-IE"/>
              </w:rPr>
              <w:t xml:space="preserve"> b</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Carrots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13.8</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14.2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0.5</w:t>
            </w:r>
            <w:r w:rsidRPr="00E35C47">
              <w:rPr>
                <w:rFonts w:ascii="Times New Roman" w:hAnsi="Times New Roman"/>
                <w:sz w:val="20"/>
                <w:szCs w:val="20"/>
                <w:vertAlign w:val="superscript"/>
                <w:lang w:eastAsia="en-IE"/>
              </w:rPr>
              <w:t xml:space="preserve"> b</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Salad vegetables  (e.g. lettuce)</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20.7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±0.7</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21.0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±0.9</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0.7</w:t>
            </w:r>
            <w:r w:rsidRPr="00E35C47">
              <w:rPr>
                <w:rFonts w:ascii="Times New Roman" w:hAnsi="Times New Roman"/>
                <w:sz w:val="20"/>
                <w:szCs w:val="20"/>
                <w:vertAlign w:val="superscript"/>
                <w:lang w:eastAsia="en-IE"/>
              </w:rPr>
              <w:t xml:space="preserve"> b</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Other vegetables  (e.g. onions)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26.1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±0.8</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26.0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0.4</w:t>
            </w:r>
            <w:r w:rsidRPr="00E35C47">
              <w:rPr>
                <w:rFonts w:ascii="Times New Roman" w:hAnsi="Times New Roman"/>
                <w:sz w:val="20"/>
                <w:szCs w:val="20"/>
                <w:vertAlign w:val="superscript"/>
                <w:lang w:eastAsia="en-IE"/>
              </w:rPr>
              <w:t xml:space="preserve"> b</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Tinned or jarred vegetables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4.6</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Fruit</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Bananas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26.9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26.9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1.3</w:t>
            </w:r>
            <w:r w:rsidRPr="00E35C47">
              <w:rPr>
                <w:rFonts w:ascii="Times New Roman" w:hAnsi="Times New Roman"/>
                <w:sz w:val="20"/>
                <w:szCs w:val="20"/>
                <w:vertAlign w:val="superscript"/>
                <w:lang w:eastAsia="en-IE"/>
              </w:rPr>
              <w:t xml:space="preserve"> b</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Other fruits ±e.g. apples, pears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52.0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±2.0</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51.8</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±2.5</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0.4</w:t>
            </w:r>
            <w:r w:rsidRPr="00E35C47">
              <w:rPr>
                <w:rFonts w:ascii="Times New Roman" w:hAnsi="Times New Roman"/>
                <w:sz w:val="20"/>
                <w:szCs w:val="20"/>
                <w:vertAlign w:val="superscript"/>
                <w:lang w:eastAsia="en-IE"/>
              </w:rPr>
              <w:t xml:space="preserve"> b</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Citrus fruit</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15.6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±1.1</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±1.5</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0.5</w:t>
            </w:r>
            <w:r w:rsidRPr="00E35C47">
              <w:rPr>
                <w:rFonts w:ascii="Times New Roman" w:hAnsi="Times New Roman"/>
                <w:sz w:val="20"/>
                <w:szCs w:val="20"/>
                <w:vertAlign w:val="superscript"/>
                <w:lang w:eastAsia="en-IE"/>
              </w:rPr>
              <w:t xml:space="preserve"> b</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Tinned fruit</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1.9</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Pulses, legumes, nuts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 xml:space="preserve">Vegetable &amp; </w:t>
            </w:r>
            <w:r w:rsidRPr="000419EA">
              <w:rPr>
                <w:rFonts w:ascii="Times New Roman" w:hAnsi="Times New Roman"/>
                <w:i/>
                <w:sz w:val="20"/>
                <w:szCs w:val="20"/>
              </w:rPr>
              <w:t>pulse dishes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19.1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19.0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±1.4</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Peas, beans &amp; lentils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17.5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±0.7</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±0.9</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1.5</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Nuts &amp; seeds, herbs &amp; spices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2.8</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2.1</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Red meat</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Beef &amp; veal</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18.2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±0.8</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18.3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35.4</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Lamb</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32.2</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Beef &amp; veal dishes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33.1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±1.5</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33.2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±1.8</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13.8</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i/>
                <w:sz w:val="20"/>
                <w:szCs w:val="20"/>
                <w:u w:val="single"/>
              </w:rPr>
              <w:t>Lamb</w:t>
            </w:r>
            <w:r w:rsidRPr="000419EA">
              <w:rPr>
                <w:rFonts w:ascii="Times New Roman" w:hAnsi="Times New Roman"/>
                <w:sz w:val="20"/>
                <w:szCs w:val="20"/>
              </w:rPr>
              <w:t>, pork &amp; bacon dishes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6.0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±0.9</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9.7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 xml:space="preserve">Offal &amp; offal dishes </w:t>
            </w:r>
            <w:r w:rsidRPr="000419EA">
              <w:rPr>
                <w:rFonts w:ascii="Times New Roman" w:hAnsi="Times New Roman"/>
                <w:i/>
                <w:sz w:val="20"/>
                <w:szCs w:val="20"/>
                <w:u w:val="single"/>
              </w:rPr>
              <w:t>(ruminant)</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9.7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Burgers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8.3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7.7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±0.7</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35.4</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Pork, poultry, eggs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Eggs &amp; egg dishes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15.9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±0.7</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4.7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Bacon &amp; ham</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21.0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21.5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±0.8</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7.9</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Pork</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6.2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6.5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8.5</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Chicken,  turkey &amp; game  (e.g. pheasant)</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28.3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±0.9</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27.7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±1.1</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7.0</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Poultry &amp; game dishes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23.1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20.8</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±1.4</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3.9</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 xml:space="preserve">Lamb, </w:t>
            </w:r>
            <w:r w:rsidRPr="000419EA">
              <w:rPr>
                <w:rFonts w:ascii="Times New Roman" w:hAnsi="Times New Roman"/>
                <w:i/>
                <w:sz w:val="20"/>
                <w:szCs w:val="20"/>
                <w:u w:val="single"/>
              </w:rPr>
              <w:t>pork &amp; bacon dishes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6.0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±0.9</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9.7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 xml:space="preserve">Offal &amp; offal dishes </w:t>
            </w:r>
            <w:r w:rsidRPr="000419EA">
              <w:rPr>
                <w:rFonts w:ascii="Times New Roman" w:hAnsi="Times New Roman"/>
                <w:i/>
                <w:sz w:val="20"/>
                <w:szCs w:val="20"/>
                <w:u w:val="single"/>
              </w:rPr>
              <w:t>(non-ruminant)</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9.7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Fish</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Fish &amp; fish products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24.5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±0.9</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24.3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±1.1</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9.4</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Fish dishes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4.7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Processed meat</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Sausages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10.1</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Meat pies &amp; pastries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9.8</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Meat products  (e.g. processed meats)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±0.7</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15.7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±0.8</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8.7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Savouries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Savouries ±e.g. pizzas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28.0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±1.3</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27.5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±1.7</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5.6</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Savoury snacks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4.5</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Non-chocolate confectionery</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High sugar snacks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Other breads  (e.g. scones, croissants)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12.3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±0.7</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12.4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±0.8</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Biscuits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12.5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12.6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2.4</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Cakes, pastries and buns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17.1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±0.8</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16.9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±0.97</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2.6</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Ice-creams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5.8</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6.1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5.0</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Puddings &amp; chilled desserts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8.3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8.4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±0.7</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3.2</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Milk puddings  (e.g. rice pudding &amp; custards)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±0.6</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±0.7</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3.2</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Sugars, syrups, preserves &amp; sweeteners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3.5</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Chocolate confectionery</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2.9</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Fats, oils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Low fat spreads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20.9</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Other spreading fats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7.3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6.9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20.9</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Oils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2.7</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Hard cooking fats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11.9</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Carbonated beverages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Carbonated beverages ±non-diet</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71.2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±3.9</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72.4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±5.1</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Diet carbonated beverages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21.3</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±2.0</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20.9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±2.5</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2.0</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nil"/>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Other beverages</w:t>
            </w:r>
          </w:p>
        </w:tc>
        <w:tc>
          <w:tcPr>
            <w:tcW w:w="3458" w:type="dxa"/>
            <w:tcBorders>
              <w:top w:val="single" w:sz="4" w:space="0" w:color="auto"/>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Teas</w:t>
            </w:r>
          </w:p>
        </w:tc>
        <w:tc>
          <w:tcPr>
            <w:tcW w:w="1122" w:type="dxa"/>
            <w:gridSpan w:val="2"/>
            <w:tcBorders>
              <w:top w:val="single" w:sz="4" w:space="0" w:color="auto"/>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445.9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±10.5</w:t>
            </w:r>
          </w:p>
        </w:tc>
        <w:tc>
          <w:tcPr>
            <w:tcW w:w="721" w:type="dxa"/>
            <w:tcBorders>
              <w:top w:val="single" w:sz="4" w:space="0" w:color="auto"/>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447.8</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±12.7</w:t>
            </w:r>
          </w:p>
        </w:tc>
        <w:tc>
          <w:tcPr>
            <w:tcW w:w="851" w:type="dxa"/>
            <w:tcBorders>
              <w:top w:val="single" w:sz="4" w:space="0" w:color="auto"/>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0.0</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 xml:space="preserve">Coffees </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124.0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±5.5</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118.8</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±6.6</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0.6</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Other beverages  (e.g. water)</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527.4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±15.4</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502.7</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±18.3</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0.3</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nil"/>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nil"/>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Squashes, cordials and fruit juice drinks</w:t>
            </w:r>
          </w:p>
        </w:tc>
        <w:tc>
          <w:tcPr>
            <w:tcW w:w="1122" w:type="dxa"/>
            <w:gridSpan w:val="2"/>
            <w:tcBorders>
              <w:top w:val="nil"/>
              <w:left w:val="single" w:sz="4" w:space="0" w:color="auto"/>
              <w:bottom w:val="nil"/>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±1.0</w:t>
            </w:r>
          </w:p>
        </w:tc>
        <w:tc>
          <w:tcPr>
            <w:tcW w:w="721" w:type="dxa"/>
            <w:tcBorders>
              <w:top w:val="nil"/>
              <w:left w:val="nil"/>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9.9</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±1.2</w:t>
            </w:r>
          </w:p>
        </w:tc>
        <w:tc>
          <w:tcPr>
            <w:tcW w:w="851" w:type="dxa"/>
            <w:tcBorders>
              <w:top w:val="nil"/>
              <w:left w:val="single" w:sz="4" w:space="0" w:color="auto"/>
              <w:bottom w:val="nil"/>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nil"/>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2.4</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nil"/>
              <w:left w:val="nil"/>
              <w:bottom w:val="single" w:sz="4" w:space="0" w:color="auto"/>
              <w:right w:val="nil"/>
            </w:tcBorders>
          </w:tcPr>
          <w:p w:rsidR="00261FB9" w:rsidRPr="000419EA" w:rsidRDefault="00261FB9" w:rsidP="004852AB">
            <w:pPr>
              <w:spacing w:after="0"/>
              <w:rPr>
                <w:rFonts w:ascii="Times New Roman" w:hAnsi="Times New Roman"/>
                <w:b/>
                <w:sz w:val="20"/>
                <w:szCs w:val="20"/>
              </w:rPr>
            </w:pPr>
          </w:p>
        </w:tc>
        <w:tc>
          <w:tcPr>
            <w:tcW w:w="3458" w:type="dxa"/>
            <w:tcBorders>
              <w:top w:val="nil"/>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Fruit juices</w:t>
            </w:r>
          </w:p>
        </w:tc>
        <w:tc>
          <w:tcPr>
            <w:tcW w:w="1122" w:type="dxa"/>
            <w:gridSpan w:val="2"/>
            <w:tcBorders>
              <w:top w:val="nil"/>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49.5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±2.6</w:t>
            </w:r>
          </w:p>
        </w:tc>
        <w:tc>
          <w:tcPr>
            <w:tcW w:w="721" w:type="dxa"/>
            <w:tcBorders>
              <w:top w:val="nil"/>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47.4</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±2.7</w:t>
            </w:r>
          </w:p>
        </w:tc>
        <w:tc>
          <w:tcPr>
            <w:tcW w:w="851" w:type="dxa"/>
            <w:tcBorders>
              <w:top w:val="nil"/>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0.1</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nil"/>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2.4</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single" w:sz="4" w:space="0" w:color="auto"/>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Alcoholic beverages</w:t>
            </w:r>
          </w:p>
        </w:tc>
        <w:tc>
          <w:tcPr>
            <w:tcW w:w="3458" w:type="dxa"/>
            <w:tcBorders>
              <w:top w:val="single" w:sz="4" w:space="0" w:color="auto"/>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Alcoholic beverages</w:t>
            </w:r>
          </w:p>
        </w:tc>
        <w:tc>
          <w:tcPr>
            <w:tcW w:w="1122" w:type="dxa"/>
            <w:gridSpan w:val="2"/>
            <w:tcBorders>
              <w:top w:val="single" w:sz="4" w:space="0" w:color="auto"/>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300.5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±14.3</w:t>
            </w:r>
          </w:p>
        </w:tc>
        <w:tc>
          <w:tcPr>
            <w:tcW w:w="721" w:type="dxa"/>
            <w:tcBorders>
              <w:top w:val="single" w:sz="4" w:space="0" w:color="auto"/>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284.2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±17.1</w:t>
            </w:r>
          </w:p>
        </w:tc>
        <w:tc>
          <w:tcPr>
            <w:tcW w:w="851" w:type="dxa"/>
            <w:tcBorders>
              <w:top w:val="single" w:sz="4" w:space="0" w:color="auto"/>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0.5</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1.5</w:t>
            </w:r>
            <w:r w:rsidRPr="00E35C47">
              <w:rPr>
                <w:rFonts w:ascii="Times New Roman" w:hAnsi="Times New Roman"/>
                <w:sz w:val="20"/>
                <w:szCs w:val="20"/>
                <w:vertAlign w:val="superscript"/>
                <w:lang w:eastAsia="en-IE"/>
              </w:rPr>
              <w:t xml:space="preserve"> a</w:t>
            </w:r>
          </w:p>
        </w:tc>
      </w:tr>
      <w:tr w:rsidR="00261FB9" w:rsidRPr="000419EA" w:rsidTr="004852AB">
        <w:trPr>
          <w:trHeight w:val="300"/>
          <w:jc w:val="center"/>
        </w:trPr>
        <w:tc>
          <w:tcPr>
            <w:tcW w:w="1753" w:type="dxa"/>
            <w:tcBorders>
              <w:top w:val="single" w:sz="4" w:space="0" w:color="auto"/>
              <w:left w:val="nil"/>
              <w:bottom w:val="single" w:sz="4" w:space="0" w:color="auto"/>
              <w:right w:val="nil"/>
            </w:tcBorders>
          </w:tcPr>
          <w:p w:rsidR="00261FB9" w:rsidRPr="000419EA" w:rsidRDefault="00261FB9" w:rsidP="004852AB">
            <w:pPr>
              <w:spacing w:after="0"/>
              <w:rPr>
                <w:rFonts w:ascii="Times New Roman" w:hAnsi="Times New Roman"/>
                <w:b/>
                <w:sz w:val="20"/>
                <w:szCs w:val="20"/>
              </w:rPr>
            </w:pPr>
            <w:r w:rsidRPr="000419EA">
              <w:rPr>
                <w:rFonts w:ascii="Times New Roman" w:hAnsi="Times New Roman"/>
                <w:b/>
                <w:sz w:val="20"/>
                <w:szCs w:val="20"/>
              </w:rPr>
              <w:t>Miscellaneous</w:t>
            </w:r>
          </w:p>
        </w:tc>
        <w:tc>
          <w:tcPr>
            <w:tcW w:w="3458" w:type="dxa"/>
            <w:tcBorders>
              <w:top w:val="single" w:sz="4" w:space="0" w:color="auto"/>
              <w:left w:val="nil"/>
              <w:bottom w:val="single" w:sz="4" w:space="0" w:color="auto"/>
              <w:right w:val="single" w:sz="4" w:space="0" w:color="auto"/>
            </w:tcBorders>
            <w:noWrap/>
          </w:tcPr>
          <w:p w:rsidR="00261FB9" w:rsidRPr="000419EA" w:rsidRDefault="00261FB9" w:rsidP="004852AB">
            <w:pPr>
              <w:spacing w:after="0"/>
              <w:rPr>
                <w:rFonts w:ascii="Times New Roman" w:hAnsi="Times New Roman"/>
                <w:sz w:val="20"/>
                <w:szCs w:val="20"/>
              </w:rPr>
            </w:pPr>
            <w:r w:rsidRPr="000419EA">
              <w:rPr>
                <w:rFonts w:ascii="Times New Roman" w:hAnsi="Times New Roman"/>
                <w:sz w:val="20"/>
                <w:szCs w:val="20"/>
              </w:rPr>
              <w:t>Soups, sauces &amp; miscellaneous foods</w:t>
            </w:r>
          </w:p>
        </w:tc>
        <w:tc>
          <w:tcPr>
            <w:tcW w:w="1122" w:type="dxa"/>
            <w:gridSpan w:val="2"/>
            <w:tcBorders>
              <w:top w:val="single" w:sz="4" w:space="0" w:color="auto"/>
              <w:left w:val="single" w:sz="4" w:space="0" w:color="auto"/>
              <w:bottom w:val="single" w:sz="4" w:space="0" w:color="auto"/>
              <w:right w:val="nil"/>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56.6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±1.8</w:t>
            </w:r>
          </w:p>
        </w:tc>
        <w:tc>
          <w:tcPr>
            <w:tcW w:w="721" w:type="dxa"/>
            <w:tcBorders>
              <w:top w:val="single" w:sz="4" w:space="0" w:color="auto"/>
              <w:left w:val="nil"/>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56.6</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0.2</w:t>
            </w:r>
          </w:p>
          <w:p w:rsidR="00261FB9" w:rsidRPr="000419EA" w:rsidRDefault="00261FB9" w:rsidP="004852AB">
            <w:pPr>
              <w:spacing w:after="0"/>
              <w:jc w:val="center"/>
              <w:rPr>
                <w:rFonts w:ascii="Times New Roman" w:hAnsi="Times New Roman"/>
                <w:sz w:val="20"/>
                <w:szCs w:val="20"/>
              </w:rPr>
            </w:pPr>
            <w:r w:rsidRPr="000419EA">
              <w:rPr>
                <w:rFonts w:ascii="Times New Roman" w:hAnsi="Times New Roman"/>
                <w:sz w:val="20"/>
                <w:szCs w:val="20"/>
              </w:rPr>
              <w:t>±0.0</w:t>
            </w:r>
          </w:p>
        </w:tc>
        <w:tc>
          <w:tcPr>
            <w:tcW w:w="1337" w:type="dxa"/>
            <w:tcBorders>
              <w:top w:val="single" w:sz="4" w:space="0" w:color="auto"/>
              <w:bottom w:val="single" w:sz="4" w:space="0" w:color="auto"/>
              <w:right w:val="nil"/>
            </w:tcBorders>
          </w:tcPr>
          <w:p w:rsidR="00261FB9" w:rsidRPr="00E35C47" w:rsidRDefault="00261FB9" w:rsidP="004852AB">
            <w:pPr>
              <w:spacing w:after="0" w:line="240" w:lineRule="auto"/>
              <w:jc w:val="center"/>
              <w:rPr>
                <w:rFonts w:ascii="Times New Roman" w:hAnsi="Times New Roman"/>
                <w:sz w:val="20"/>
                <w:szCs w:val="20"/>
                <w:lang w:eastAsia="en-IE"/>
              </w:rPr>
            </w:pPr>
            <w:r w:rsidRPr="00E35C47">
              <w:rPr>
                <w:rFonts w:ascii="Times New Roman" w:hAnsi="Times New Roman"/>
                <w:sz w:val="20"/>
                <w:szCs w:val="20"/>
                <w:lang w:eastAsia="en-IE"/>
              </w:rPr>
              <w:t>3.9</w:t>
            </w:r>
            <w:r w:rsidRPr="00E35C47">
              <w:rPr>
                <w:rFonts w:ascii="Times New Roman" w:hAnsi="Times New Roman"/>
                <w:sz w:val="20"/>
                <w:szCs w:val="20"/>
                <w:vertAlign w:val="superscript"/>
                <w:lang w:eastAsia="en-IE"/>
              </w:rPr>
              <w:t xml:space="preserve"> a</w:t>
            </w:r>
          </w:p>
        </w:tc>
      </w:tr>
    </w:tbl>
    <w:p w:rsidR="00261FB9" w:rsidRPr="004306DF" w:rsidRDefault="00261FB9" w:rsidP="00440387">
      <w:pPr>
        <w:spacing w:before="240" w:line="240" w:lineRule="auto"/>
        <w:jc w:val="center"/>
        <w:rPr>
          <w:rFonts w:ascii="Times New Roman" w:hAnsi="Times New Roman"/>
          <w:b/>
          <w:sz w:val="18"/>
          <w:szCs w:val="18"/>
        </w:rPr>
      </w:pPr>
      <w:r w:rsidRPr="00E35C47">
        <w:rPr>
          <w:rFonts w:ascii="Times New Roman" w:hAnsi="Times New Roman"/>
          <w:b/>
          <w:sz w:val="18"/>
          <w:szCs w:val="18"/>
        </w:rPr>
        <w:t xml:space="preserve">GHGE estimate drawn from: a = </w:t>
      </w:r>
      <w:r w:rsidRPr="00E35C47">
        <w:rPr>
          <w:rFonts w:ascii="Times New Roman" w:hAnsi="Times New Roman"/>
          <w:b/>
          <w:sz w:val="18"/>
          <w:szCs w:val="18"/>
        </w:rPr>
        <w:fldChar w:fldCharType="begin" w:fldLock="1"/>
      </w:r>
      <w:r w:rsidRPr="00E35C47">
        <w:rPr>
          <w:rFonts w:ascii="Times New Roman" w:hAnsi="Times New Roman"/>
          <w:b/>
          <w:sz w:val="18"/>
          <w:szCs w:val="18"/>
        </w:rPr>
        <w:instrText>ADDIN CSL_CITATION { "citationItems" : [ { "id" : "ITEM-1", "itemData" : { "DOI" : "10.1007/s10584-015-1329-y", "ISSN" : "0165-0009", "author" : [ { "dropping-particle" : "", "family" : "Green", "given" : "Rosemary", "non-dropping-particle" : "", "parse-names" : false, "suffix" : "" }, { "dropping-particle" : "", "family" : "Milner", "given" : "James", "non-dropping-particle" : "", "parse-names" : false, "suffix" : "" }, { "dropping-particle" : "", "family" : "Dangour", "given" : "Alan D.", "non-dropping-particle" : "", "parse-names" : false, "suffix" : "" }, { "dropping-particle" : "", "family" : "Haines", "given" : "Andy", "non-dropping-particle" : "", "parse-names" : false, "suffix" : "" }, { "dropping-particle" : "", "family" : "Chalabi", "given" : "Zaid", "non-dropping-particle" : "", "parse-names" : false, "suffix" : "" }, { "dropping-particle" : "", "family" : "Markandya", "given" : "Anil", "non-dropping-particle" : "", "parse-names" : false, "suffix" : "" }, { "dropping-particle" : "", "family" : "Spadaro", "given" : "Joseph", "non-dropping-particle" : "", "parse-names" : false, "suffix" : "" }, { "dropping-particle" : "", "family" : "Wilkinson", "given" : "Paul", "non-dropping-particle" : "", "parse-names" : false, "suffix" : "" } ], "container-title" : "Climatic Change", "id" : "ITEM-1", "issue" : "1-2", "issued" : { "date-parts" : [ [ "2015", "1", "26" ] ] }, "language" : "en", "page" : "253-265", "publisher" : "Springer Netherlands", "title" : "The potential to reduce greenhouse gas emissions in the UK through healthy and realistic dietary change", "type" : "article-journal", "volume" : "129" }, "uris" : [ "http://www.mendeley.com/documents/?uuid=12297d74-f440-4abe-a6db-9d02414abd70" ] } ], "mendeley" : { "formattedCitation" : "&lt;sup&gt;(22)&lt;/sup&gt;", "manualFormatting" : "Green et al. (2015", "plainTextFormattedCitation" : "(22)", "previouslyFormattedCitation" : "&lt;sup&gt;(22)&lt;/sup&gt;" }, "properties" : { "noteIndex" : 0 }, "schema" : "https://github.com/citation-style-language/schema/raw/master/csl-citation.json" }</w:instrText>
      </w:r>
      <w:r w:rsidRPr="00E35C47">
        <w:rPr>
          <w:rFonts w:ascii="Times New Roman" w:hAnsi="Times New Roman"/>
          <w:b/>
          <w:sz w:val="18"/>
          <w:szCs w:val="18"/>
        </w:rPr>
        <w:fldChar w:fldCharType="separate"/>
      </w:r>
      <w:r w:rsidRPr="00E35C47">
        <w:rPr>
          <w:rFonts w:ascii="Times New Roman" w:hAnsi="Times New Roman"/>
          <w:b/>
          <w:noProof/>
          <w:sz w:val="18"/>
          <w:szCs w:val="18"/>
        </w:rPr>
        <w:t>Green et al. (2015</w:t>
      </w:r>
      <w:r w:rsidRPr="00E35C47">
        <w:rPr>
          <w:rFonts w:ascii="Times New Roman" w:hAnsi="Times New Roman"/>
          <w:b/>
          <w:sz w:val="18"/>
          <w:szCs w:val="18"/>
        </w:rPr>
        <w:fldChar w:fldCharType="end"/>
      </w:r>
      <w:r w:rsidRPr="00E35C47">
        <w:rPr>
          <w:rFonts w:ascii="Times New Roman" w:hAnsi="Times New Roman"/>
          <w:b/>
          <w:sz w:val="18"/>
          <w:szCs w:val="18"/>
        </w:rPr>
        <w:t xml:space="preserve">); b = </w:t>
      </w:r>
      <w:r>
        <w:rPr>
          <w:rFonts w:ascii="Times New Roman" w:hAnsi="Times New Roman"/>
          <w:b/>
          <w:sz w:val="18"/>
          <w:szCs w:val="18"/>
        </w:rPr>
        <w:fldChar w:fldCharType="begin" w:fldLock="1"/>
      </w:r>
      <w:r>
        <w:rPr>
          <w:rFonts w:ascii="Times New Roman" w:hAnsi="Times New Roman"/>
          <w:b/>
          <w:sz w:val="18"/>
          <w:szCs w:val="18"/>
        </w:rPr>
        <w:instrText>ADDIN CSL_CITATION { "citationItems" : [ { "id" : "ITEM-1", "itemData" : { "DOI" : "10.1111/jiec.12174", "ISSN" : "10881980", "author" : [ { "dropping-particle" : "", "family" : "Heller", "given" : "Martin C.", "non-dropping-particle" : "", "parse-names" : false, "suffix" : "" }, { "dropping-particle" : "", "family" : "Keoleian", "given" : "Gregory A.", "non-dropping-particle" : "", "parse-names" : false, "suffix" : "" } ], "container-title" : "Journal of Industrial Ecology", "id" : "ITEM-1", "issue" : "3", "issued" : { "date-parts" : [ [ "2015", "6", "4" ] ] }, "page" : "391-401", "title" : "Greenhouse Gas Emission Estimates of U.S. Dietary Choices and Food Loss", "type" : "article-journal", "volume" : "19" }, "uris" : [ "http://www.mendeley.com/documents/?uuid=e4ee6117-f20e-4699-a720-878ce913d778" ] } ], "mendeley" : { "formattedCitation" : "&lt;sup&gt;(41)&lt;/sup&gt;", "manualFormatting" : "Heller and Keoleian (2015", "plainTextFormattedCitation" : "(41)", "previouslyFormattedCitation" : "&lt;sup&gt;(41)&lt;/sup&gt;" }, "properties" : { "noteIndex" : 0 }, "schema" : "https://github.com/citation-style-language/schema/raw/master/csl-citation.json" }</w:instrText>
      </w:r>
      <w:r>
        <w:rPr>
          <w:rFonts w:ascii="Times New Roman" w:hAnsi="Times New Roman"/>
          <w:b/>
          <w:sz w:val="18"/>
          <w:szCs w:val="18"/>
        </w:rPr>
        <w:fldChar w:fldCharType="separate"/>
      </w:r>
      <w:r w:rsidRPr="00E35C47">
        <w:rPr>
          <w:rFonts w:ascii="Times New Roman" w:hAnsi="Times New Roman"/>
          <w:b/>
          <w:noProof/>
          <w:sz w:val="18"/>
          <w:szCs w:val="18"/>
        </w:rPr>
        <w:t>Heller and Keoleian (2015</w:t>
      </w:r>
      <w:r>
        <w:rPr>
          <w:rFonts w:ascii="Times New Roman" w:hAnsi="Times New Roman"/>
          <w:b/>
          <w:sz w:val="18"/>
          <w:szCs w:val="18"/>
        </w:rPr>
        <w:fldChar w:fldCharType="end"/>
      </w:r>
      <w:r w:rsidRPr="00E35C47">
        <w:rPr>
          <w:rFonts w:ascii="Times New Roman" w:hAnsi="Times New Roman"/>
          <w:b/>
          <w:sz w:val="18"/>
          <w:szCs w:val="18"/>
        </w:rPr>
        <w:t xml:space="preserve">); c = </w:t>
      </w:r>
      <w:r>
        <w:rPr>
          <w:rFonts w:ascii="Times New Roman" w:hAnsi="Times New Roman"/>
          <w:b/>
          <w:sz w:val="18"/>
          <w:szCs w:val="18"/>
        </w:rPr>
        <w:fldChar w:fldCharType="begin" w:fldLock="1"/>
      </w:r>
      <w:r>
        <w:rPr>
          <w:rFonts w:ascii="Times New Roman" w:hAnsi="Times New Roman"/>
          <w:b/>
          <w:sz w:val="18"/>
          <w:szCs w:val="18"/>
        </w:rPr>
        <w:instrText>ADDIN CSL_CITATION { "citationItems" : [ { "id" : "ITEM-1", "itemData" : { "DOI" : "10.1016/j.jclepro.2015.08.025", "ISSN" : "09596526", "abstract" : "In 2015, the milk quota system that is in place in Europe is to be abolished, instigating an increase in milk production. This increase will aid in addressing the world's ever growing demand for food, but will incur increased stresses on the environmental impact and sustainability of the dairy industry. In this paper, an environmental life cycle assessment, which is performed in order to estimate the global warming potential (GWP) associated with 11 dairy products in the Republic of Ireland, is presented. The primary aim of the study is to examine the GWP associated with the processing of raw milk into the various products. However, the GWP contribution from dairy farms producing the raw milk is also included. Therefore, the system boundary utilised in this study is cradle-to-processing factory gate (dairy, farm, raw milk transportation and dairy processing). Furthermore, when performing the analysis, the 11 dairy products are clustered into 6 product groups: fluid milk (whole milk, skimmed and semi-skimmed milk); butter; cheese; cream; milk powders (buttermilk powders, whole milk powders, skimmed milk powders, and chocolate crumb); and whey powders (whey powders and proteins). The total GWP was calculated for each product group and mass allocation was used to derive the GWP of each product within that group. Data from 12 companies (18 dairy processing plants), which account for approximately 92% of the cow's milk processed in the Republic of Ireland, was used in this study to accurately assess the Irish dairy processing industry. From the analysis, it was found that raw milk production accounted for between 80.8% and 97.3% of the total GWP, depending on the amount of raw milk per kg of product. Additionally, raw milk transportation accounted for approximately 0.4% of the GWP, with the remainder contributed by the processing phase. The main contributor to GWP in the processing phase was direct energy use within the plant (electricity, natural gas and other fuel), which accounts for between 91 and 98% of the GWP, depending on the product. Furthermore, even though raw milk production is the most significant contributor to the total GWP of each dairy product, it was observed that energy use and water consumption in the processing phase were of the same magnitude as that of the production phase.", "author" : [ { "dropping-particle" : "", "family" : "Finnegan", "given" : "William", "non-dropping-particle" : "", "parse-names" : false, "suffix" : "" }, { "dropping-particle" : "", "family" : "Goggins", "given" : "Jamie", "non-dropping-particle" : "", "parse-names" : false, "suffix" : "" }, { "dropping-particle" : "", "family" : "Clifford", "given" : "Eoghan", "non-dropping-particle" : "", "parse-names" : false, "suffix" : "" }, { "dropping-particle" : "", "family" : "Zhan", "given" : "Xinmin", "non-dropping-particle" : "", "parse-names" : false, "suffix" : "" } ], "container-title" : "Journal of Cleaner Production", "id" : "ITEM-1", "issued" : { "date-parts" : [ [ "2015", "8" ] ] }, "title" : "Global warming potential associated with dairy products in the Republic of Ireland", "type" : "article-journal" }, "uris" : [ "http://www.mendeley.com/documents/?uuid=f3d1e074-d026-41cf-a211-04ab44c51d5f" ] } ], "mendeley" : { "formattedCitation" : "&lt;sup&gt;(43)&lt;/sup&gt;", "manualFormatting" : "Finnegan et al., (2015", "plainTextFormattedCitation" : "(43)", "previouslyFormattedCitation" : "&lt;sup&gt;(43)&lt;/sup&gt;" }, "properties" : { "noteIndex" : 0 }, "schema" : "https://github.com/citation-style-language/schema/raw/master/csl-citation.json" }</w:instrText>
      </w:r>
      <w:r>
        <w:rPr>
          <w:rFonts w:ascii="Times New Roman" w:hAnsi="Times New Roman"/>
          <w:b/>
          <w:sz w:val="18"/>
          <w:szCs w:val="18"/>
        </w:rPr>
        <w:fldChar w:fldCharType="separate"/>
      </w:r>
      <w:r w:rsidRPr="00E35C47">
        <w:rPr>
          <w:rFonts w:ascii="Times New Roman" w:hAnsi="Times New Roman"/>
          <w:b/>
          <w:noProof/>
          <w:sz w:val="18"/>
          <w:szCs w:val="18"/>
        </w:rPr>
        <w:t>Finnegan et al., (2015</w:t>
      </w:r>
      <w:r>
        <w:rPr>
          <w:rFonts w:ascii="Times New Roman" w:hAnsi="Times New Roman"/>
          <w:b/>
          <w:sz w:val="18"/>
          <w:szCs w:val="18"/>
        </w:rPr>
        <w:fldChar w:fldCharType="end"/>
      </w:r>
      <w:r w:rsidRPr="00E35C47">
        <w:rPr>
          <w:rFonts w:ascii="Times New Roman" w:hAnsi="Times New Roman"/>
          <w:b/>
          <w:sz w:val="18"/>
          <w:szCs w:val="18"/>
        </w:rPr>
        <w:t>)</w:t>
      </w:r>
    </w:p>
    <w:p w:rsidR="00261FB9" w:rsidRDefault="00261FB9">
      <w:bookmarkStart w:id="0" w:name="_GoBack"/>
      <w:bookmarkEnd w:id="0"/>
    </w:p>
    <w:sectPr w:rsidR="00261FB9" w:rsidSect="00512996">
      <w:footerReference w:type="default" r:id="rId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FB9" w:rsidRDefault="00261FB9" w:rsidP="0060633A">
      <w:pPr>
        <w:spacing w:after="0" w:line="240" w:lineRule="auto"/>
      </w:pPr>
      <w:r>
        <w:separator/>
      </w:r>
    </w:p>
  </w:endnote>
  <w:endnote w:type="continuationSeparator" w:id="0">
    <w:p w:rsidR="00261FB9" w:rsidRDefault="00261FB9" w:rsidP="00606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B9" w:rsidRDefault="00261FB9" w:rsidP="00760D31">
    <w:pPr>
      <w:pStyle w:val="Footer"/>
      <w:jc w:val="right"/>
    </w:pPr>
    <w:fldSimple w:instr=" PAGE   \* MERGEFORMAT ">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FB9" w:rsidRDefault="00261FB9" w:rsidP="0060633A">
      <w:pPr>
        <w:spacing w:after="0" w:line="240" w:lineRule="auto"/>
      </w:pPr>
      <w:r>
        <w:separator/>
      </w:r>
    </w:p>
  </w:footnote>
  <w:footnote w:type="continuationSeparator" w:id="0">
    <w:p w:rsidR="00261FB9" w:rsidRDefault="00261FB9" w:rsidP="006063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387"/>
    <w:rsid w:val="000419EA"/>
    <w:rsid w:val="000A1AA3"/>
    <w:rsid w:val="001C0EAF"/>
    <w:rsid w:val="00261FB9"/>
    <w:rsid w:val="003D19B6"/>
    <w:rsid w:val="004306DF"/>
    <w:rsid w:val="00440387"/>
    <w:rsid w:val="00444ADB"/>
    <w:rsid w:val="004852AB"/>
    <w:rsid w:val="00512996"/>
    <w:rsid w:val="00574A79"/>
    <w:rsid w:val="0060633A"/>
    <w:rsid w:val="00760D31"/>
    <w:rsid w:val="00A7377E"/>
    <w:rsid w:val="00A97A56"/>
    <w:rsid w:val="00E35C4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87"/>
    <w:pPr>
      <w:spacing w:after="200" w:line="276" w:lineRule="auto"/>
    </w:pPr>
    <w:rPr>
      <w:lang w:val="en-I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440387"/>
    <w:pPr>
      <w:spacing w:line="240" w:lineRule="auto"/>
    </w:pPr>
    <w:rPr>
      <w:b/>
      <w:bCs/>
      <w:color w:val="5B9BD5"/>
      <w:sz w:val="18"/>
      <w:szCs w:val="18"/>
    </w:rPr>
  </w:style>
  <w:style w:type="paragraph" w:styleId="Footer">
    <w:name w:val="footer"/>
    <w:basedOn w:val="Normal"/>
    <w:link w:val="FooterChar"/>
    <w:uiPriority w:val="99"/>
    <w:rsid w:val="0044038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40387"/>
    <w:rPr>
      <w:rFonts w:cs="Times New Roman"/>
      <w:lang w:val="en-IE"/>
    </w:rPr>
  </w:style>
  <w:style w:type="character" w:styleId="LineNumber">
    <w:name w:val="line number"/>
    <w:basedOn w:val="DefaultParagraphFont"/>
    <w:uiPriority w:val="99"/>
    <w:semiHidden/>
    <w:rsid w:val="004403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4713</Words>
  <Characters>25311</Characters>
  <Application>Microsoft Office Outlook</Application>
  <DocSecurity>0</DocSecurity>
  <Lines>0</Lines>
  <Paragraphs>0</Paragraphs>
  <ScaleCrop>false</ScaleCrop>
  <Company>Cambridge University 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 1</dc:title>
  <dc:subject/>
  <dc:creator>John Nesbitt</dc:creator>
  <cp:keywords/>
  <dc:description/>
  <cp:lastModifiedBy>Gillian Watling</cp:lastModifiedBy>
  <cp:revision>3</cp:revision>
  <dcterms:created xsi:type="dcterms:W3CDTF">2016-09-02T10:13:00Z</dcterms:created>
  <dcterms:modified xsi:type="dcterms:W3CDTF">2016-09-02T12:02:00Z</dcterms:modified>
</cp:coreProperties>
</file>