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9E" w:rsidRDefault="007C219E" w:rsidP="009604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:rsidR="00960472" w:rsidRPr="00960472" w:rsidRDefault="00960472" w:rsidP="009604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472">
        <w:rPr>
          <w:rFonts w:ascii="Times New Roman" w:hAnsi="Times New Roman" w:cs="Times New Roman"/>
          <w:b/>
          <w:sz w:val="24"/>
          <w:szCs w:val="24"/>
          <w:lang w:val="en-US"/>
        </w:rPr>
        <w:t>DBS assay validation</w:t>
      </w:r>
      <w:bookmarkStart w:id="0" w:name="_GoBack"/>
      <w:bookmarkEnd w:id="0"/>
    </w:p>
    <w:p w:rsidR="00960472" w:rsidRPr="00960472" w:rsidRDefault="00960472" w:rsidP="0096047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04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Precision - Repeatability and Intermediate precision </w:t>
      </w:r>
    </w:p>
    <w:p w:rsidR="00960472" w:rsidRPr="00960472" w:rsidRDefault="00960472" w:rsidP="009604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Repeatability and intermediate precision of the method were evaluated using venous dried human whole blood samples </w:t>
      </w:r>
      <w:r w:rsidR="00975167">
        <w:rPr>
          <w:rFonts w:ascii="Times New Roman" w:hAnsi="Times New Roman" w:cs="Times New Roman"/>
          <w:sz w:val="24"/>
          <w:szCs w:val="24"/>
          <w:lang w:val="en-US"/>
        </w:rPr>
        <w:t>(DBS) with endogenous plasma 25(OH)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>D values at 3 different levels at four occasi</w:t>
      </w:r>
      <w:r w:rsidR="00975167">
        <w:rPr>
          <w:rFonts w:ascii="Times New Roman" w:hAnsi="Times New Roman" w:cs="Times New Roman"/>
          <w:sz w:val="24"/>
          <w:szCs w:val="24"/>
          <w:lang w:val="en-US"/>
        </w:rPr>
        <w:t>ons (n=6 for each occasion). 25(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97516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>D results are shown</w:t>
      </w:r>
      <w:r w:rsidR="00600AF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instrText xml:space="preserve"> REF _Ref482097320 \h </w:instrText>
      </w:r>
      <w:r w:rsidR="0051139A">
        <w:rPr>
          <w:rFonts w:ascii="Times New Roman" w:hAnsi="Times New Roman" w:cs="Times New Roman"/>
          <w:sz w:val="24"/>
          <w:szCs w:val="24"/>
          <w:lang w:val="en-US"/>
        </w:rPr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C219E">
        <w:rPr>
          <w:lang w:val="en-US"/>
        </w:rPr>
        <w:t>Supplemental T</w:t>
      </w:r>
      <w:r w:rsidR="0051139A" w:rsidRPr="003F53BA">
        <w:rPr>
          <w:lang w:val="en-US"/>
        </w:rPr>
        <w:t xml:space="preserve">able </w:t>
      </w:r>
      <w:r w:rsidR="0051139A" w:rsidRPr="003F53BA">
        <w:rPr>
          <w:noProof/>
          <w:lang w:val="en-US"/>
        </w:rPr>
        <w:t>1</w:t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53BA" w:rsidRPr="00975167" w:rsidRDefault="007C219E" w:rsidP="003F53BA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bookmarkStart w:id="1" w:name="_Ref482097320"/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Supplemental T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able 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fldChar w:fldCharType="begin"/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instrText xml:space="preserve"> SEQ Table \* ARABIC </w:instrTex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fldChar w:fldCharType="separate"/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1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fldChar w:fldCharType="end"/>
      </w:r>
      <w:bookmarkEnd w:id="1"/>
      <w:r w:rsid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.</w:t>
      </w:r>
      <w:r w:rsidR="00975167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25</w:t>
      </w:r>
      <w:r w:rsidR="00975167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(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OH</w:t>
      </w:r>
      <w:r w:rsid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)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D</w:t>
      </w:r>
      <w:r w:rsidR="00975167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vertAlign w:val="subscript"/>
          <w:lang w:val="en-US"/>
        </w:rPr>
        <w:t>3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vertAlign w:val="subscript"/>
          <w:lang w:val="en-US"/>
        </w:rPr>
        <w:t xml:space="preserve"> 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in DBS by LC-MS/MS, repeatability and intermediate precision. Measurements were performed using LC-MS/MS in six parallels at 3 levels at 3 different occasions.</w:t>
      </w:r>
    </w:p>
    <w:tbl>
      <w:tblPr>
        <w:tblStyle w:val="Vanligtabell22"/>
        <w:tblW w:w="4457" w:type="pct"/>
        <w:tblLook w:val="0400" w:firstRow="0" w:lastRow="0" w:firstColumn="0" w:lastColumn="0" w:noHBand="0" w:noVBand="1"/>
      </w:tblPr>
      <w:tblGrid>
        <w:gridCol w:w="1533"/>
        <w:gridCol w:w="1449"/>
        <w:gridCol w:w="1449"/>
        <w:gridCol w:w="1449"/>
        <w:gridCol w:w="227"/>
        <w:gridCol w:w="2172"/>
      </w:tblGrid>
      <w:tr w:rsidR="00960472" w:rsidRPr="00975167" w:rsidTr="003F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tcW w:w="925" w:type="pct"/>
            <w:shd w:val="clear" w:color="auto" w:fill="F2F2F2" w:themeFill="background1" w:themeFillShade="F2"/>
            <w:vAlign w:val="center"/>
            <w:hideMark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Level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  <w:hideMark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Occ. 1</w:t>
            </w:r>
          </w:p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mmol/L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  <w:hideMark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Occ. 2</w:t>
            </w:r>
          </w:p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mmol/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  <w:hideMark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Occ.3</w:t>
            </w:r>
          </w:p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mmol/</w:t>
            </w:r>
          </w:p>
        </w:tc>
        <w:tc>
          <w:tcPr>
            <w:tcW w:w="137" w:type="pct"/>
            <w:shd w:val="clear" w:color="auto" w:fill="F2F2F2" w:themeFill="background1" w:themeFillShade="F2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pct"/>
            <w:shd w:val="clear" w:color="auto" w:fill="F2F2F2" w:themeFill="background1" w:themeFillShade="F2"/>
          </w:tcPr>
          <w:p w:rsidR="00960472" w:rsidRPr="00960472" w:rsidRDefault="00960472" w:rsidP="00975167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  <w:p w:rsidR="00960472" w:rsidRPr="00960472" w:rsidRDefault="00960472" w:rsidP="00975167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Intermediate precision</w:t>
            </w:r>
          </w:p>
          <w:p w:rsidR="00960472" w:rsidRPr="00960472" w:rsidRDefault="00960472" w:rsidP="00975167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RSD%</w:t>
            </w:r>
          </w:p>
        </w:tc>
      </w:tr>
      <w:tr w:rsidR="00960472" w:rsidRPr="00960472" w:rsidTr="003F53BA">
        <w:trPr>
          <w:trHeight w:val="478"/>
        </w:trPr>
        <w:tc>
          <w:tcPr>
            <w:tcW w:w="925" w:type="pct"/>
            <w:vAlign w:val="center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Low</w:t>
            </w:r>
          </w:p>
        </w:tc>
        <w:tc>
          <w:tcPr>
            <w:tcW w:w="875" w:type="pct"/>
            <w:vAlign w:val="center"/>
          </w:tcPr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960472" w:rsidRPr="00975167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33.1</w:t>
                  </w:r>
                </w:p>
              </w:tc>
            </w:tr>
            <w:tr w:rsidR="00960472" w:rsidRPr="00975167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24.4</w:t>
                  </w:r>
                </w:p>
              </w:tc>
            </w:tr>
            <w:tr w:rsidR="00960472" w:rsidRPr="00975167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33.5</w:t>
                  </w:r>
                </w:p>
              </w:tc>
            </w:tr>
            <w:tr w:rsidR="00960472" w:rsidRPr="00975167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23.7</w:t>
                  </w:r>
                </w:p>
              </w:tc>
            </w:tr>
            <w:tr w:rsidR="00960472" w:rsidRPr="00975167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30.2</w:t>
                  </w:r>
                </w:p>
              </w:tc>
            </w:tr>
            <w:tr w:rsidR="00960472" w:rsidRPr="00975167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31.2</w:t>
                  </w:r>
                </w:p>
              </w:tc>
            </w:tr>
          </w:tbl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vAlign w:val="center"/>
          </w:tcPr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960472" w:rsidRPr="00975167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36.6</w:t>
                  </w:r>
                </w:p>
              </w:tc>
            </w:tr>
            <w:tr w:rsidR="00960472" w:rsidRPr="00975167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33.0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28.0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28.6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24.8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31.6</w:t>
                  </w:r>
                </w:p>
              </w:tc>
            </w:tr>
          </w:tbl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vAlign w:val="center"/>
          </w:tcPr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29.2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30.9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29.4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25.6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23.2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23.4</w:t>
                  </w:r>
                </w:p>
              </w:tc>
            </w:tr>
          </w:tbl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" w:type="pct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pct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13.9</w:t>
            </w:r>
          </w:p>
        </w:tc>
      </w:tr>
      <w:tr w:rsidR="00960472" w:rsidRPr="00960472" w:rsidTr="003F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925" w:type="pct"/>
            <w:vAlign w:val="center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Repeatability</w:t>
            </w:r>
          </w:p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RSD%</w:t>
            </w:r>
          </w:p>
        </w:tc>
        <w:tc>
          <w:tcPr>
            <w:tcW w:w="875" w:type="pct"/>
            <w:vAlign w:val="center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13.4</w:t>
            </w:r>
          </w:p>
        </w:tc>
        <w:tc>
          <w:tcPr>
            <w:tcW w:w="875" w:type="pct"/>
            <w:vAlign w:val="center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875" w:type="pct"/>
            <w:vAlign w:val="center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137" w:type="pct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pct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960472" w:rsidRPr="00960472" w:rsidTr="003F53BA">
        <w:trPr>
          <w:trHeight w:val="478"/>
        </w:trPr>
        <w:tc>
          <w:tcPr>
            <w:tcW w:w="925" w:type="pct"/>
            <w:vAlign w:val="center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Med</w:t>
            </w:r>
          </w:p>
        </w:tc>
        <w:tc>
          <w:tcPr>
            <w:tcW w:w="875" w:type="pct"/>
            <w:vAlign w:val="center"/>
          </w:tcPr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69.2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68.5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89.0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78.3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65.1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67.7</w:t>
                  </w:r>
                </w:p>
              </w:tc>
            </w:tr>
          </w:tbl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vAlign w:val="center"/>
          </w:tcPr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75.5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74.4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66.5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59.0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70.3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70.8</w:t>
                  </w:r>
                </w:p>
              </w:tc>
            </w:tr>
          </w:tbl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vAlign w:val="center"/>
          </w:tcPr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72.4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63.2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69.6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66.3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60.3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71.2</w:t>
                  </w:r>
                </w:p>
              </w:tc>
            </w:tr>
          </w:tbl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" w:type="pct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pct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9.9</w:t>
            </w:r>
          </w:p>
        </w:tc>
      </w:tr>
      <w:tr w:rsidR="00960472" w:rsidRPr="00960472" w:rsidTr="003F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925" w:type="pct"/>
            <w:vAlign w:val="center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Repeatability</w:t>
            </w:r>
          </w:p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RSD%</w:t>
            </w:r>
          </w:p>
        </w:tc>
        <w:tc>
          <w:tcPr>
            <w:tcW w:w="875" w:type="pct"/>
            <w:vAlign w:val="center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875" w:type="pct"/>
            <w:vAlign w:val="center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875" w:type="pct"/>
            <w:vAlign w:val="center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6.4</w:t>
            </w:r>
          </w:p>
        </w:tc>
        <w:tc>
          <w:tcPr>
            <w:tcW w:w="137" w:type="pct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pct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960472" w:rsidRPr="00960472" w:rsidTr="003F53BA">
        <w:trPr>
          <w:trHeight w:val="478"/>
        </w:trPr>
        <w:tc>
          <w:tcPr>
            <w:tcW w:w="925" w:type="pct"/>
            <w:vAlign w:val="center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High</w:t>
            </w:r>
          </w:p>
        </w:tc>
        <w:tc>
          <w:tcPr>
            <w:tcW w:w="875" w:type="pct"/>
            <w:vAlign w:val="center"/>
          </w:tcPr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142.7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135.7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143.7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154.1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143.5</w:t>
                  </w:r>
                </w:p>
              </w:tc>
            </w:tr>
            <w:tr w:rsidR="00960472" w:rsidRPr="00960472" w:rsidTr="006437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139.0</w:t>
                  </w:r>
                </w:p>
              </w:tc>
            </w:tr>
          </w:tbl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vAlign w:val="center"/>
          </w:tcPr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127.2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154.6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154.6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133.0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135.2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154.0</w:t>
                  </w:r>
                </w:p>
              </w:tc>
            </w:tr>
          </w:tbl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vAlign w:val="center"/>
          </w:tcPr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129.4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122.1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138.6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158.7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159.6</w:t>
                  </w:r>
                </w:p>
              </w:tc>
            </w:tr>
            <w:tr w:rsidR="00960472" w:rsidRPr="00960472" w:rsidTr="006437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472" w:rsidRPr="00960472" w:rsidRDefault="00960472" w:rsidP="009604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04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153.6</w:t>
                  </w:r>
                </w:p>
              </w:tc>
            </w:tr>
          </w:tbl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" w:type="pct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pct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8.1</w:t>
            </w:r>
          </w:p>
        </w:tc>
      </w:tr>
      <w:tr w:rsidR="00960472" w:rsidRPr="00960472" w:rsidTr="003F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925" w:type="pct"/>
            <w:vAlign w:val="center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Repeatability</w:t>
            </w:r>
          </w:p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RSD%</w:t>
            </w:r>
          </w:p>
        </w:tc>
        <w:tc>
          <w:tcPr>
            <w:tcW w:w="875" w:type="pct"/>
            <w:vAlign w:val="center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4.0</w:t>
            </w:r>
          </w:p>
        </w:tc>
        <w:tc>
          <w:tcPr>
            <w:tcW w:w="875" w:type="pct"/>
            <w:vAlign w:val="center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875" w:type="pct"/>
            <w:vAlign w:val="center"/>
          </w:tcPr>
          <w:p w:rsidR="00960472" w:rsidRPr="00960472" w:rsidRDefault="00960472" w:rsidP="00960472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96047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10.1</w:t>
            </w:r>
          </w:p>
        </w:tc>
        <w:tc>
          <w:tcPr>
            <w:tcW w:w="137" w:type="pct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pct"/>
          </w:tcPr>
          <w:p w:rsidR="00960472" w:rsidRPr="00960472" w:rsidRDefault="00960472" w:rsidP="0096047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960472" w:rsidRPr="00960472" w:rsidRDefault="00960472" w:rsidP="009604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047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60472" w:rsidRPr="00960472" w:rsidRDefault="00960472" w:rsidP="00960472">
      <w:pPr>
        <w:pStyle w:val="NoSpacing"/>
        <w:rPr>
          <w:rFonts w:ascii="Times New Roman" w:hAnsi="Times New Roman" w:cs="Times New Roman"/>
          <w:i/>
          <w:sz w:val="24"/>
          <w:szCs w:val="24"/>
          <w:lang w:val="en-GB" w:eastAsia="en-US"/>
        </w:rPr>
      </w:pPr>
      <w:bookmarkStart w:id="2" w:name="_Ref466575879"/>
      <w:bookmarkStart w:id="3" w:name="_Ref467058039"/>
      <w:r w:rsidRPr="00960472">
        <w:rPr>
          <w:rFonts w:ascii="Times New Roman" w:hAnsi="Times New Roman" w:cs="Times New Roman"/>
          <w:i/>
          <w:sz w:val="24"/>
          <w:szCs w:val="24"/>
          <w:lang w:val="en-GB" w:eastAsia="en-US"/>
        </w:rPr>
        <w:lastRenderedPageBreak/>
        <w:t>Accuracy</w:t>
      </w:r>
      <w:bookmarkEnd w:id="2"/>
      <w:r w:rsidR="007C219E">
        <w:rPr>
          <w:rFonts w:ascii="Times New Roman" w:hAnsi="Times New Roman" w:cs="Times New Roman"/>
          <w:i/>
          <w:sz w:val="24"/>
          <w:szCs w:val="24"/>
          <w:lang w:val="en-GB" w:eastAsia="en-US"/>
        </w:rPr>
        <w:t xml:space="preserve"> –</w:t>
      </w:r>
      <w:r w:rsidRPr="00960472">
        <w:rPr>
          <w:rFonts w:ascii="Times New Roman" w:hAnsi="Times New Roman" w:cs="Times New Roman"/>
          <w:i/>
          <w:sz w:val="24"/>
          <w:szCs w:val="24"/>
          <w:lang w:val="en-GB" w:eastAsia="en-US"/>
        </w:rPr>
        <w:t xml:space="preserve"> plasma</w:t>
      </w:r>
      <w:bookmarkEnd w:id="3"/>
    </w:p>
    <w:p w:rsidR="00960472" w:rsidRPr="00960472" w:rsidRDefault="00975167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25(OH)</w:t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t>D usually is analyz</w:t>
      </w:r>
      <w:r w:rsidR="00960472"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ed in serum or plasma, certified SRMs are only available as serum or plasma samples. Accuracy in </w:t>
      </w:r>
      <w:r w:rsidR="00960472" w:rsidRPr="00960472">
        <w:rPr>
          <w:rFonts w:ascii="Times New Roman" w:hAnsi="Times New Roman" w:cs="Times New Roman"/>
          <w:sz w:val="24"/>
          <w:szCs w:val="24"/>
          <w:u w:val="single"/>
          <w:lang w:val="en-US"/>
        </w:rPr>
        <w:t>plasma</w:t>
      </w:r>
      <w:r w:rsidR="00960472"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 of the method is thus first evaluated by analy</w:t>
      </w:r>
      <w:r w:rsidR="003F53B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60472" w:rsidRPr="00960472">
        <w:rPr>
          <w:rFonts w:ascii="Times New Roman" w:hAnsi="Times New Roman" w:cs="Times New Roman"/>
          <w:sz w:val="24"/>
          <w:szCs w:val="24"/>
          <w:lang w:val="en-US"/>
        </w:rPr>
        <w:t>ing serum or plasma reference</w:t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t xml:space="preserve"> materials from several sources, </w:t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instrText xml:space="preserve"> REF _Ref482097758 \h </w:instrText>
      </w:r>
      <w:r w:rsidR="0051139A">
        <w:rPr>
          <w:rFonts w:ascii="Times New Roman" w:hAnsi="Times New Roman" w:cs="Times New Roman"/>
          <w:sz w:val="24"/>
          <w:szCs w:val="24"/>
          <w:lang w:val="en-US"/>
        </w:rPr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C219E">
        <w:rPr>
          <w:lang w:val="en-US"/>
        </w:rPr>
        <w:t>Supplemental T</w:t>
      </w:r>
      <w:r w:rsidR="0051139A" w:rsidRPr="003F53BA">
        <w:rPr>
          <w:lang w:val="en-US"/>
        </w:rPr>
        <w:t xml:space="preserve">able </w:t>
      </w:r>
      <w:r w:rsidR="0051139A">
        <w:rPr>
          <w:noProof/>
          <w:lang w:val="en-US"/>
        </w:rPr>
        <w:t>2</w:t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C21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0472" w:rsidRDefault="00960472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3F53BA" w:rsidRPr="00975167" w:rsidRDefault="007C219E" w:rsidP="003F53BA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</w:pPr>
      <w:bookmarkStart w:id="4" w:name="_Ref482097758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Supplemental T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able 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fldChar w:fldCharType="begin"/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instrText xml:space="preserve"> SEQ Table \* ARABIC </w:instrTex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fldChar w:fldCharType="separate"/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2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fldChar w:fldCharType="end"/>
      </w:r>
      <w:bookmarkEnd w:id="4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.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N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ominal values for </w:t>
      </w:r>
      <w:r w:rsidR="00975167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25(OH)D3 </w:t>
      </w:r>
      <w:r w:rsidR="003F53BA" w:rsidRPr="009751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in reference material NIST SRM 1950 and 5 DEQAS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1903"/>
        <w:gridCol w:w="1083"/>
        <w:gridCol w:w="1396"/>
        <w:gridCol w:w="390"/>
        <w:gridCol w:w="683"/>
      </w:tblGrid>
      <w:tr w:rsidR="00960472" w:rsidRPr="00960472" w:rsidTr="0064377F">
        <w:trPr>
          <w:trHeight w:val="708"/>
        </w:trPr>
        <w:tc>
          <w:tcPr>
            <w:tcW w:w="0" w:type="auto"/>
            <w:shd w:val="clear" w:color="auto" w:fill="BFBFBF" w:themeFill="background1" w:themeFillShade="BF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Reference material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Nominal nmol/L</w:t>
            </w:r>
            <w:r w:rsidRPr="009604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Found</w:t>
            </w:r>
          </w:p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(nmol/L)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Accuracy 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Pr="009604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%</w:t>
            </w:r>
          </w:p>
        </w:tc>
      </w:tr>
      <w:tr w:rsidR="00960472" w:rsidRPr="00960472" w:rsidTr="0064377F"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NIST SRM 1950*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61.8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105.3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960472" w:rsidRPr="00960472" w:rsidTr="0064377F"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DEQAS-491**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93.4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960472" w:rsidRPr="00960472" w:rsidTr="0064377F"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DEQAS-492**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51.2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960472" w:rsidRPr="00960472" w:rsidTr="0064377F"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DEQAS-493**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91.8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960472" w:rsidRPr="00960472" w:rsidTr="0064377F">
        <w:trPr>
          <w:trHeight w:val="393"/>
        </w:trPr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DEQAS-494*’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960472" w:rsidRPr="00960472" w:rsidTr="0064377F"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DEQAS-495**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97.6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102.4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0472" w:rsidRPr="00960472" w:rsidRDefault="00960472" w:rsidP="009604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047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</w:tbl>
    <w:p w:rsidR="00960472" w:rsidRPr="00960472" w:rsidRDefault="00960472" w:rsidP="009604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0472">
        <w:rPr>
          <w:rFonts w:ascii="Times New Roman" w:hAnsi="Times New Roman" w:cs="Times New Roman"/>
          <w:sz w:val="24"/>
          <w:szCs w:val="24"/>
        </w:rPr>
        <w:t>*NIST analysed 9</w:t>
      </w:r>
      <w:r w:rsidRPr="009604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60472">
        <w:rPr>
          <w:rFonts w:ascii="Times New Roman" w:hAnsi="Times New Roman" w:cs="Times New Roman"/>
          <w:sz w:val="24"/>
          <w:szCs w:val="24"/>
        </w:rPr>
        <w:t xml:space="preserve"> Nov 2016, </w:t>
      </w:r>
    </w:p>
    <w:p w:rsidR="00960472" w:rsidRPr="00960472" w:rsidRDefault="00960472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60472">
        <w:rPr>
          <w:rFonts w:ascii="Times New Roman" w:hAnsi="Times New Roman" w:cs="Times New Roman"/>
          <w:sz w:val="24"/>
          <w:szCs w:val="24"/>
          <w:lang w:val="en-US"/>
        </w:rPr>
        <w:t>**DEQAS analy</w:t>
      </w:r>
      <w:r w:rsidR="0072461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>ed 19</w:t>
      </w:r>
      <w:r w:rsidRPr="009604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 and 25</w:t>
      </w:r>
      <w:r w:rsidRPr="009604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 May 2016.</w:t>
      </w:r>
    </w:p>
    <w:p w:rsidR="00960472" w:rsidRDefault="00960472" w:rsidP="00960472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  <w:lang w:val="en-GB" w:eastAsia="en-US"/>
        </w:rPr>
      </w:pPr>
    </w:p>
    <w:p w:rsidR="00960472" w:rsidRPr="00960472" w:rsidRDefault="00960472" w:rsidP="00960472">
      <w:pPr>
        <w:pStyle w:val="NoSpacing"/>
        <w:rPr>
          <w:rFonts w:ascii="Times New Roman" w:hAnsi="Times New Roman" w:cs="Times New Roman"/>
          <w:i/>
          <w:sz w:val="24"/>
          <w:szCs w:val="24"/>
          <w:lang w:val="en-GB" w:eastAsia="en-US"/>
        </w:rPr>
      </w:pPr>
      <w:r w:rsidRPr="00960472">
        <w:rPr>
          <w:rFonts w:ascii="Times New Roman" w:hAnsi="Times New Roman" w:cs="Times New Roman"/>
          <w:i/>
          <w:sz w:val="24"/>
          <w:szCs w:val="24"/>
          <w:lang w:val="en-GB" w:eastAsia="en-US"/>
        </w:rPr>
        <w:t>Acceptance Criteria – Accuracy in plasma</w:t>
      </w:r>
    </w:p>
    <w:p w:rsidR="00960472" w:rsidRPr="00960472" w:rsidRDefault="00960472" w:rsidP="00960472">
      <w:pPr>
        <w:pStyle w:val="NoSpacing"/>
        <w:rPr>
          <w:rFonts w:ascii="Times New Roman" w:hAnsi="Times New Roman" w:cs="Times New Roman"/>
          <w:sz w:val="24"/>
          <w:szCs w:val="24"/>
          <w:lang w:val="en-GB" w:eastAsia="en-US"/>
        </w:rPr>
      </w:pPr>
      <w:r w:rsidRPr="00960472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The accuracy of plasma is regarded as sufficient as long the result of each reference material is within relative value of ±15% of the given value from the reference source. </w:t>
      </w:r>
    </w:p>
    <w:p w:rsidR="00960472" w:rsidRPr="00960472" w:rsidRDefault="00960472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As seen in </w:t>
      </w:r>
      <w:r w:rsidR="00C51180">
        <w:rPr>
          <w:rFonts w:ascii="Times New Roman" w:hAnsi="Times New Roman" w:cs="Times New Roman"/>
          <w:sz w:val="24"/>
          <w:szCs w:val="24"/>
          <w:lang w:val="en-US"/>
        </w:rPr>
        <w:t>Supplemental T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C5118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, all the results of reference material are within the acceptance criteria, and thereby regarded as sufficient. </w:t>
      </w:r>
    </w:p>
    <w:p w:rsidR="00960472" w:rsidRPr="00960472" w:rsidRDefault="00960472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60472" w:rsidRPr="00960472" w:rsidRDefault="00960472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60472">
        <w:rPr>
          <w:rFonts w:ascii="Times New Roman" w:hAnsi="Times New Roman" w:cs="Times New Roman"/>
          <w:sz w:val="24"/>
          <w:szCs w:val="24"/>
          <w:lang w:val="en-US"/>
        </w:rPr>
        <w:t>Vitas is participating in the Vitamin D External Quality Assessment Scheme (DEQAS), along with about 1200 other laboratories in 54 countries. Every 3</w:t>
      </w:r>
      <w:r w:rsidRPr="009604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 month, 5 plasma sample, with unknown concentrations, are distributed to each laboratory.</w:t>
      </w:r>
    </w:p>
    <w:p w:rsidR="00960472" w:rsidRPr="00960472" w:rsidRDefault="00960472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60472">
        <w:rPr>
          <w:rFonts w:ascii="Times New Roman" w:hAnsi="Times New Roman" w:cs="Times New Roman"/>
          <w:sz w:val="24"/>
          <w:szCs w:val="24"/>
          <w:lang w:val="en-US"/>
        </w:rPr>
        <w:t>In total, about 30 diff</w:t>
      </w:r>
      <w:r w:rsidR="0051139A">
        <w:rPr>
          <w:rFonts w:ascii="Times New Roman" w:hAnsi="Times New Roman" w:cs="Times New Roman"/>
          <w:sz w:val="24"/>
          <w:szCs w:val="24"/>
          <w:lang w:val="en-US"/>
        </w:rPr>
        <w:t>erent methods are used to analyz</w:t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e the 5 samples distributed. The results submitted are compiled and a report is received from DEQAS. The results submitted are compared with a target value (NIST) and method mean.     </w:t>
      </w:r>
    </w:p>
    <w:p w:rsidR="00960472" w:rsidRDefault="00960472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Please see </w:t>
      </w:r>
      <w:r w:rsidR="0072461C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2461C">
        <w:rPr>
          <w:rFonts w:ascii="Times New Roman" w:hAnsi="Times New Roman" w:cs="Times New Roman"/>
          <w:sz w:val="24"/>
          <w:szCs w:val="24"/>
          <w:lang w:val="en-US"/>
        </w:rPr>
        <w:instrText xml:space="preserve"> REF _Ref482097991 \h </w:instrText>
      </w:r>
      <w:r w:rsidR="0072461C">
        <w:rPr>
          <w:rFonts w:ascii="Times New Roman" w:hAnsi="Times New Roman" w:cs="Times New Roman"/>
          <w:sz w:val="24"/>
          <w:szCs w:val="24"/>
          <w:lang w:val="en-US"/>
        </w:rPr>
      </w:r>
      <w:r w:rsidR="0072461C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C219E">
        <w:rPr>
          <w:lang w:val="en-US"/>
        </w:rPr>
        <w:t>Supplemental F</w:t>
      </w:r>
      <w:r w:rsidR="0072461C" w:rsidRPr="0072461C">
        <w:rPr>
          <w:lang w:val="en-US"/>
        </w:rPr>
        <w:t>ig</w:t>
      </w:r>
      <w:r w:rsidR="007C219E">
        <w:rPr>
          <w:lang w:val="en-US"/>
        </w:rPr>
        <w:t>.</w:t>
      </w:r>
      <w:r w:rsidR="0072461C" w:rsidRPr="0072461C">
        <w:rPr>
          <w:lang w:val="en-US"/>
        </w:rPr>
        <w:t xml:space="preserve"> </w:t>
      </w:r>
      <w:r w:rsidR="0072461C" w:rsidRPr="0072461C">
        <w:rPr>
          <w:noProof/>
          <w:lang w:val="en-US"/>
        </w:rPr>
        <w:t>1</w:t>
      </w:r>
      <w:r w:rsidR="0072461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960472">
        <w:rPr>
          <w:rFonts w:ascii="Times New Roman" w:hAnsi="Times New Roman" w:cs="Times New Roman"/>
          <w:sz w:val="24"/>
          <w:szCs w:val="24"/>
          <w:lang w:val="en-US"/>
        </w:rPr>
        <w:t xml:space="preserve"> for graphic presentation of </w:t>
      </w:r>
      <w:r w:rsidR="007C219E">
        <w:rPr>
          <w:rFonts w:ascii="Times New Roman" w:hAnsi="Times New Roman" w:cs="Times New Roman"/>
          <w:sz w:val="24"/>
          <w:szCs w:val="24"/>
          <w:lang w:val="en-US"/>
        </w:rPr>
        <w:t>DEQAS results submitted in 2016.</w:t>
      </w:r>
    </w:p>
    <w:p w:rsidR="00975167" w:rsidRDefault="00975167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75167" w:rsidRPr="00960472" w:rsidRDefault="007C219E" w:rsidP="00960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Supplemental F</w:t>
      </w:r>
      <w:r w:rsidR="00975167">
        <w:rPr>
          <w:rFonts w:ascii="Times New Roman" w:hAnsi="Times New Roman" w:cs="Times New Roman"/>
          <w:sz w:val="24"/>
          <w:szCs w:val="24"/>
          <w:lang w:val="en-US"/>
        </w:rPr>
        <w:t>ig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7516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75167" w:rsidRPr="00975167">
        <w:rPr>
          <w:rFonts w:ascii="Times New Roman" w:hAnsi="Times New Roman" w:cs="Times New Roman"/>
          <w:sz w:val="24"/>
          <w:szCs w:val="24"/>
          <w:lang w:val="en-US"/>
        </w:rPr>
        <w:t xml:space="preserve"> DEQAS results submitted by Vitas AS in 2006</w:t>
      </w:r>
    </w:p>
    <w:p w:rsidR="00960472" w:rsidRPr="00960472" w:rsidRDefault="0072461C" w:rsidP="00960472">
      <w:pPr>
        <w:rPr>
          <w:lang w:val="en-US"/>
        </w:rPr>
      </w:pPr>
      <w:r w:rsidRPr="0096047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99695</wp:posOffset>
            </wp:positionV>
            <wp:extent cx="5278120" cy="2100580"/>
            <wp:effectExtent l="0" t="0" r="17780" b="13970"/>
            <wp:wrapTight wrapText="bothSides">
              <wp:wrapPolygon edited="0">
                <wp:start x="0" y="0"/>
                <wp:lineTo x="0" y="21548"/>
                <wp:lineTo x="21595" y="21548"/>
                <wp:lineTo x="21595" y="0"/>
                <wp:lineTo x="0" y="0"/>
              </wp:wrapPolygon>
            </wp:wrapTight>
            <wp:docPr id="6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72461C" w:rsidRPr="0072461C" w:rsidRDefault="0072461C" w:rsidP="0072461C">
      <w:pPr>
        <w:keepNext/>
        <w:rPr>
          <w:lang w:val="en-US"/>
        </w:rPr>
      </w:pPr>
    </w:p>
    <w:p w:rsidR="0072461C" w:rsidRDefault="0072461C" w:rsidP="0072461C">
      <w:pPr>
        <w:pStyle w:val="Caption"/>
        <w:rPr>
          <w:lang w:val="en-US"/>
        </w:rPr>
      </w:pPr>
    </w:p>
    <w:p w:rsidR="0072461C" w:rsidRDefault="0072461C" w:rsidP="0072461C">
      <w:pPr>
        <w:pStyle w:val="Caption"/>
        <w:rPr>
          <w:lang w:val="en-US"/>
        </w:rPr>
      </w:pPr>
    </w:p>
    <w:p w:rsidR="0072461C" w:rsidRDefault="0072461C" w:rsidP="0072461C">
      <w:pPr>
        <w:pStyle w:val="Caption"/>
        <w:rPr>
          <w:lang w:val="en-US"/>
        </w:rPr>
      </w:pPr>
    </w:p>
    <w:p w:rsidR="0072461C" w:rsidRDefault="0072461C" w:rsidP="0072461C">
      <w:pPr>
        <w:pStyle w:val="Caption"/>
        <w:rPr>
          <w:lang w:val="en-US"/>
        </w:rPr>
      </w:pPr>
    </w:p>
    <w:p w:rsidR="0072461C" w:rsidRDefault="0072461C" w:rsidP="0072461C">
      <w:pPr>
        <w:pStyle w:val="Caption"/>
        <w:rPr>
          <w:lang w:val="en-US"/>
        </w:rPr>
      </w:pPr>
    </w:p>
    <w:p w:rsidR="0072461C" w:rsidRDefault="0072461C" w:rsidP="0072461C">
      <w:pPr>
        <w:pStyle w:val="Caption"/>
        <w:rPr>
          <w:lang w:val="en-US"/>
        </w:rPr>
      </w:pPr>
    </w:p>
    <w:p w:rsidR="00960472" w:rsidRPr="00960472" w:rsidRDefault="00960472" w:rsidP="00960472">
      <w:pPr>
        <w:rPr>
          <w:lang w:val="en-US"/>
        </w:rPr>
      </w:pPr>
      <w:r w:rsidRPr="00960472">
        <w:rPr>
          <w:lang w:val="en-US"/>
        </w:rPr>
        <w:t xml:space="preserve">Vitas mean deviation from target value from January 2012-YTD is -0.4%. </w:t>
      </w:r>
    </w:p>
    <w:p w:rsidR="00960472" w:rsidRPr="00975167" w:rsidRDefault="00960472" w:rsidP="00960472">
      <w:pPr>
        <w:keepNext/>
        <w:spacing w:before="240" w:after="60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5" w:name="_Ref467057964"/>
      <w:r w:rsidRPr="0097516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Accuracy in DBS</w:t>
      </w:r>
      <w:bookmarkEnd w:id="5"/>
    </w:p>
    <w:p w:rsidR="00960472" w:rsidRPr="00975167" w:rsidRDefault="00975167" w:rsidP="009604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5167">
        <w:rPr>
          <w:rFonts w:ascii="Times New Roman" w:hAnsi="Times New Roman" w:cs="Times New Roman"/>
          <w:sz w:val="24"/>
          <w:szCs w:val="24"/>
          <w:lang w:val="en-US"/>
        </w:rPr>
        <w:t>25(</w:t>
      </w:r>
      <w:r w:rsidR="00960472" w:rsidRPr="00975167"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60472" w:rsidRPr="00975167">
        <w:rPr>
          <w:rFonts w:ascii="Times New Roman" w:hAnsi="Times New Roman" w:cs="Times New Roman"/>
          <w:sz w:val="24"/>
          <w:szCs w:val="24"/>
          <w:lang w:val="en-US"/>
        </w:rPr>
        <w:t>D is bound to Vitamin D binding protein (VDBP) which id distributed 100% in plasma fraction of the blood. When analy</w:t>
      </w:r>
      <w:r w:rsidR="0072461C" w:rsidRPr="0097516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60472" w:rsidRPr="00975167">
        <w:rPr>
          <w:rFonts w:ascii="Times New Roman" w:hAnsi="Times New Roman" w:cs="Times New Roman"/>
          <w:sz w:val="24"/>
          <w:szCs w:val="24"/>
          <w:lang w:val="en-US"/>
        </w:rPr>
        <w:t xml:space="preserve">ing DBS with a </w:t>
      </w:r>
      <w:r w:rsidRPr="00975167">
        <w:rPr>
          <w:rFonts w:ascii="Times New Roman" w:hAnsi="Times New Roman" w:cs="Times New Roman"/>
          <w:sz w:val="24"/>
          <w:szCs w:val="24"/>
          <w:lang w:val="en-US"/>
        </w:rPr>
        <w:t>known plasma value of 25(OH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60472" w:rsidRPr="00975167">
        <w:rPr>
          <w:rFonts w:ascii="Times New Roman" w:hAnsi="Times New Roman" w:cs="Times New Roman"/>
          <w:sz w:val="24"/>
          <w:szCs w:val="24"/>
          <w:lang w:val="en-US"/>
        </w:rPr>
        <w:t xml:space="preserve">D its HcT value is used to convert the plasma value to whole blood value. </w:t>
      </w:r>
    </w:p>
    <w:p w:rsidR="00960472" w:rsidRPr="00975167" w:rsidRDefault="00960472" w:rsidP="009604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5167">
        <w:rPr>
          <w:rFonts w:ascii="Times New Roman" w:hAnsi="Times New Roman" w:cs="Times New Roman"/>
          <w:sz w:val="24"/>
          <w:szCs w:val="24"/>
          <w:lang w:val="en-US"/>
        </w:rPr>
        <w:t xml:space="preserve">Given equally number of punches of calibrator and samples are used, a set factor, for men and women, is used to convert the whole blood results for unknown samples back to plasma results before reported to costumers.  </w:t>
      </w:r>
    </w:p>
    <w:p w:rsidR="00960472" w:rsidRPr="00975167" w:rsidRDefault="00960472" w:rsidP="009604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5167">
        <w:rPr>
          <w:rFonts w:ascii="Times New Roman" w:hAnsi="Times New Roman" w:cs="Times New Roman"/>
          <w:sz w:val="24"/>
          <w:szCs w:val="24"/>
          <w:lang w:val="en-US"/>
        </w:rPr>
        <w:t>Sample material to be received is DBS. The accuracy of the method it-self is evaluated by using reference material. The accuracy in DBS compared to plasma, must be done by analy</w:t>
      </w:r>
      <w:r w:rsidR="0072461C" w:rsidRPr="0097516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75167">
        <w:rPr>
          <w:rFonts w:ascii="Times New Roman" w:hAnsi="Times New Roman" w:cs="Times New Roman"/>
          <w:sz w:val="24"/>
          <w:szCs w:val="24"/>
          <w:lang w:val="en-US"/>
        </w:rPr>
        <w:t>ing plasma and DBS from the same person. Plasma and DBS from 78 individuals is analy</w:t>
      </w:r>
      <w:r w:rsidR="0072461C" w:rsidRPr="0097516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75167">
        <w:rPr>
          <w:rFonts w:ascii="Times New Roman" w:hAnsi="Times New Roman" w:cs="Times New Roman"/>
          <w:sz w:val="24"/>
          <w:szCs w:val="24"/>
          <w:lang w:val="en-US"/>
        </w:rPr>
        <w:t xml:space="preserve">ed to evaluate the accuracy in DBS. </w:t>
      </w:r>
    </w:p>
    <w:p w:rsidR="00975167" w:rsidRPr="00975167" w:rsidRDefault="007C219E" w:rsidP="009604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Supplemental F</w:t>
      </w:r>
      <w:r w:rsidR="00975167" w:rsidRPr="00975167">
        <w:rPr>
          <w:rFonts w:ascii="Times New Roman" w:hAnsi="Times New Roman" w:cs="Times New Roman"/>
          <w:sz w:val="24"/>
          <w:szCs w:val="24"/>
          <w:lang w:val="en-US"/>
        </w:rPr>
        <w:t>ig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75167" w:rsidRPr="0097516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75167" w:rsidRPr="00975167">
        <w:rPr>
          <w:rFonts w:ascii="Times New Roman" w:hAnsi="Times New Roman" w:cs="Times New Roman"/>
          <w:sz w:val="24"/>
          <w:szCs w:val="24"/>
          <w:lang w:val="en-US"/>
        </w:rPr>
        <w:t xml:space="preserve"> Correlation of DBS and plasma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78 samples analysed at Vitas AS</w:t>
      </w:r>
    </w:p>
    <w:p w:rsidR="00960472" w:rsidRPr="00960472" w:rsidRDefault="00960472" w:rsidP="00960472">
      <w:pPr>
        <w:keepNext/>
      </w:pPr>
      <w:r w:rsidRPr="009604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9DB1F" wp14:editId="0727F8FA">
                <wp:simplePos x="0" y="0"/>
                <wp:positionH relativeFrom="column">
                  <wp:posOffset>3421380</wp:posOffset>
                </wp:positionH>
                <wp:positionV relativeFrom="paragraph">
                  <wp:posOffset>1242060</wp:posOffset>
                </wp:positionV>
                <wp:extent cx="1504950" cy="400050"/>
                <wp:effectExtent l="0" t="0" r="19050" b="1905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72" w:rsidRPr="00B21C14" w:rsidRDefault="00960472" w:rsidP="00960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1C14">
                              <w:rPr>
                                <w:sz w:val="20"/>
                                <w:szCs w:val="20"/>
                              </w:rPr>
                              <w:t>y= 0.8491x + 7.7529</w:t>
                            </w:r>
                          </w:p>
                          <w:p w:rsidR="00960472" w:rsidRPr="00B21C14" w:rsidRDefault="00960472" w:rsidP="00960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1C14">
                              <w:rPr>
                                <w:sz w:val="20"/>
                                <w:szCs w:val="20"/>
                              </w:rPr>
                              <w:t>r= 0.973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9DB1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69.4pt;margin-top:97.8pt;width:11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">
                <v:textbox>
                  <w:txbxContent>
                    <w:p w:rsidR="00960472" w:rsidRPr="00B21C14" w:rsidRDefault="00960472" w:rsidP="00960472">
                      <w:pPr>
                        <w:rPr>
                          <w:sz w:val="20"/>
                          <w:szCs w:val="20"/>
                        </w:rPr>
                      </w:pPr>
                      <w:r w:rsidRPr="00B21C14">
                        <w:rPr>
                          <w:sz w:val="20"/>
                          <w:szCs w:val="20"/>
                        </w:rPr>
                        <w:t>y= 0.8491x + 7.7529</w:t>
                      </w:r>
                    </w:p>
                    <w:p w:rsidR="00960472" w:rsidRPr="00B21C14" w:rsidRDefault="00960472" w:rsidP="00960472">
                      <w:pPr>
                        <w:rPr>
                          <w:sz w:val="20"/>
                          <w:szCs w:val="20"/>
                        </w:rPr>
                      </w:pPr>
                      <w:r w:rsidRPr="00B21C14">
                        <w:rPr>
                          <w:sz w:val="20"/>
                          <w:szCs w:val="20"/>
                        </w:rPr>
                        <w:t>r= 0.973</w:t>
                      </w:r>
                    </w:p>
                  </w:txbxContent>
                </v:textbox>
              </v:shape>
            </w:pict>
          </mc:Fallback>
        </mc:AlternateContent>
      </w:r>
      <w:r w:rsidRPr="00960472">
        <w:rPr>
          <w:noProof/>
        </w:rPr>
        <w:drawing>
          <wp:inline distT="0" distB="0" distL="0" distR="0" wp14:anchorId="23873197" wp14:editId="14862C20">
            <wp:extent cx="5278120" cy="2518385"/>
            <wp:effectExtent l="0" t="0" r="17780" b="1587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461C" w:rsidRDefault="0072461C" w:rsidP="00960472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en-GB" w:eastAsia="en-US"/>
        </w:rPr>
      </w:pPr>
      <w:bookmarkStart w:id="6" w:name="_Ref466575904"/>
    </w:p>
    <w:p w:rsidR="00960472" w:rsidRPr="00960472" w:rsidRDefault="00960472" w:rsidP="00960472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en-GB" w:eastAsia="en-US"/>
        </w:rPr>
      </w:pPr>
      <w:r w:rsidRPr="0096047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en-GB" w:eastAsia="en-US"/>
        </w:rPr>
        <w:t>Stability</w:t>
      </w:r>
      <w:bookmarkEnd w:id="6"/>
    </w:p>
    <w:p w:rsidR="00960472" w:rsidRPr="00960472" w:rsidRDefault="00960472" w:rsidP="00960472">
      <w:pPr>
        <w:rPr>
          <w:rFonts w:ascii="Times New Roman" w:hAnsi="Times New Roman" w:cs="Times New Roman"/>
          <w:lang w:val="en-US"/>
        </w:rPr>
      </w:pPr>
      <w:r w:rsidRPr="00960472">
        <w:rPr>
          <w:rFonts w:ascii="Times New Roman" w:hAnsi="Times New Roman" w:cs="Times New Roman"/>
          <w:lang w:val="en-US"/>
        </w:rPr>
        <w:t>Whole blood was collected from 3 individuals and DBS cards made. The DBS cards were packed according to the user manual for the DBS vit</w:t>
      </w:r>
      <w:r>
        <w:rPr>
          <w:rFonts w:ascii="Times New Roman" w:hAnsi="Times New Roman" w:cs="Times New Roman"/>
          <w:lang w:val="en-US"/>
        </w:rPr>
        <w:t>amin</w:t>
      </w:r>
      <w:r w:rsidRPr="00960472">
        <w:rPr>
          <w:rFonts w:ascii="Times New Roman" w:hAnsi="Times New Roman" w:cs="Times New Roman"/>
          <w:lang w:val="en-US"/>
        </w:rPr>
        <w:t xml:space="preserve"> D kit.</w:t>
      </w:r>
    </w:p>
    <w:p w:rsidR="00960472" w:rsidRDefault="00960472" w:rsidP="00960472">
      <w:pPr>
        <w:rPr>
          <w:rFonts w:ascii="Times New Roman" w:hAnsi="Times New Roman" w:cs="Times New Roman"/>
          <w:lang w:val="en-US"/>
        </w:rPr>
      </w:pPr>
      <w:r w:rsidRPr="00960472">
        <w:rPr>
          <w:rFonts w:ascii="Times New Roman" w:hAnsi="Times New Roman" w:cs="Times New Roman"/>
          <w:lang w:val="en-US"/>
        </w:rPr>
        <w:t xml:space="preserve">DBS cards were stored at 25°C and 50°C, and placed in -20°C after 1,3,6,8,10,14,17 and 21 days. All samples were analysed together. The results are compared to the baseline result. </w:t>
      </w:r>
    </w:p>
    <w:p w:rsidR="00975167" w:rsidRDefault="00975167" w:rsidP="00960472">
      <w:pPr>
        <w:rPr>
          <w:rFonts w:ascii="Times New Roman" w:hAnsi="Times New Roman" w:cs="Times New Roman"/>
          <w:lang w:val="en-US"/>
        </w:rPr>
      </w:pPr>
    </w:p>
    <w:p w:rsidR="00975167" w:rsidRDefault="00975167" w:rsidP="00960472">
      <w:pPr>
        <w:rPr>
          <w:rFonts w:ascii="Times New Roman" w:hAnsi="Times New Roman" w:cs="Times New Roman"/>
          <w:lang w:val="en-US"/>
        </w:rPr>
      </w:pPr>
    </w:p>
    <w:p w:rsidR="00975167" w:rsidRDefault="00975167" w:rsidP="00960472">
      <w:pPr>
        <w:rPr>
          <w:rFonts w:ascii="Times New Roman" w:hAnsi="Times New Roman" w:cs="Times New Roman"/>
          <w:lang w:val="en-US"/>
        </w:rPr>
      </w:pPr>
    </w:p>
    <w:p w:rsidR="00975167" w:rsidRDefault="00975167" w:rsidP="00960472">
      <w:pPr>
        <w:rPr>
          <w:rFonts w:ascii="Times New Roman" w:hAnsi="Times New Roman" w:cs="Times New Roman"/>
          <w:lang w:val="en-US"/>
        </w:rPr>
      </w:pPr>
    </w:p>
    <w:p w:rsidR="00975167" w:rsidRDefault="00975167" w:rsidP="00960472">
      <w:pPr>
        <w:rPr>
          <w:rFonts w:ascii="Times New Roman" w:hAnsi="Times New Roman" w:cs="Times New Roman"/>
          <w:lang w:val="en-US"/>
        </w:rPr>
      </w:pPr>
    </w:p>
    <w:p w:rsidR="00975167" w:rsidRDefault="00975167" w:rsidP="00960472">
      <w:pPr>
        <w:rPr>
          <w:rFonts w:ascii="Times New Roman" w:hAnsi="Times New Roman" w:cs="Times New Roman"/>
          <w:lang w:val="en-US"/>
        </w:rPr>
      </w:pPr>
    </w:p>
    <w:p w:rsidR="00975167" w:rsidRPr="00960472" w:rsidRDefault="007C219E" w:rsidP="0096047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Supplemental F</w:t>
      </w:r>
      <w:r w:rsidR="00975167">
        <w:rPr>
          <w:rFonts w:ascii="Times New Roman" w:hAnsi="Times New Roman" w:cs="Times New Roman"/>
          <w:lang w:val="en-US"/>
        </w:rPr>
        <w:t>ig</w:t>
      </w:r>
      <w:r>
        <w:rPr>
          <w:rFonts w:ascii="Times New Roman" w:hAnsi="Times New Roman" w:cs="Times New Roman"/>
          <w:lang w:val="en-US"/>
        </w:rPr>
        <w:t>.</w:t>
      </w:r>
      <w:r w:rsidR="00975167">
        <w:rPr>
          <w:rFonts w:ascii="Times New Roman" w:hAnsi="Times New Roman" w:cs="Times New Roman"/>
          <w:lang w:val="en-US"/>
        </w:rPr>
        <w:t xml:space="preserve"> 4</w:t>
      </w:r>
      <w:r>
        <w:rPr>
          <w:rFonts w:ascii="Times New Roman" w:hAnsi="Times New Roman" w:cs="Times New Roman"/>
          <w:lang w:val="en-US"/>
        </w:rPr>
        <w:t>.</w:t>
      </w:r>
      <w:r w:rsidR="00975167">
        <w:rPr>
          <w:rFonts w:ascii="Times New Roman" w:hAnsi="Times New Roman" w:cs="Times New Roman"/>
          <w:lang w:val="en-US"/>
        </w:rPr>
        <w:t xml:space="preserve"> </w:t>
      </w:r>
      <w:r w:rsidR="00975167" w:rsidRPr="00975167">
        <w:rPr>
          <w:rFonts w:ascii="Times New Roman" w:hAnsi="Times New Roman" w:cs="Times New Roman"/>
          <w:lang w:val="en-US"/>
        </w:rPr>
        <w:t>Stability of 25(OH)D</w:t>
      </w:r>
      <w:r w:rsidR="00975167" w:rsidRPr="00975167">
        <w:rPr>
          <w:rFonts w:ascii="Times New Roman" w:hAnsi="Times New Roman" w:cs="Times New Roman"/>
          <w:vertAlign w:val="subscript"/>
          <w:lang w:val="en-US"/>
        </w:rPr>
        <w:t>3</w:t>
      </w:r>
      <w:r w:rsidR="00975167" w:rsidRPr="00975167">
        <w:rPr>
          <w:rFonts w:ascii="Times New Roman" w:hAnsi="Times New Roman" w:cs="Times New Roman"/>
          <w:lang w:val="en-US"/>
        </w:rPr>
        <w:t xml:space="preserve"> on DBS at 25°C for 3 individuals for 21 days.</w:t>
      </w:r>
    </w:p>
    <w:p w:rsidR="00960472" w:rsidRDefault="00960472" w:rsidP="0003483C">
      <w:pPr>
        <w:keepNext/>
        <w:rPr>
          <w:noProof/>
          <w:lang w:val="en-US"/>
        </w:rPr>
      </w:pPr>
      <w:r w:rsidRPr="00960472">
        <w:rPr>
          <w:noProof/>
          <w:lang w:val="en-US"/>
        </w:rPr>
        <w:t xml:space="preserve"> </w:t>
      </w:r>
      <w:r w:rsidRPr="00960472">
        <w:rPr>
          <w:noProof/>
        </w:rPr>
        <w:drawing>
          <wp:inline distT="0" distB="0" distL="0" distR="0" wp14:anchorId="7A5778ED" wp14:editId="08C709DF">
            <wp:extent cx="5278120" cy="2774960"/>
            <wp:effectExtent l="0" t="0" r="17780" b="25400"/>
            <wp:docPr id="4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2EB" w:rsidRDefault="009B32EB" w:rsidP="0003483C">
      <w:pPr>
        <w:keepNext/>
        <w:rPr>
          <w:noProof/>
          <w:lang w:val="en-US"/>
        </w:rPr>
      </w:pPr>
    </w:p>
    <w:p w:rsidR="009B32EB" w:rsidRPr="009B32EB" w:rsidRDefault="007C219E" w:rsidP="009B32E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Supplemental F</w:t>
      </w:r>
      <w:r w:rsidR="009B32EB" w:rsidRPr="009B32EB">
        <w:rPr>
          <w:rFonts w:ascii="Times New Roman" w:hAnsi="Times New Roman" w:cs="Times New Roman"/>
          <w:lang w:val="en-US"/>
        </w:rPr>
        <w:t>ig</w:t>
      </w:r>
      <w:r>
        <w:rPr>
          <w:rFonts w:ascii="Times New Roman" w:hAnsi="Times New Roman" w:cs="Times New Roman"/>
          <w:lang w:val="en-US"/>
        </w:rPr>
        <w:t>.</w:t>
      </w:r>
      <w:r w:rsidR="009B32EB" w:rsidRPr="009B32EB">
        <w:rPr>
          <w:rFonts w:ascii="Times New Roman" w:hAnsi="Times New Roman" w:cs="Times New Roman"/>
          <w:lang w:val="en-US"/>
        </w:rPr>
        <w:t xml:space="preserve"> </w:t>
      </w:r>
      <w:r w:rsidR="009B32EB" w:rsidRPr="009B32EB">
        <w:rPr>
          <w:rFonts w:ascii="Times New Roman" w:hAnsi="Times New Roman" w:cs="Times New Roman"/>
          <w:lang w:val="en-US"/>
        </w:rPr>
        <w:fldChar w:fldCharType="begin"/>
      </w:r>
      <w:r w:rsidR="009B32EB" w:rsidRPr="009B32EB">
        <w:rPr>
          <w:rFonts w:ascii="Times New Roman" w:hAnsi="Times New Roman" w:cs="Times New Roman"/>
          <w:lang w:val="en-US"/>
        </w:rPr>
        <w:instrText xml:space="preserve"> SEQ Figure \* ARABIC </w:instrText>
      </w:r>
      <w:r w:rsidR="009B32EB" w:rsidRPr="009B32EB">
        <w:rPr>
          <w:rFonts w:ascii="Times New Roman" w:hAnsi="Times New Roman" w:cs="Times New Roman"/>
          <w:lang w:val="en-US"/>
        </w:rPr>
        <w:fldChar w:fldCharType="separate"/>
      </w:r>
      <w:r w:rsidR="009B32EB" w:rsidRPr="009B32EB">
        <w:rPr>
          <w:rFonts w:ascii="Times New Roman" w:hAnsi="Times New Roman" w:cs="Times New Roman"/>
          <w:lang w:val="en-US"/>
        </w:rPr>
        <w:t>5</w:t>
      </w:r>
      <w:r w:rsidR="009B32EB" w:rsidRPr="009B32EB"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>.</w:t>
      </w:r>
      <w:r w:rsidR="009B32EB" w:rsidRPr="009B32EB">
        <w:rPr>
          <w:rFonts w:ascii="Times New Roman" w:hAnsi="Times New Roman" w:cs="Times New Roman"/>
          <w:lang w:val="en-US"/>
        </w:rPr>
        <w:t xml:space="preserve"> Stability of 25(OH)D</w:t>
      </w:r>
      <w:r w:rsidR="009B32EB" w:rsidRPr="009B32EB">
        <w:rPr>
          <w:rFonts w:ascii="Times New Roman" w:hAnsi="Times New Roman" w:cs="Times New Roman"/>
          <w:vertAlign w:val="subscript"/>
          <w:lang w:val="en-US"/>
        </w:rPr>
        <w:t>3</w:t>
      </w:r>
      <w:r w:rsidR="009B32EB" w:rsidRPr="009B32EB">
        <w:rPr>
          <w:rFonts w:ascii="Times New Roman" w:hAnsi="Times New Roman" w:cs="Times New Roman"/>
          <w:lang w:val="en-US"/>
        </w:rPr>
        <w:t xml:space="preserve"> on DBS at 50</w:t>
      </w:r>
      <w:r>
        <w:rPr>
          <w:rFonts w:ascii="Times New Roman" w:hAnsi="Times New Roman" w:cs="Times New Roman"/>
          <w:lang w:val="en-US"/>
        </w:rPr>
        <w:t>°C</w:t>
      </w:r>
      <w:r w:rsidR="009B32EB" w:rsidRPr="009B32EB">
        <w:rPr>
          <w:rFonts w:ascii="Times New Roman" w:hAnsi="Times New Roman" w:cs="Times New Roman"/>
          <w:lang w:val="en-US"/>
        </w:rPr>
        <w:t xml:space="preserve"> for 3 individuals for 21 days</w:t>
      </w:r>
    </w:p>
    <w:p w:rsidR="00960472" w:rsidRPr="00960472" w:rsidRDefault="00960472" w:rsidP="00960472">
      <w:pPr>
        <w:keepNext/>
      </w:pPr>
      <w:r w:rsidRPr="00960472">
        <w:rPr>
          <w:noProof/>
        </w:rPr>
        <w:drawing>
          <wp:inline distT="0" distB="0" distL="0" distR="0" wp14:anchorId="56D26788" wp14:editId="60DABD19">
            <wp:extent cx="5353050" cy="2809875"/>
            <wp:effectExtent l="0" t="0" r="19050" b="9525"/>
            <wp:docPr id="5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472" w:rsidRPr="00960472" w:rsidRDefault="00960472" w:rsidP="00960472">
      <w:pPr>
        <w:rPr>
          <w:lang w:val="en-US"/>
        </w:rPr>
      </w:pPr>
    </w:p>
    <w:p w:rsidR="00960472" w:rsidRPr="003B3D9D" w:rsidRDefault="00960472">
      <w:pPr>
        <w:rPr>
          <w:rFonts w:ascii="Times New Roman" w:hAnsi="Times New Roman" w:cs="Times New Roman"/>
          <w:lang w:val="en-US"/>
        </w:rPr>
      </w:pPr>
      <w:r w:rsidRPr="00960472">
        <w:rPr>
          <w:rFonts w:ascii="Times New Roman" w:hAnsi="Times New Roman" w:cs="Times New Roman"/>
          <w:lang w:val="en-US"/>
        </w:rPr>
        <w:t xml:space="preserve">For both temperatures inspected, results for the three individuals show no trending, confirming stability of </w:t>
      </w:r>
      <w:r>
        <w:rPr>
          <w:rFonts w:ascii="Times New Roman" w:hAnsi="Times New Roman" w:cs="Times New Roman"/>
          <w:lang w:val="en-US"/>
        </w:rPr>
        <w:t>25(</w:t>
      </w:r>
      <w:r w:rsidRPr="00960472"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  <w:lang w:val="en-US"/>
        </w:rPr>
        <w:t>)</w:t>
      </w:r>
      <w:r w:rsidRPr="00960472">
        <w:rPr>
          <w:rFonts w:ascii="Times New Roman" w:hAnsi="Times New Roman" w:cs="Times New Roman"/>
          <w:lang w:val="en-US"/>
        </w:rPr>
        <w:t>D</w:t>
      </w:r>
      <w:r w:rsidR="00975167" w:rsidRPr="00975167">
        <w:rPr>
          <w:rFonts w:ascii="Times New Roman" w:hAnsi="Times New Roman" w:cs="Times New Roman"/>
          <w:vertAlign w:val="subscript"/>
          <w:lang w:val="en-US"/>
        </w:rPr>
        <w:t>3</w:t>
      </w:r>
      <w:r w:rsidRPr="00960472">
        <w:rPr>
          <w:rFonts w:ascii="Times New Roman" w:hAnsi="Times New Roman" w:cs="Times New Roman"/>
          <w:lang w:val="en-US"/>
        </w:rPr>
        <w:t xml:space="preserve"> on DBS over 21 days. </w:t>
      </w:r>
    </w:p>
    <w:sectPr w:rsidR="00960472" w:rsidRPr="003B3D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12" w:rsidRDefault="00CE6012" w:rsidP="00960472">
      <w:pPr>
        <w:spacing w:after="0" w:line="240" w:lineRule="auto"/>
      </w:pPr>
      <w:r>
        <w:separator/>
      </w:r>
    </w:p>
  </w:endnote>
  <w:endnote w:type="continuationSeparator" w:id="0">
    <w:p w:rsidR="00CE6012" w:rsidRDefault="00CE6012" w:rsidP="0096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052893"/>
      <w:docPartObj>
        <w:docPartGallery w:val="Page Numbers (Bottom of Page)"/>
        <w:docPartUnique/>
      </w:docPartObj>
    </w:sdtPr>
    <w:sdtEndPr/>
    <w:sdtContent>
      <w:p w:rsidR="00960472" w:rsidRDefault="0096047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180">
          <w:rPr>
            <w:noProof/>
          </w:rPr>
          <w:t>1</w:t>
        </w:r>
        <w:r>
          <w:fldChar w:fldCharType="end"/>
        </w:r>
      </w:p>
    </w:sdtContent>
  </w:sdt>
  <w:p w:rsidR="00960472" w:rsidRDefault="00960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12" w:rsidRDefault="00CE6012" w:rsidP="00960472">
      <w:pPr>
        <w:spacing w:after="0" w:line="240" w:lineRule="auto"/>
      </w:pPr>
      <w:r>
        <w:separator/>
      </w:r>
    </w:p>
  </w:footnote>
  <w:footnote w:type="continuationSeparator" w:id="0">
    <w:p w:rsidR="00CE6012" w:rsidRDefault="00CE6012" w:rsidP="00960472">
      <w:pPr>
        <w:spacing w:after="0" w:line="240" w:lineRule="auto"/>
      </w:pPr>
      <w:r>
        <w:continuationSeparator/>
      </w:r>
    </w:p>
  </w:footnote>
  <w:footnote w:id="1">
    <w:p w:rsidR="00960472" w:rsidRPr="009118B1" w:rsidRDefault="00960472" w:rsidP="009604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51E8B">
          <w:rPr>
            <w:rStyle w:val="Hyperlink"/>
          </w:rPr>
          <w:t>https://www-s.nist.gov/srmors/certificates/1950.pdf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72"/>
    <w:rsid w:val="0003483C"/>
    <w:rsid w:val="003B3D9D"/>
    <w:rsid w:val="003F53BA"/>
    <w:rsid w:val="004A7F29"/>
    <w:rsid w:val="0051139A"/>
    <w:rsid w:val="005F0994"/>
    <w:rsid w:val="00600AF6"/>
    <w:rsid w:val="006C20E6"/>
    <w:rsid w:val="0071673B"/>
    <w:rsid w:val="0072461C"/>
    <w:rsid w:val="007C219E"/>
    <w:rsid w:val="00911DC2"/>
    <w:rsid w:val="00960472"/>
    <w:rsid w:val="00975167"/>
    <w:rsid w:val="009B32EB"/>
    <w:rsid w:val="00C51180"/>
    <w:rsid w:val="00CE6012"/>
    <w:rsid w:val="00F4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3FE9"/>
  <w15:docId w15:val="{0CD3664D-5DE1-4EC9-A396-2018D527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472"/>
    <w:rPr>
      <w:color w:val="0000FF" w:themeColor="hyperlink"/>
      <w:u w:val="single"/>
    </w:rPr>
  </w:style>
  <w:style w:type="table" w:customStyle="1" w:styleId="Vanligtabell22">
    <w:name w:val="Vanlig tabell 22"/>
    <w:basedOn w:val="TableNormal"/>
    <w:uiPriority w:val="42"/>
    <w:rsid w:val="0096047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6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47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04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72"/>
  </w:style>
  <w:style w:type="paragraph" w:styleId="Footer">
    <w:name w:val="footer"/>
    <w:basedOn w:val="Normal"/>
    <w:link w:val="FooterChar"/>
    <w:uiPriority w:val="99"/>
    <w:unhideWhenUsed/>
    <w:rsid w:val="0096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72"/>
  </w:style>
  <w:style w:type="paragraph" w:styleId="NoSpacing">
    <w:name w:val="No Spacing"/>
    <w:uiPriority w:val="1"/>
    <w:qFormat/>
    <w:rsid w:val="0096047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3F53BA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11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-s.nist.gov/srmors/certificates/1950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fs01\arkiv\Prosjekt_Arkiv\P78\Trendkurve%20alle%20rapporterte%20svar-16110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fs01\arkiv\Prosjekt_Arkiv\P760\Valideringsdata\Vit%20D\Korrelasjon%20DBS%20vs%20plasma-%20VITAS%20AS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haug\Documents\Share\Bodymarkers\161113%20Stabilitet%2025%20grader,%203%20individer\161113%20Stabilitet%2025%20grader,%203%20individer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mhaug\Documents\Share\Bodymarkers\161114%20Stabilitet%2050%20grader,%203%20individer\161114%20Stabilitet%2050%20grader,%203%20individer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DEQAS results</a:t>
            </a:r>
            <a:r>
              <a:rPr lang="en-US" baseline="0"/>
              <a:t> 2016</a:t>
            </a:r>
            <a:endParaRPr lang="en-US"/>
          </a:p>
        </c:rich>
      </c:tx>
      <c:layout>
        <c:manualLayout>
          <c:xMode val="edge"/>
          <c:yMode val="edge"/>
          <c:x val="0.3410009624639076"/>
          <c:y val="6.045949214026602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'Ark1'!$D$6</c:f>
              <c:strCache>
                <c:ptCount val="1"/>
                <c:pt idx="0">
                  <c:v>% deviation from method mean</c:v>
                </c:pt>
              </c:strCache>
            </c:strRef>
          </c:tx>
          <c:invertIfNegative val="0"/>
          <c:cat>
            <c:strRef>
              <c:f>'Ark1'!$A$147:$A$161</c:f>
              <c:strCache>
                <c:ptCount val="11"/>
                <c:pt idx="0">
                  <c:v>jan</c:v>
                </c:pt>
                <c:pt idx="5">
                  <c:v>april</c:v>
                </c:pt>
                <c:pt idx="10">
                  <c:v>juli</c:v>
                </c:pt>
              </c:strCache>
            </c:strRef>
          </c:cat>
          <c:val>
            <c:numRef>
              <c:f>'Ark1'!$D$7:$D$166</c:f>
            </c:numRef>
          </c:val>
          <c:extLst>
            <c:ext xmlns:c16="http://schemas.microsoft.com/office/drawing/2014/chart" uri="{C3380CC4-5D6E-409C-BE32-E72D297353CC}">
              <c16:uniqueId val="{00000000-0281-453C-913E-F52F4A86F18F}"/>
            </c:ext>
          </c:extLst>
        </c:ser>
        <c:ser>
          <c:idx val="1"/>
          <c:order val="1"/>
          <c:tx>
            <c:strRef>
              <c:f>'Ark1'!$E$6</c:f>
              <c:strCache>
                <c:ptCount val="1"/>
                <c:pt idx="0">
                  <c:v>% deviation from target</c:v>
                </c:pt>
              </c:strCache>
            </c:strRef>
          </c:tx>
          <c:invertIfNegative val="0"/>
          <c:cat>
            <c:strRef>
              <c:f>'Ark1'!$A$147:$A$161</c:f>
              <c:strCache>
                <c:ptCount val="11"/>
                <c:pt idx="0">
                  <c:v>jan</c:v>
                </c:pt>
                <c:pt idx="5">
                  <c:v>april</c:v>
                </c:pt>
                <c:pt idx="10">
                  <c:v>juli</c:v>
                </c:pt>
              </c:strCache>
            </c:strRef>
          </c:cat>
          <c:val>
            <c:numRef>
              <c:f>'Ark1'!$E$6:$E$161</c:f>
              <c:numCache>
                <c:formatCode>General</c:formatCode>
                <c:ptCount val="16"/>
                <c:pt idx="0">
                  <c:v>0</c:v>
                </c:pt>
                <c:pt idx="1">
                  <c:v>-5.9</c:v>
                </c:pt>
                <c:pt idx="2">
                  <c:v>1</c:v>
                </c:pt>
                <c:pt idx="3">
                  <c:v>1.5</c:v>
                </c:pt>
                <c:pt idx="4">
                  <c:v>-1.9</c:v>
                </c:pt>
                <c:pt idx="5">
                  <c:v>-1.8</c:v>
                </c:pt>
                <c:pt idx="6">
                  <c:v>-5.0999999999999996</c:v>
                </c:pt>
                <c:pt idx="7">
                  <c:v>-0.8</c:v>
                </c:pt>
                <c:pt idx="8">
                  <c:v>-2</c:v>
                </c:pt>
                <c:pt idx="9">
                  <c:v>0.1</c:v>
                </c:pt>
                <c:pt idx="10">
                  <c:v>3.2</c:v>
                </c:pt>
                <c:pt idx="11">
                  <c:v>-3.6</c:v>
                </c:pt>
                <c:pt idx="12">
                  <c:v>4.4000000000000004</c:v>
                </c:pt>
                <c:pt idx="13">
                  <c:v>-2.4</c:v>
                </c:pt>
                <c:pt idx="14">
                  <c:v>3.9</c:v>
                </c:pt>
                <c:pt idx="15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81-453C-913E-F52F4A86F1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88768"/>
        <c:axId val="80295040"/>
      </c:barChart>
      <c:catAx>
        <c:axId val="80288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Year-2016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low"/>
        <c:crossAx val="80295040"/>
        <c:crosses val="autoZero"/>
        <c:auto val="1"/>
        <c:lblAlgn val="ctr"/>
        <c:lblOffset val="20"/>
        <c:tickMarkSkip val="1"/>
        <c:noMultiLvlLbl val="0"/>
      </c:catAx>
      <c:valAx>
        <c:axId val="80295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deviation</a:t>
                </a:r>
              </a:p>
            </c:rich>
          </c:tx>
          <c:overlay val="0"/>
        </c:title>
        <c:numFmt formatCode="General" sourceLinked="1"/>
        <c:majorTickMark val="cross"/>
        <c:minorTickMark val="none"/>
        <c:tickLblPos val="nextTo"/>
        <c:crossAx val="80288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25(OH)D</a:t>
            </a:r>
            <a:r>
              <a:rPr lang="en-US" baseline="-25000"/>
              <a:t>3</a:t>
            </a:r>
            <a:r>
              <a:rPr lang="en-US"/>
              <a:t> DBS vs</a:t>
            </a:r>
            <a:r>
              <a:rPr lang="en-US" baseline="0"/>
              <a:t> Plasma</a:t>
            </a:r>
            <a:endParaRPr lang="en-US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'Ark1'!$B$2:$D$2</c:f>
              <c:strCache>
                <c:ptCount val="1"/>
                <c:pt idx="0">
                  <c:v>DBS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intercept val="0"/>
            <c:dispRSqr val="0"/>
            <c:dispEq val="0"/>
          </c:trendline>
          <c:xVal>
            <c:numRef>
              <c:f>'[Korrelasjon DBS vs plasma- VITAS AS.xlsx]Ark1'!$C$5:$D$83</c:f>
              <c:numCache>
                <c:formatCode>0.0</c:formatCode>
                <c:ptCount val="79"/>
                <c:pt idx="0">
                  <c:v>51.640454759399503</c:v>
                </c:pt>
                <c:pt idx="1">
                  <c:v>57.033311209074803</c:v>
                </c:pt>
                <c:pt idx="2">
                  <c:v>49.426162933595698</c:v>
                </c:pt>
                <c:pt idx="3">
                  <c:v>50.216483327812803</c:v>
                </c:pt>
                <c:pt idx="4">
                  <c:v>67.372542226626194</c:v>
                </c:pt>
                <c:pt idx="5">
                  <c:v>67.912841959866896</c:v>
                </c:pt>
                <c:pt idx="6">
                  <c:v>69.495556927624406</c:v>
                </c:pt>
                <c:pt idx="7">
                  <c:v>57.194840803524201</c:v>
                </c:pt>
                <c:pt idx="8">
                  <c:v>82.875418327299201</c:v>
                </c:pt>
                <c:pt idx="9">
                  <c:v>54.073410078008699</c:v>
                </c:pt>
                <c:pt idx="10">
                  <c:v>94.035613674009298</c:v>
                </c:pt>
                <c:pt idx="11">
                  <c:v>52.857639039750502</c:v>
                </c:pt>
                <c:pt idx="12">
                  <c:v>66.901163772364995</c:v>
                </c:pt>
                <c:pt idx="13">
                  <c:v>75.656461129739895</c:v>
                </c:pt>
                <c:pt idx="15">
                  <c:v>41.049299882969798</c:v>
                </c:pt>
                <c:pt idx="16">
                  <c:v>61.028558231199</c:v>
                </c:pt>
                <c:pt idx="17">
                  <c:v>64.384914720272207</c:v>
                </c:pt>
                <c:pt idx="18">
                  <c:v>93.2851763192253</c:v>
                </c:pt>
                <c:pt idx="19">
                  <c:v>71.858794537072399</c:v>
                </c:pt>
                <c:pt idx="20">
                  <c:v>100.74021701514501</c:v>
                </c:pt>
                <c:pt idx="21">
                  <c:v>69.397598120098294</c:v>
                </c:pt>
                <c:pt idx="22">
                  <c:v>46.282923238654398</c:v>
                </c:pt>
                <c:pt idx="23">
                  <c:v>76.1964808529804</c:v>
                </c:pt>
                <c:pt idx="24">
                  <c:v>52.9706584329167</c:v>
                </c:pt>
                <c:pt idx="25">
                  <c:v>84.1026861116096</c:v>
                </c:pt>
                <c:pt idx="26">
                  <c:v>63.228073772568898</c:v>
                </c:pt>
                <c:pt idx="27">
                  <c:v>53.128146521965299</c:v>
                </c:pt>
                <c:pt idx="28">
                  <c:v>64.9063303338379</c:v>
                </c:pt>
                <c:pt idx="29">
                  <c:v>91.505076602494498</c:v>
                </c:pt>
                <c:pt idx="30">
                  <c:v>73.873993418215804</c:v>
                </c:pt>
                <c:pt idx="31">
                  <c:v>101.66011258330001</c:v>
                </c:pt>
                <c:pt idx="32">
                  <c:v>68.188757227366906</c:v>
                </c:pt>
                <c:pt idx="33">
                  <c:v>68.914441605958899</c:v>
                </c:pt>
                <c:pt idx="34">
                  <c:v>72.933398064649097</c:v>
                </c:pt>
                <c:pt idx="35">
                  <c:v>77.712592591147299</c:v>
                </c:pt>
                <c:pt idx="36">
                  <c:v>85.411240979891502</c:v>
                </c:pt>
                <c:pt idx="37">
                  <c:v>62.086053916911901</c:v>
                </c:pt>
                <c:pt idx="38">
                  <c:v>65.130510745081295</c:v>
                </c:pt>
                <c:pt idx="39">
                  <c:v>95.648729443049007</c:v>
                </c:pt>
                <c:pt idx="40">
                  <c:v>87.5411053213233</c:v>
                </c:pt>
                <c:pt idx="41">
                  <c:v>63.816238408732602</c:v>
                </c:pt>
                <c:pt idx="42">
                  <c:v>91.359092554796604</c:v>
                </c:pt>
                <c:pt idx="43">
                  <c:v>66.032336762430504</c:v>
                </c:pt>
                <c:pt idx="44">
                  <c:v>49.922110078663799</c:v>
                </c:pt>
                <c:pt idx="45">
                  <c:v>46.4519035183216</c:v>
                </c:pt>
                <c:pt idx="46">
                  <c:v>60.114745062232501</c:v>
                </c:pt>
                <c:pt idx="47">
                  <c:v>57.363733265445099</c:v>
                </c:pt>
                <c:pt idx="48">
                  <c:v>101.43300967839301</c:v>
                </c:pt>
                <c:pt idx="49">
                  <c:v>64.031734622230104</c:v>
                </c:pt>
                <c:pt idx="50">
                  <c:v>81.8498998960129</c:v>
                </c:pt>
                <c:pt idx="51">
                  <c:v>51.188171384107001</c:v>
                </c:pt>
                <c:pt idx="52">
                  <c:v>67.961079709340694</c:v>
                </c:pt>
                <c:pt idx="53">
                  <c:v>64.610047345459705</c:v>
                </c:pt>
                <c:pt idx="54">
                  <c:v>82.007409526743601</c:v>
                </c:pt>
                <c:pt idx="55">
                  <c:v>59.454373932521797</c:v>
                </c:pt>
                <c:pt idx="56">
                  <c:v>75.551875383949593</c:v>
                </c:pt>
                <c:pt idx="57">
                  <c:v>59.077267846414799</c:v>
                </c:pt>
                <c:pt idx="58">
                  <c:v>42.761323032175902</c:v>
                </c:pt>
                <c:pt idx="59">
                  <c:v>59.630746361615799</c:v>
                </c:pt>
                <c:pt idx="60">
                  <c:v>63.730802219645</c:v>
                </c:pt>
                <c:pt idx="61">
                  <c:v>59.872873373015601</c:v>
                </c:pt>
                <c:pt idx="62">
                  <c:v>66.555575807346401</c:v>
                </c:pt>
                <c:pt idx="63">
                  <c:v>56.954811397229697</c:v>
                </c:pt>
                <c:pt idx="64">
                  <c:v>57.264229988682303</c:v>
                </c:pt>
                <c:pt idx="65">
                  <c:v>73.676320617102107</c:v>
                </c:pt>
                <c:pt idx="66">
                  <c:v>68.256851674333305</c:v>
                </c:pt>
                <c:pt idx="67">
                  <c:v>78.362384983546505</c:v>
                </c:pt>
                <c:pt idx="68">
                  <c:v>66.934723777075703</c:v>
                </c:pt>
                <c:pt idx="69">
                  <c:v>44.305905104001802</c:v>
                </c:pt>
                <c:pt idx="70">
                  <c:v>46.485358782090003</c:v>
                </c:pt>
                <c:pt idx="71">
                  <c:v>136.84423646855501</c:v>
                </c:pt>
                <c:pt idx="72">
                  <c:v>280.64559354971902</c:v>
                </c:pt>
                <c:pt idx="73" formatCode="0.00">
                  <c:v>186.646774146301</c:v>
                </c:pt>
                <c:pt idx="74" formatCode="0.00">
                  <c:v>143.58876161943201</c:v>
                </c:pt>
                <c:pt idx="75" formatCode="0.00">
                  <c:v>82.118314195716394</c:v>
                </c:pt>
                <c:pt idx="76" formatCode="0.00">
                  <c:v>243.42584680226901</c:v>
                </c:pt>
                <c:pt idx="77" formatCode="0.00">
                  <c:v>189.92028580378201</c:v>
                </c:pt>
                <c:pt idx="78" formatCode="0.00">
                  <c:v>126.910360460813</c:v>
                </c:pt>
              </c:numCache>
            </c:numRef>
          </c:xVal>
          <c:yVal>
            <c:numRef>
              <c:f>'Ark1'!$J$5:$J$83</c:f>
              <c:numCache>
                <c:formatCode>0.0</c:formatCode>
                <c:ptCount val="79"/>
                <c:pt idx="0">
                  <c:v>63.6558271661535</c:v>
                </c:pt>
                <c:pt idx="1">
                  <c:v>58.111114852218599</c:v>
                </c:pt>
                <c:pt idx="2">
                  <c:v>57.331263411311497</c:v>
                </c:pt>
                <c:pt idx="3">
                  <c:v>57.168220619450103</c:v>
                </c:pt>
                <c:pt idx="4">
                  <c:v>70.908143330885906</c:v>
                </c:pt>
                <c:pt idx="5">
                  <c:v>57.971459039793402</c:v>
                </c:pt>
                <c:pt idx="6">
                  <c:v>68.072966798172203</c:v>
                </c:pt>
                <c:pt idx="7">
                  <c:v>56.056638395120601</c:v>
                </c:pt>
                <c:pt idx="8">
                  <c:v>71.092563808696198</c:v>
                </c:pt>
                <c:pt idx="9">
                  <c:v>46.513046918411199</c:v>
                </c:pt>
                <c:pt idx="10">
                  <c:v>76.059313681371705</c:v>
                </c:pt>
                <c:pt idx="11">
                  <c:v>56.442960468208398</c:v>
                </c:pt>
                <c:pt idx="12">
                  <c:v>67.697253412943198</c:v>
                </c:pt>
                <c:pt idx="13">
                  <c:v>81.243346442904894</c:v>
                </c:pt>
                <c:pt idx="14">
                  <c:v>47.725361877239401</c:v>
                </c:pt>
                <c:pt idx="15">
                  <c:v>35.674454417975099</c:v>
                </c:pt>
                <c:pt idx="16">
                  <c:v>60.441500200389797</c:v>
                </c:pt>
                <c:pt idx="17">
                  <c:v>62.3501614057582</c:v>
                </c:pt>
                <c:pt idx="18">
                  <c:v>68.310821431917901</c:v>
                </c:pt>
                <c:pt idx="19">
                  <c:v>64.354313494336793</c:v>
                </c:pt>
                <c:pt idx="20">
                  <c:v>88.640303020032704</c:v>
                </c:pt>
                <c:pt idx="21">
                  <c:v>67.462940766800102</c:v>
                </c:pt>
                <c:pt idx="22">
                  <c:v>36.7536185532866</c:v>
                </c:pt>
                <c:pt idx="23">
                  <c:v>54.671103875863601</c:v>
                </c:pt>
                <c:pt idx="24">
                  <c:v>55.114147062395503</c:v>
                </c:pt>
                <c:pt idx="25">
                  <c:v>66.394982133906495</c:v>
                </c:pt>
                <c:pt idx="26">
                  <c:v>60.644389381045897</c:v>
                </c:pt>
                <c:pt idx="27">
                  <c:v>51.356512341056302</c:v>
                </c:pt>
                <c:pt idx="28">
                  <c:v>64.000997596836001</c:v>
                </c:pt>
                <c:pt idx="29">
                  <c:v>86.328892732198398</c:v>
                </c:pt>
                <c:pt idx="30">
                  <c:v>77.561966234711704</c:v>
                </c:pt>
                <c:pt idx="31">
                  <c:v>82.725236988898203</c:v>
                </c:pt>
                <c:pt idx="32">
                  <c:v>63.088444384370803</c:v>
                </c:pt>
                <c:pt idx="33">
                  <c:v>64.2435893860617</c:v>
                </c:pt>
                <c:pt idx="34">
                  <c:v>59.905592553693403</c:v>
                </c:pt>
                <c:pt idx="35">
                  <c:v>77.202217483094699</c:v>
                </c:pt>
                <c:pt idx="36">
                  <c:v>83.604341333575405</c:v>
                </c:pt>
                <c:pt idx="37">
                  <c:v>68.898786613749905</c:v>
                </c:pt>
                <c:pt idx="38">
                  <c:v>50.919849990531802</c:v>
                </c:pt>
                <c:pt idx="39">
                  <c:v>90.2992357680792</c:v>
                </c:pt>
                <c:pt idx="40">
                  <c:v>71.229192056580004</c:v>
                </c:pt>
                <c:pt idx="41">
                  <c:v>65.393609945754804</c:v>
                </c:pt>
                <c:pt idx="42">
                  <c:v>95.3914627591449</c:v>
                </c:pt>
                <c:pt idx="43">
                  <c:v>71.507317251533394</c:v>
                </c:pt>
                <c:pt idx="44">
                  <c:v>39.559330659235897</c:v>
                </c:pt>
                <c:pt idx="45">
                  <c:v>48.908233296208401</c:v>
                </c:pt>
                <c:pt idx="46">
                  <c:v>54.3199184519776</c:v>
                </c:pt>
                <c:pt idx="47">
                  <c:v>55.617417934173098</c:v>
                </c:pt>
                <c:pt idx="48">
                  <c:v>97.479405267426699</c:v>
                </c:pt>
                <c:pt idx="49">
                  <c:v>63.539610361543502</c:v>
                </c:pt>
                <c:pt idx="50">
                  <c:v>76.319669323604899</c:v>
                </c:pt>
                <c:pt idx="51">
                  <c:v>52.828876605800801</c:v>
                </c:pt>
                <c:pt idx="52">
                  <c:v>64.639804842216805</c:v>
                </c:pt>
                <c:pt idx="53">
                  <c:v>66.192191155963798</c:v>
                </c:pt>
                <c:pt idx="54">
                  <c:v>64.589212882737399</c:v>
                </c:pt>
                <c:pt idx="55">
                  <c:v>67.322807391785801</c:v>
                </c:pt>
                <c:pt idx="56">
                  <c:v>60.140068111388501</c:v>
                </c:pt>
                <c:pt idx="57">
                  <c:v>64.699812968466503</c:v>
                </c:pt>
                <c:pt idx="58">
                  <c:v>44.347762095705498</c:v>
                </c:pt>
                <c:pt idx="59">
                  <c:v>51.194414308957697</c:v>
                </c:pt>
                <c:pt idx="60">
                  <c:v>74.621994176912693</c:v>
                </c:pt>
                <c:pt idx="61">
                  <c:v>63.573086147694603</c:v>
                </c:pt>
                <c:pt idx="62">
                  <c:v>57.553709085833802</c:v>
                </c:pt>
                <c:pt idx="63">
                  <c:v>69.654971197662505</c:v>
                </c:pt>
                <c:pt idx="64">
                  <c:v>62.937103331673804</c:v>
                </c:pt>
                <c:pt idx="65">
                  <c:v>67.802684719618</c:v>
                </c:pt>
                <c:pt idx="66">
                  <c:v>69.021724288639604</c:v>
                </c:pt>
                <c:pt idx="67">
                  <c:v>81.402438070509007</c:v>
                </c:pt>
                <c:pt idx="68">
                  <c:v>73.269482259689298</c:v>
                </c:pt>
                <c:pt idx="69">
                  <c:v>43.5851152187766</c:v>
                </c:pt>
                <c:pt idx="70">
                  <c:v>51.480403335231998</c:v>
                </c:pt>
                <c:pt idx="71">
                  <c:v>109.133658456091</c:v>
                </c:pt>
                <c:pt idx="72">
                  <c:v>228.85388353186201</c:v>
                </c:pt>
                <c:pt idx="73">
                  <c:v>179.81</c:v>
                </c:pt>
                <c:pt idx="74">
                  <c:v>134.86000000000001</c:v>
                </c:pt>
                <c:pt idx="75">
                  <c:v>89.91</c:v>
                </c:pt>
                <c:pt idx="76">
                  <c:v>234.75</c:v>
                </c:pt>
                <c:pt idx="77">
                  <c:v>176.06</c:v>
                </c:pt>
                <c:pt idx="78">
                  <c:v>117.37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D93-423E-B456-802DBF676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908480"/>
        <c:axId val="83943424"/>
      </c:scatterChart>
      <c:valAx>
        <c:axId val="83908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DBS (nmol/L)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83943424"/>
        <c:crosses val="autoZero"/>
        <c:crossBetween val="midCat"/>
      </c:valAx>
      <c:valAx>
        <c:axId val="83943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Plasma (nmol/L)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8390848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Stability of 25(OH)D</a:t>
            </a:r>
            <a:r>
              <a:rPr lang="en-US" baseline="-25000"/>
              <a:t>3</a:t>
            </a:r>
            <a:r>
              <a:rPr lang="en-US"/>
              <a:t> at 25</a:t>
            </a:r>
            <a:r>
              <a:rPr lang="en-US">
                <a:latin typeface="Calibri"/>
              </a:rPr>
              <a:t>°C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'Ark4'!$A$5</c:f>
              <c:strCache>
                <c:ptCount val="1"/>
                <c:pt idx="0">
                  <c:v>Individual 1</c:v>
                </c:pt>
              </c:strCache>
            </c:strRef>
          </c:tx>
          <c:cat>
            <c:numRef>
              <c:f>'Ark4'!$D$37:$D$47</c:f>
              <c:numCache>
                <c:formatCode>0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14</c:v>
                </c:pt>
                <c:pt idx="7">
                  <c:v>17</c:v>
                </c:pt>
                <c:pt idx="8">
                  <c:v>21</c:v>
                </c:pt>
              </c:numCache>
            </c:numRef>
          </c:cat>
          <c:val>
            <c:numRef>
              <c:f>'Ark4'!$D$3:$D$12</c:f>
              <c:numCache>
                <c:formatCode>0</c:formatCode>
                <c:ptCount val="9"/>
                <c:pt idx="0">
                  <c:v>73.775924482024877</c:v>
                </c:pt>
                <c:pt idx="1">
                  <c:v>77.99177050462589</c:v>
                </c:pt>
                <c:pt idx="2">
                  <c:v>80.415955776930758</c:v>
                </c:pt>
                <c:pt idx="3">
                  <c:v>73.621784517823201</c:v>
                </c:pt>
                <c:pt idx="4">
                  <c:v>84.348587430841178</c:v>
                </c:pt>
                <c:pt idx="5">
                  <c:v>78.090775176425339</c:v>
                </c:pt>
                <c:pt idx="6">
                  <c:v>82.261872040089671</c:v>
                </c:pt>
                <c:pt idx="7">
                  <c:v>76.8940112776326</c:v>
                </c:pt>
                <c:pt idx="8">
                  <c:v>75.959952630048107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8E-4C1A-94F8-1A1E84886656}"/>
            </c:ext>
          </c:extLst>
        </c:ser>
        <c:ser>
          <c:idx val="1"/>
          <c:order val="1"/>
          <c:tx>
            <c:strRef>
              <c:f>'Ark4'!$A$16</c:f>
              <c:strCache>
                <c:ptCount val="1"/>
                <c:pt idx="0">
                  <c:v>Individual 2</c:v>
                </c:pt>
              </c:strCache>
            </c:strRef>
          </c:tx>
          <c:cat>
            <c:numRef>
              <c:f>'Ark4'!$D$37:$D$47</c:f>
              <c:numCache>
                <c:formatCode>0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14</c:v>
                </c:pt>
                <c:pt idx="7">
                  <c:v>17</c:v>
                </c:pt>
                <c:pt idx="8">
                  <c:v>21</c:v>
                </c:pt>
              </c:numCache>
            </c:numRef>
          </c:cat>
          <c:val>
            <c:numRef>
              <c:f>'Ark4'!$D$14:$D$23</c:f>
              <c:numCache>
                <c:formatCode>0</c:formatCode>
                <c:ptCount val="9"/>
                <c:pt idx="0">
                  <c:v>65.123005847356538</c:v>
                </c:pt>
                <c:pt idx="1">
                  <c:v>63.628882464859096</c:v>
                </c:pt>
                <c:pt idx="2">
                  <c:v>59.864914329867467</c:v>
                </c:pt>
                <c:pt idx="3">
                  <c:v>63.480855230603503</c:v>
                </c:pt>
                <c:pt idx="4">
                  <c:v>67.955009277643796</c:v>
                </c:pt>
                <c:pt idx="5">
                  <c:v>69.051377314631779</c:v>
                </c:pt>
                <c:pt idx="6">
                  <c:v>78.912482293355708</c:v>
                </c:pt>
                <c:pt idx="7">
                  <c:v>71.182630524176957</c:v>
                </c:pt>
                <c:pt idx="8">
                  <c:v>68.224831652381198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8E-4C1A-94F8-1A1E84886656}"/>
            </c:ext>
          </c:extLst>
        </c:ser>
        <c:ser>
          <c:idx val="2"/>
          <c:order val="2"/>
          <c:tx>
            <c:strRef>
              <c:f>'Ark4'!$A$27</c:f>
              <c:strCache>
                <c:ptCount val="1"/>
                <c:pt idx="0">
                  <c:v>Individual 3</c:v>
                </c:pt>
              </c:strCache>
            </c:strRef>
          </c:tx>
          <c:cat>
            <c:numRef>
              <c:f>'Ark4'!$D$37:$D$47</c:f>
              <c:numCache>
                <c:formatCode>0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14</c:v>
                </c:pt>
                <c:pt idx="7">
                  <c:v>17</c:v>
                </c:pt>
                <c:pt idx="8">
                  <c:v>21</c:v>
                </c:pt>
              </c:numCache>
            </c:numRef>
          </c:cat>
          <c:val>
            <c:numRef>
              <c:f>'Ark4'!$D$25:$D$34</c:f>
              <c:numCache>
                <c:formatCode>0</c:formatCode>
                <c:ptCount val="9"/>
                <c:pt idx="0">
                  <c:v>54.390523441548766</c:v>
                </c:pt>
                <c:pt idx="1">
                  <c:v>54.312349048707034</c:v>
                </c:pt>
                <c:pt idx="2">
                  <c:v>55.351524066225629</c:v>
                </c:pt>
                <c:pt idx="3">
                  <c:v>57.652989041105734</c:v>
                </c:pt>
                <c:pt idx="4">
                  <c:v>57.656181577715643</c:v>
                </c:pt>
                <c:pt idx="5">
                  <c:v>65.239159270635398</c:v>
                </c:pt>
                <c:pt idx="6">
                  <c:v>55.692113664011835</c:v>
                </c:pt>
                <c:pt idx="7">
                  <c:v>61.771833212789566</c:v>
                </c:pt>
                <c:pt idx="8">
                  <c:v>65.504564792988262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8E-4C1A-94F8-1A1E84886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056704"/>
        <c:axId val="102059392"/>
      </c:lineChart>
      <c:catAx>
        <c:axId val="102056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02059392"/>
        <c:crosses val="autoZero"/>
        <c:auto val="1"/>
        <c:lblAlgn val="ctr"/>
        <c:lblOffset val="100"/>
        <c:noMultiLvlLbl val="0"/>
      </c:catAx>
      <c:valAx>
        <c:axId val="102059392"/>
        <c:scaling>
          <c:orientation val="minMax"/>
          <c:max val="15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25(OH)</a:t>
                </a:r>
                <a:r>
                  <a:rPr lang="en-US" baseline="0"/>
                  <a:t>D3 (nmol/)</a:t>
                </a:r>
                <a:endParaRPr lang="en-US"/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02056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Stability of 25(OH)D</a:t>
            </a:r>
            <a:r>
              <a:rPr lang="en-US" baseline="-25000"/>
              <a:t>3</a:t>
            </a:r>
            <a:r>
              <a:rPr lang="en-US"/>
              <a:t> at 50</a:t>
            </a:r>
            <a:r>
              <a:rPr lang="en-US">
                <a:latin typeface="Calibri"/>
              </a:rPr>
              <a:t>°C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'Ark3'!$A$4</c:f>
              <c:strCache>
                <c:ptCount val="1"/>
                <c:pt idx="0">
                  <c:v>Individual 1</c:v>
                </c:pt>
              </c:strCache>
            </c:strRef>
          </c:tx>
          <c:cat>
            <c:numRef>
              <c:f>'Ark3'!$K$23:$K$31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14</c:v>
                </c:pt>
                <c:pt idx="7">
                  <c:v>17</c:v>
                </c:pt>
                <c:pt idx="8">
                  <c:v>21</c:v>
                </c:pt>
              </c:numCache>
            </c:numRef>
          </c:cat>
          <c:val>
            <c:numRef>
              <c:f>'Ark3'!$C$3:$C$11</c:f>
              <c:numCache>
                <c:formatCode>0</c:formatCode>
                <c:ptCount val="9"/>
                <c:pt idx="0">
                  <c:v>73.775924482024877</c:v>
                </c:pt>
                <c:pt idx="1">
                  <c:v>78.61751143402374</c:v>
                </c:pt>
                <c:pt idx="2">
                  <c:v>66.702339444205563</c:v>
                </c:pt>
                <c:pt idx="3">
                  <c:v>78.627040039558224</c:v>
                </c:pt>
                <c:pt idx="4">
                  <c:v>77.159472763281144</c:v>
                </c:pt>
                <c:pt idx="5">
                  <c:v>73.904959987624693</c:v>
                </c:pt>
                <c:pt idx="6">
                  <c:v>65.50745069883699</c:v>
                </c:pt>
                <c:pt idx="7">
                  <c:v>70.419440966952962</c:v>
                </c:pt>
                <c:pt idx="8">
                  <c:v>64.463917105898133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85-4A9D-BEBE-1B71578139F5}"/>
            </c:ext>
          </c:extLst>
        </c:ser>
        <c:ser>
          <c:idx val="1"/>
          <c:order val="1"/>
          <c:tx>
            <c:strRef>
              <c:f>'Ark3'!$A$14</c:f>
              <c:strCache>
                <c:ptCount val="1"/>
                <c:pt idx="0">
                  <c:v>Individual 2</c:v>
                </c:pt>
              </c:strCache>
            </c:strRef>
          </c:tx>
          <c:cat>
            <c:numRef>
              <c:f>'Ark3'!$K$23:$K$31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14</c:v>
                </c:pt>
                <c:pt idx="7">
                  <c:v>17</c:v>
                </c:pt>
                <c:pt idx="8">
                  <c:v>21</c:v>
                </c:pt>
              </c:numCache>
            </c:numRef>
          </c:cat>
          <c:val>
            <c:numRef>
              <c:f>'Ark3'!$C$13:$C$21</c:f>
              <c:numCache>
                <c:formatCode>0</c:formatCode>
                <c:ptCount val="9"/>
                <c:pt idx="0">
                  <c:v>65.123005847356538</c:v>
                </c:pt>
                <c:pt idx="1">
                  <c:v>58.922013025393291</c:v>
                </c:pt>
                <c:pt idx="2">
                  <c:v>60.745393525184873</c:v>
                </c:pt>
                <c:pt idx="3">
                  <c:v>63.322770550337459</c:v>
                </c:pt>
                <c:pt idx="4">
                  <c:v>62.806843640055234</c:v>
                </c:pt>
                <c:pt idx="5">
                  <c:v>64.626158240958389</c:v>
                </c:pt>
                <c:pt idx="6">
                  <c:v>69.14942587078572</c:v>
                </c:pt>
                <c:pt idx="7">
                  <c:v>57.43092053953513</c:v>
                </c:pt>
                <c:pt idx="8">
                  <c:v>67.112551852343529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285-4A9D-BEBE-1B71578139F5}"/>
            </c:ext>
          </c:extLst>
        </c:ser>
        <c:ser>
          <c:idx val="2"/>
          <c:order val="2"/>
          <c:tx>
            <c:strRef>
              <c:f>'Ark3'!$A$25</c:f>
              <c:strCache>
                <c:ptCount val="1"/>
                <c:pt idx="0">
                  <c:v>Individual 3</c:v>
                </c:pt>
              </c:strCache>
            </c:strRef>
          </c:tx>
          <c:cat>
            <c:numRef>
              <c:f>'Ark3'!$K$23:$K$31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14</c:v>
                </c:pt>
                <c:pt idx="7">
                  <c:v>17</c:v>
                </c:pt>
                <c:pt idx="8">
                  <c:v>21</c:v>
                </c:pt>
              </c:numCache>
            </c:numRef>
          </c:cat>
          <c:val>
            <c:numRef>
              <c:f>'Ark3'!$C$24:$C$32</c:f>
              <c:numCache>
                <c:formatCode>0</c:formatCode>
                <c:ptCount val="9"/>
                <c:pt idx="0">
                  <c:v>54.390523441548766</c:v>
                </c:pt>
                <c:pt idx="1">
                  <c:v>60.674501403992501</c:v>
                </c:pt>
                <c:pt idx="2">
                  <c:v>56.992181165856664</c:v>
                </c:pt>
                <c:pt idx="3">
                  <c:v>57.499769593854374</c:v>
                </c:pt>
                <c:pt idx="4">
                  <c:v>54.522127156031331</c:v>
                </c:pt>
                <c:pt idx="5">
                  <c:v>52.644404253320936</c:v>
                </c:pt>
                <c:pt idx="6">
                  <c:v>53.795302726860768</c:v>
                </c:pt>
                <c:pt idx="7">
                  <c:v>53.24126929799354</c:v>
                </c:pt>
                <c:pt idx="8">
                  <c:v>48.905344369080389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85-4A9D-BEBE-1B7157813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526080"/>
        <c:axId val="136529408"/>
      </c:lineChart>
      <c:catAx>
        <c:axId val="136526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36529408"/>
        <c:crosses val="autoZero"/>
        <c:auto val="1"/>
        <c:lblAlgn val="ctr"/>
        <c:lblOffset val="100"/>
        <c:noMultiLvlLbl val="0"/>
      </c:catAx>
      <c:valAx>
        <c:axId val="136529408"/>
        <c:scaling>
          <c:orientation val="minMax"/>
          <c:max val="15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25(OH)D3 (nmol/L)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3652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3908</Characters>
  <Application>Microsoft Office Word</Application>
  <DocSecurity>0</DocSecurity>
  <Lines>93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Ali Madar</dc:creator>
  <cp:lastModifiedBy>Gillian</cp:lastModifiedBy>
  <cp:revision>2</cp:revision>
  <dcterms:created xsi:type="dcterms:W3CDTF">2017-08-01T13:26:00Z</dcterms:created>
  <dcterms:modified xsi:type="dcterms:W3CDTF">2017-08-01T13:26:00Z</dcterms:modified>
</cp:coreProperties>
</file>