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53"/>
        <w:tblW w:w="8931" w:type="dxa"/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552"/>
        <w:gridCol w:w="2268"/>
      </w:tblGrid>
      <w:tr w:rsidR="007E36BB" w:rsidRPr="00304128" w:rsidTr="004E73D6">
        <w:trPr>
          <w:trHeight w:val="417"/>
        </w:trPr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:rsidR="007E36BB" w:rsidRPr="00304128" w:rsidRDefault="0026206B" w:rsidP="004E73D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0" w:name="_Hlk496706915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Supplemental </w:t>
            </w:r>
            <w:r w:rsidR="007E36BB">
              <w:rPr>
                <w:rFonts w:ascii="Arial" w:hAnsi="Arial" w:cs="Arial"/>
                <w:b/>
                <w:sz w:val="18"/>
                <w:szCs w:val="18"/>
                <w:lang w:val="en-US"/>
              </w:rPr>
              <w:t>Table 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="007E36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E36BB"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Mediation step 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  <w:r w:rsidR="007E36BB"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Association between the barriers and level of income and education in 2004 </w:t>
            </w:r>
          </w:p>
        </w:tc>
      </w:tr>
      <w:tr w:rsidR="007E36BB" w:rsidRPr="00304128" w:rsidTr="004E73D6">
        <w:trPr>
          <w:trHeight w:val="41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Fruits are expensive</w:t>
            </w:r>
          </w:p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2004</w:t>
            </w:r>
            <w:r w:rsidRPr="00304128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Vegetables are expensive</w:t>
            </w:r>
          </w:p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2004</w:t>
            </w:r>
            <w:r w:rsidRPr="00304128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Financial distress</w:t>
            </w:r>
          </w:p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  <w:r w:rsidRPr="00304128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7E36BB" w:rsidRPr="00304128" w:rsidTr="004E73D6">
        <w:trPr>
          <w:trHeight w:val="6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 xml:space="preserve"> Income 2004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E36BB" w:rsidRPr="00304128" w:rsidTr="004E73D6">
        <w:trPr>
          <w:trHeight w:val="254"/>
        </w:trPr>
        <w:tc>
          <w:tcPr>
            <w:tcW w:w="1843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 xml:space="preserve">  0-1200 euro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4.07 (2.81-5.89)</w:t>
            </w:r>
          </w:p>
        </w:tc>
        <w:tc>
          <w:tcPr>
            <w:tcW w:w="2552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3.46 (2.33-5.13)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10.53 (7.39-15.03)</w:t>
            </w:r>
          </w:p>
        </w:tc>
      </w:tr>
      <w:tr w:rsidR="007E36BB" w:rsidRPr="00304128" w:rsidTr="004E73D6">
        <w:trPr>
          <w:trHeight w:val="254"/>
        </w:trPr>
        <w:tc>
          <w:tcPr>
            <w:tcW w:w="1843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 xml:space="preserve">  1200-1800 euro 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2.80 (2.00-3.90)</w:t>
            </w:r>
          </w:p>
        </w:tc>
        <w:tc>
          <w:tcPr>
            <w:tcW w:w="2552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2.66 (1.89-3.75)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3.87 (2.89-5.21) </w:t>
            </w:r>
          </w:p>
        </w:tc>
      </w:tr>
      <w:tr w:rsidR="007E36BB" w:rsidRPr="00304128" w:rsidTr="004E73D6">
        <w:trPr>
          <w:trHeight w:val="254"/>
        </w:trPr>
        <w:tc>
          <w:tcPr>
            <w:tcW w:w="1843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 xml:space="preserve">  1800-2600 euro 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1.93 (1.43-2.61)</w:t>
            </w:r>
          </w:p>
        </w:tc>
        <w:tc>
          <w:tcPr>
            <w:tcW w:w="2552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1.87 (1.35-2.59)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2.34 (1.73-3.00)</w:t>
            </w:r>
          </w:p>
        </w:tc>
      </w:tr>
      <w:tr w:rsidR="007E36BB" w:rsidRPr="00304128" w:rsidTr="004E73D6">
        <w:trPr>
          <w:trHeight w:val="287"/>
        </w:trPr>
        <w:tc>
          <w:tcPr>
            <w:tcW w:w="1843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 xml:space="preserve">  &gt; 2600 euro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2552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</w:tr>
      <w:tr w:rsidR="007E36BB" w:rsidRPr="00304128" w:rsidTr="004E73D6">
        <w:trPr>
          <w:trHeight w:val="273"/>
        </w:trPr>
        <w:tc>
          <w:tcPr>
            <w:tcW w:w="1843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Education 2004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E36BB" w:rsidRPr="00304128" w:rsidTr="004E73D6">
        <w:trPr>
          <w:trHeight w:val="282"/>
        </w:trPr>
        <w:tc>
          <w:tcPr>
            <w:tcW w:w="1843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 xml:space="preserve">  Elementary 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1.71 (1.10-2.64)</w:t>
            </w:r>
          </w:p>
        </w:tc>
        <w:tc>
          <w:tcPr>
            <w:tcW w:w="2552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3.53 (2.22-5.62)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2.74 (1.88-3.98)</w:t>
            </w:r>
          </w:p>
        </w:tc>
      </w:tr>
      <w:tr w:rsidR="007E36BB" w:rsidRPr="00304128" w:rsidTr="004E73D6">
        <w:trPr>
          <w:trHeight w:val="261"/>
        </w:trPr>
        <w:tc>
          <w:tcPr>
            <w:tcW w:w="1843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 xml:space="preserve">  Lower secondary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1.48 (0.99-2.22)</w:t>
            </w:r>
          </w:p>
        </w:tc>
        <w:tc>
          <w:tcPr>
            <w:tcW w:w="2552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1.80 (1.20-2.71)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1.49 (1.06-2.10)</w:t>
            </w:r>
          </w:p>
        </w:tc>
      </w:tr>
      <w:tr w:rsidR="007E36BB" w:rsidRPr="00304128" w:rsidTr="004E73D6">
        <w:trPr>
          <w:trHeight w:val="253"/>
        </w:trPr>
        <w:tc>
          <w:tcPr>
            <w:tcW w:w="1843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ind w:left="142"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 xml:space="preserve">  Higher secondary 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1.30 (0.90-1.88)</w:t>
            </w:r>
          </w:p>
        </w:tc>
        <w:tc>
          <w:tcPr>
            <w:tcW w:w="2552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1.77 (1.22-2.54)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1.49 (1.09-2.03)</w:t>
            </w:r>
          </w:p>
        </w:tc>
      </w:tr>
      <w:tr w:rsidR="007E36BB" w:rsidRPr="00304128" w:rsidTr="004E73D6">
        <w:trPr>
          <w:trHeight w:val="255"/>
        </w:trPr>
        <w:tc>
          <w:tcPr>
            <w:tcW w:w="1843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 xml:space="preserve">  Tertiary 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2552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2268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</w:tr>
      <w:tr w:rsidR="007E36BB" w:rsidRPr="00304128" w:rsidTr="004E73D6">
        <w:trPr>
          <w:trHeight w:val="255"/>
        </w:trPr>
        <w:tc>
          <w:tcPr>
            <w:tcW w:w="8931" w:type="dxa"/>
            <w:gridSpan w:val="4"/>
            <w:tcBorders>
              <w:top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djusted for sex, age and the other SEP indicator in 2004 (level of income or education)</w:t>
            </w:r>
          </w:p>
        </w:tc>
      </w:tr>
      <w:bookmarkEnd w:id="0"/>
    </w:tbl>
    <w:p w:rsidR="007E36BB" w:rsidRDefault="007E36BB" w:rsidP="007E36BB"/>
    <w:p w:rsidR="007E36BB" w:rsidRDefault="007E36BB" w:rsidP="007E36BB">
      <w:r>
        <w:br w:type="page"/>
      </w:r>
    </w:p>
    <w:p w:rsidR="007E36BB" w:rsidRPr="00304128" w:rsidRDefault="007E36BB" w:rsidP="007E36BB">
      <w:pPr>
        <w:rPr>
          <w:lang w:val="en-US"/>
        </w:rPr>
      </w:pPr>
    </w:p>
    <w:p w:rsidR="007E36BB" w:rsidRPr="00304128" w:rsidRDefault="007E36BB" w:rsidP="007E36BB">
      <w:pPr>
        <w:rPr>
          <w:lang w:val="en-US"/>
        </w:rPr>
      </w:pPr>
    </w:p>
    <w:p w:rsidR="007E36BB" w:rsidRPr="00304128" w:rsidRDefault="007E36BB" w:rsidP="007E36BB">
      <w:pPr>
        <w:rPr>
          <w:lang w:val="en-US"/>
        </w:rPr>
      </w:pPr>
    </w:p>
    <w:p w:rsidR="007E36BB" w:rsidRPr="00304128" w:rsidRDefault="007E36BB" w:rsidP="007E36BB">
      <w:pPr>
        <w:rPr>
          <w:lang w:val="en-US"/>
        </w:rPr>
      </w:pPr>
    </w:p>
    <w:p w:rsidR="007E36BB" w:rsidRPr="00304128" w:rsidRDefault="007E36BB" w:rsidP="007E36BB">
      <w:pPr>
        <w:tabs>
          <w:tab w:val="left" w:pos="2424"/>
        </w:tabs>
        <w:rPr>
          <w:lang w:val="en-US"/>
        </w:rPr>
      </w:pPr>
      <w:r w:rsidRPr="00304128">
        <w:rPr>
          <w:lang w:val="en-US"/>
        </w:rPr>
        <w:tab/>
      </w:r>
    </w:p>
    <w:tbl>
      <w:tblPr>
        <w:tblpPr w:leftFromText="141" w:rightFromText="141" w:vertAnchor="page" w:horzAnchor="margin" w:tblpY="1453"/>
        <w:tblW w:w="10916" w:type="dxa"/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2126"/>
        <w:gridCol w:w="1985"/>
        <w:gridCol w:w="1985"/>
      </w:tblGrid>
      <w:tr w:rsidR="007E36BB" w:rsidRPr="00304128" w:rsidTr="004E73D6">
        <w:trPr>
          <w:trHeight w:val="417"/>
        </w:trPr>
        <w:tc>
          <w:tcPr>
            <w:tcW w:w="10916" w:type="dxa"/>
            <w:gridSpan w:val="5"/>
            <w:tcBorders>
              <w:bottom w:val="single" w:sz="4" w:space="0" w:color="auto"/>
            </w:tcBorders>
            <w:vAlign w:val="center"/>
          </w:tcPr>
          <w:p w:rsidR="007E36BB" w:rsidRDefault="0026206B" w:rsidP="004E73D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Supplemental </w:t>
            </w:r>
            <w:r w:rsidR="007E36BB">
              <w:rPr>
                <w:rFonts w:ascii="Arial" w:hAnsi="Arial" w:cs="Arial"/>
                <w:b/>
                <w:sz w:val="18"/>
                <w:szCs w:val="18"/>
                <w:lang w:val="en-US"/>
              </w:rPr>
              <w:t>Table 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="007E36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E36BB"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>Mediation step 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  <w:bookmarkStart w:id="1" w:name="_GoBack"/>
            <w:bookmarkEnd w:id="1"/>
            <w:r w:rsidR="007E36BB"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Association between </w:t>
            </w:r>
            <w:r w:rsidR="007E36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 decrease in </w:t>
            </w:r>
            <w:r w:rsidR="007E36BB"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intake frequencies of fruits, raw and cooked vegetables </w:t>
            </w:r>
            <w:r w:rsidR="007E36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between 2004 and </w:t>
            </w:r>
            <w:r w:rsidR="007E36BB" w:rsidRPr="0030412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2011 and the barriers, adjusting for level of income and education in 2004.  </w:t>
            </w:r>
          </w:p>
        </w:tc>
      </w:tr>
      <w:tr w:rsidR="007E36BB" w:rsidRPr="00304128" w:rsidTr="004E73D6">
        <w:trPr>
          <w:trHeight w:val="41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Decrease in f</w:t>
            </w: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ruit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intake between 2004 - 2011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Decrease in cooked vegetable intake between 2004 – 2011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Decrease in raw vegetable intake between 2004 - 2011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E36BB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17F1">
              <w:rPr>
                <w:rFonts w:ascii="Arial" w:hAnsi="Arial" w:cs="Arial"/>
                <w:sz w:val="18"/>
                <w:szCs w:val="18"/>
                <w:lang w:val="en-US"/>
              </w:rPr>
              <w:t>Decrease in fruit juice intake between 2004-2011</w:t>
            </w:r>
          </w:p>
        </w:tc>
      </w:tr>
      <w:tr w:rsidR="007E36BB" w:rsidRPr="00304128" w:rsidTr="004E73D6">
        <w:trPr>
          <w:trHeight w:val="64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Fruit is expensive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E36BB" w:rsidRPr="0030412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E36BB" w:rsidRPr="00304128" w:rsidTr="004E73D6">
        <w:trPr>
          <w:trHeight w:val="254"/>
        </w:trPr>
        <w:tc>
          <w:tcPr>
            <w:tcW w:w="2977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843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1.10 (0.90-1.34)</w:t>
            </w:r>
          </w:p>
        </w:tc>
        <w:tc>
          <w:tcPr>
            <w:tcW w:w="2126" w:type="dxa"/>
            <w:vAlign w:val="center"/>
          </w:tcPr>
          <w:p w:rsidR="007E36BB" w:rsidRPr="00B8578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5788">
              <w:rPr>
                <w:rFonts w:ascii="Arial" w:hAnsi="Arial" w:cs="Arial"/>
                <w:b/>
                <w:sz w:val="18"/>
                <w:szCs w:val="18"/>
                <w:lang w:val="en-US"/>
              </w:rPr>
              <w:t>1.42 (1.16-1.75)</w:t>
            </w:r>
          </w:p>
        </w:tc>
        <w:tc>
          <w:tcPr>
            <w:tcW w:w="1985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0.95 (0.77-1.18)</w:t>
            </w:r>
          </w:p>
        </w:tc>
        <w:tc>
          <w:tcPr>
            <w:tcW w:w="1985" w:type="dxa"/>
          </w:tcPr>
          <w:p w:rsidR="007E36BB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 (0.81-1.23)</w:t>
            </w:r>
          </w:p>
        </w:tc>
      </w:tr>
      <w:tr w:rsidR="007E36BB" w:rsidRPr="00304128" w:rsidTr="004E73D6">
        <w:trPr>
          <w:trHeight w:val="254"/>
        </w:trPr>
        <w:tc>
          <w:tcPr>
            <w:tcW w:w="2977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843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6778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2126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985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985" w:type="dxa"/>
          </w:tcPr>
          <w:p w:rsidR="007E36BB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</w:tr>
      <w:tr w:rsidR="007E36BB" w:rsidRPr="00304128" w:rsidTr="004E73D6">
        <w:trPr>
          <w:trHeight w:val="287"/>
        </w:trPr>
        <w:tc>
          <w:tcPr>
            <w:tcW w:w="2977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Vegetables are expensive</w:t>
            </w:r>
          </w:p>
        </w:tc>
        <w:tc>
          <w:tcPr>
            <w:tcW w:w="1843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E36BB" w:rsidRPr="00304128" w:rsidTr="004E73D6">
        <w:trPr>
          <w:trHeight w:val="287"/>
        </w:trPr>
        <w:tc>
          <w:tcPr>
            <w:tcW w:w="2977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843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1.09 (0.88-1.34)</w:t>
            </w:r>
          </w:p>
        </w:tc>
        <w:tc>
          <w:tcPr>
            <w:tcW w:w="2126" w:type="dxa"/>
            <w:vAlign w:val="center"/>
          </w:tcPr>
          <w:p w:rsidR="007E36BB" w:rsidRPr="00B8578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5788">
              <w:rPr>
                <w:rFonts w:ascii="Arial" w:hAnsi="Arial" w:cs="Arial"/>
                <w:b/>
                <w:sz w:val="18"/>
                <w:szCs w:val="18"/>
                <w:lang w:val="en-US"/>
              </w:rPr>
              <w:t>1.31 (1.05-1.63)</w:t>
            </w:r>
          </w:p>
        </w:tc>
        <w:tc>
          <w:tcPr>
            <w:tcW w:w="1985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0.97 (0.78-1.19)</w:t>
            </w:r>
          </w:p>
        </w:tc>
        <w:tc>
          <w:tcPr>
            <w:tcW w:w="1985" w:type="dxa"/>
          </w:tcPr>
          <w:p w:rsidR="007E36BB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0.95 (0.76-1.19)</w:t>
            </w:r>
          </w:p>
        </w:tc>
      </w:tr>
      <w:tr w:rsidR="007E36BB" w:rsidRPr="00304128" w:rsidTr="004E73D6">
        <w:trPr>
          <w:trHeight w:val="273"/>
        </w:trPr>
        <w:tc>
          <w:tcPr>
            <w:tcW w:w="2977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843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2126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985" w:type="dxa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985" w:type="dxa"/>
          </w:tcPr>
          <w:p w:rsidR="007E36BB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</w:tr>
      <w:tr w:rsidR="007E36BB" w:rsidRPr="00304128" w:rsidTr="004E73D6">
        <w:trPr>
          <w:trHeight w:val="261"/>
        </w:trPr>
        <w:tc>
          <w:tcPr>
            <w:tcW w:w="2977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Financial distress</w:t>
            </w:r>
          </w:p>
        </w:tc>
        <w:tc>
          <w:tcPr>
            <w:tcW w:w="1843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E36BB" w:rsidRPr="00304128" w:rsidTr="004E73D6">
        <w:trPr>
          <w:trHeight w:val="253"/>
        </w:trPr>
        <w:tc>
          <w:tcPr>
            <w:tcW w:w="2977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ind w:left="142"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843" w:type="dxa"/>
            <w:vAlign w:val="center"/>
          </w:tcPr>
          <w:p w:rsidR="007E36BB" w:rsidRPr="00B8578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5788">
              <w:rPr>
                <w:rFonts w:ascii="Arial" w:hAnsi="Arial" w:cs="Arial"/>
                <w:b/>
                <w:sz w:val="18"/>
                <w:szCs w:val="18"/>
                <w:lang w:val="en-US"/>
              </w:rPr>
              <w:t>1.26 (1.06-1.50)</w:t>
            </w:r>
          </w:p>
        </w:tc>
        <w:tc>
          <w:tcPr>
            <w:tcW w:w="2126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1.14 (0.96-1.36)</w:t>
            </w:r>
          </w:p>
        </w:tc>
        <w:tc>
          <w:tcPr>
            <w:tcW w:w="1985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0.99 (0.83-1.17)</w:t>
            </w:r>
          </w:p>
        </w:tc>
        <w:tc>
          <w:tcPr>
            <w:tcW w:w="1985" w:type="dxa"/>
          </w:tcPr>
          <w:p w:rsidR="007E36BB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1.06 (0.88-1.27)</w:t>
            </w:r>
          </w:p>
        </w:tc>
      </w:tr>
      <w:tr w:rsidR="007E36BB" w:rsidRPr="00304128" w:rsidTr="004E73D6">
        <w:trPr>
          <w:trHeight w:val="255"/>
        </w:trPr>
        <w:tc>
          <w:tcPr>
            <w:tcW w:w="2977" w:type="dxa"/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843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2126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985" w:type="dxa"/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985" w:type="dxa"/>
          </w:tcPr>
          <w:p w:rsidR="007E36BB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</w:tr>
      <w:tr w:rsidR="007E36BB" w:rsidRPr="00304128" w:rsidTr="004E73D6">
        <w:trPr>
          <w:trHeight w:val="25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36BB" w:rsidRPr="00966778" w:rsidRDefault="007E36BB" w:rsidP="004E73D6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E36BB" w:rsidRPr="00304128" w:rsidTr="004E73D6">
        <w:trPr>
          <w:trHeight w:val="255"/>
        </w:trPr>
        <w:tc>
          <w:tcPr>
            <w:tcW w:w="10916" w:type="dxa"/>
            <w:gridSpan w:val="5"/>
            <w:tcBorders>
              <w:top w:val="single" w:sz="4" w:space="0" w:color="auto"/>
            </w:tcBorders>
            <w:vAlign w:val="center"/>
          </w:tcPr>
          <w:p w:rsidR="007E36BB" w:rsidRPr="00304128" w:rsidRDefault="007E36BB" w:rsidP="004E73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</w:pPr>
            <w:r w:rsidRPr="00304128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djusted for sex, age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both SEP </w:t>
            </w: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>indicator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304128">
              <w:rPr>
                <w:rFonts w:ascii="Arial" w:hAnsi="Arial" w:cs="Arial"/>
                <w:sz w:val="18"/>
                <w:szCs w:val="18"/>
                <w:lang w:val="en-US"/>
              </w:rPr>
              <w:t xml:space="preserve"> in 2004 (level of income or education)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intake frequencies in 2004</w:t>
            </w:r>
          </w:p>
        </w:tc>
      </w:tr>
    </w:tbl>
    <w:p w:rsidR="00DB63C1" w:rsidRDefault="00DB63C1"/>
    <w:sectPr w:rsidR="00DB63C1" w:rsidSect="007E36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BB"/>
    <w:rsid w:val="0026206B"/>
    <w:rsid w:val="007E36BB"/>
    <w:rsid w:val="008A7963"/>
    <w:rsid w:val="00D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3931"/>
  <w15:chartTrackingRefBased/>
  <w15:docId w15:val="{94D6B450-BCE0-489C-B9BE-D08C2E44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6BB"/>
    <w:pPr>
      <w:spacing w:after="200" w:line="276" w:lineRule="auto"/>
    </w:pPr>
    <w:rPr>
      <w:rFonts w:eastAsiaTheme="minorEastAsia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Ellena Iggulden</dc:creator>
  <cp:keywords/>
  <dc:description/>
  <cp:lastModifiedBy>Gillian</cp:lastModifiedBy>
  <cp:revision>2</cp:revision>
  <dcterms:created xsi:type="dcterms:W3CDTF">2018-01-16T14:03:00Z</dcterms:created>
  <dcterms:modified xsi:type="dcterms:W3CDTF">2018-01-16T14:03:00Z</dcterms:modified>
</cp:coreProperties>
</file>