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A54A" w14:textId="34C519AB" w:rsidR="00115F76" w:rsidRPr="005F5FBC" w:rsidRDefault="00115F76" w:rsidP="00115F76">
      <w:pPr>
        <w:widowControl w:val="0"/>
        <w:autoSpaceDE w:val="0"/>
        <w:autoSpaceDN w:val="0"/>
        <w:adjustRightInd w:val="0"/>
        <w:rPr>
          <w:rFonts w:ascii="Calibri" w:hAnsi="Calibri"/>
          <w:b/>
          <w:bCs/>
          <w:color w:val="000000" w:themeColor="text1"/>
          <w:lang w:val="en-NZ"/>
        </w:rPr>
      </w:pPr>
      <w:r>
        <w:rPr>
          <w:rFonts w:ascii="Calibri" w:hAnsi="Calibri"/>
          <w:b/>
          <w:bCs/>
          <w:color w:val="000000" w:themeColor="text1"/>
          <w:lang w:val="en-NZ"/>
        </w:rPr>
        <w:t xml:space="preserve"> </w:t>
      </w:r>
      <w:r w:rsidR="006168BC">
        <w:rPr>
          <w:rFonts w:ascii="Calibri" w:hAnsi="Calibri"/>
          <w:b/>
          <w:bCs/>
          <w:color w:val="000000" w:themeColor="text1"/>
          <w:lang w:val="en-NZ"/>
        </w:rPr>
        <w:t>Supplementa</w:t>
      </w:r>
      <w:r w:rsidR="00484762">
        <w:rPr>
          <w:rFonts w:ascii="Calibri" w:hAnsi="Calibri"/>
          <w:b/>
          <w:bCs/>
          <w:color w:val="000000" w:themeColor="text1"/>
          <w:lang w:val="en-NZ"/>
        </w:rPr>
        <w:t>l</w:t>
      </w:r>
      <w:r>
        <w:rPr>
          <w:rFonts w:ascii="Calibri" w:hAnsi="Calibri"/>
          <w:b/>
          <w:bCs/>
          <w:color w:val="000000" w:themeColor="text1"/>
          <w:lang w:val="en-NZ"/>
        </w:rPr>
        <w:t xml:space="preserve"> </w:t>
      </w:r>
      <w:r w:rsidRPr="005F5FBC">
        <w:rPr>
          <w:rFonts w:ascii="Calibri" w:hAnsi="Calibri"/>
          <w:b/>
          <w:bCs/>
          <w:color w:val="000000" w:themeColor="text1"/>
          <w:lang w:val="en-NZ"/>
        </w:rPr>
        <w:t xml:space="preserve">Table 1: </w:t>
      </w:r>
      <w:r w:rsidR="00C9519B">
        <w:rPr>
          <w:rFonts w:ascii="Calibri" w:hAnsi="Calibri"/>
          <w:b/>
          <w:bCs/>
          <w:color w:val="000000" w:themeColor="text1"/>
          <w:lang w:val="en-NZ"/>
        </w:rPr>
        <w:t>Good practice f</w:t>
      </w:r>
      <w:r>
        <w:rPr>
          <w:rFonts w:ascii="Calibri" w:hAnsi="Calibri"/>
          <w:b/>
          <w:bCs/>
          <w:color w:val="000000" w:themeColor="text1"/>
          <w:lang w:val="en-NZ"/>
        </w:rPr>
        <w:t>ood environment policies by policy domain</w:t>
      </w:r>
      <w:r w:rsidR="00C9519B">
        <w:rPr>
          <w:rFonts w:ascii="Calibri" w:hAnsi="Calibri"/>
          <w:b/>
          <w:bCs/>
          <w:color w:val="000000" w:themeColor="text1"/>
          <w:lang w:val="en-NZ"/>
        </w:rPr>
        <w:t xml:space="preserve"> (as in the Healthy Food Environment Policy Index (Food-EPI)</w:t>
      </w:r>
      <w:r w:rsidR="00484762">
        <w:rPr>
          <w:rFonts w:ascii="Calibri" w:hAnsi="Calibri"/>
          <w:b/>
          <w:bCs/>
          <w:color w:val="000000" w:themeColor="text1"/>
          <w:lang w:val="en-NZ"/>
        </w:rPr>
        <w:t>)</w:t>
      </w:r>
      <w:bookmarkStart w:id="0" w:name="_GoBack"/>
      <w:bookmarkEnd w:id="0"/>
    </w:p>
    <w:tbl>
      <w:tblPr>
        <w:tblW w:w="0" w:type="auto"/>
        <w:tblInd w:w="98" w:type="dxa"/>
        <w:tblLook w:val="04A0" w:firstRow="1" w:lastRow="0" w:firstColumn="1" w:lastColumn="0" w:noHBand="0" w:noVBand="1"/>
      </w:tblPr>
      <w:tblGrid>
        <w:gridCol w:w="3785"/>
        <w:gridCol w:w="4776"/>
        <w:gridCol w:w="5033"/>
        <w:gridCol w:w="222"/>
      </w:tblGrid>
      <w:tr w:rsidR="006B0AAA" w:rsidRPr="005F5FBC" w14:paraId="7CF55050" w14:textId="77777777" w:rsidTr="00103270">
        <w:trPr>
          <w:trHeight w:val="567"/>
        </w:trPr>
        <w:tc>
          <w:tcPr>
            <w:tcW w:w="0" w:type="auto"/>
            <w:tcBorders>
              <w:top w:val="single" w:sz="18" w:space="0" w:color="auto"/>
              <w:left w:val="single" w:sz="18" w:space="0" w:color="auto"/>
              <w:bottom w:val="single" w:sz="8" w:space="0" w:color="000000"/>
              <w:right w:val="single" w:sz="18" w:space="0" w:color="auto"/>
            </w:tcBorders>
            <w:shd w:val="clear" w:color="auto" w:fill="auto"/>
          </w:tcPr>
          <w:p w14:paraId="3DCE595A" w14:textId="0260A55F" w:rsidR="005F5FBC" w:rsidRPr="005F5FBC" w:rsidRDefault="005F5FBC" w:rsidP="005F5FBC">
            <w:pPr>
              <w:spacing w:before="60" w:after="60"/>
              <w:rPr>
                <w:rFonts w:eastAsia="Times New Roman" w:cs="Times New Roman"/>
                <w:b/>
                <w:bCs/>
                <w:color w:val="000000"/>
                <w:sz w:val="20"/>
                <w:szCs w:val="20"/>
                <w:u w:val="single"/>
                <w:lang w:eastAsia="en-NZ"/>
              </w:rPr>
            </w:pPr>
            <w:r w:rsidRPr="005F5FBC">
              <w:rPr>
                <w:b/>
              </w:rPr>
              <w:t>Domain</w:t>
            </w:r>
          </w:p>
        </w:tc>
        <w:tc>
          <w:tcPr>
            <w:tcW w:w="0" w:type="auto"/>
            <w:tcBorders>
              <w:top w:val="single" w:sz="18" w:space="0" w:color="auto"/>
              <w:left w:val="single" w:sz="18" w:space="0" w:color="auto"/>
              <w:bottom w:val="single" w:sz="8" w:space="0" w:color="auto"/>
              <w:right w:val="single" w:sz="18" w:space="0" w:color="auto"/>
            </w:tcBorders>
            <w:shd w:val="clear" w:color="auto" w:fill="auto"/>
            <w:vAlign w:val="center"/>
          </w:tcPr>
          <w:p w14:paraId="3046ACA9" w14:textId="1FD83DD5" w:rsidR="005F5FBC" w:rsidRPr="005F5FBC" w:rsidRDefault="00115F76" w:rsidP="00115F76">
            <w:pPr>
              <w:rPr>
                <w:rFonts w:eastAsia="Times New Roman" w:cs="Times New Roman"/>
                <w:b/>
                <w:bCs/>
                <w:color w:val="000000"/>
                <w:sz w:val="20"/>
                <w:szCs w:val="20"/>
                <w:lang w:eastAsia="en-NZ"/>
              </w:rPr>
            </w:pPr>
            <w:r>
              <w:rPr>
                <w:b/>
              </w:rPr>
              <w:t>Good practice indicator</w:t>
            </w:r>
          </w:p>
        </w:tc>
        <w:tc>
          <w:tcPr>
            <w:tcW w:w="0" w:type="auto"/>
            <w:tcBorders>
              <w:top w:val="single" w:sz="18" w:space="0" w:color="auto"/>
              <w:left w:val="single" w:sz="18" w:space="0" w:color="auto"/>
              <w:bottom w:val="single" w:sz="2" w:space="0" w:color="auto"/>
            </w:tcBorders>
            <w:shd w:val="clear" w:color="auto" w:fill="auto"/>
            <w:noWrap/>
            <w:vAlign w:val="center"/>
          </w:tcPr>
          <w:p w14:paraId="225A9681" w14:textId="442EDCA4" w:rsidR="005F5FBC" w:rsidRPr="005F5FBC" w:rsidRDefault="005F5FBC" w:rsidP="00103270">
            <w:pPr>
              <w:rPr>
                <w:rFonts w:eastAsia="Times New Roman" w:cs="Times New Roman"/>
                <w:b/>
                <w:color w:val="000000"/>
                <w:sz w:val="20"/>
                <w:szCs w:val="20"/>
                <w:lang w:eastAsia="en-NZ"/>
              </w:rPr>
            </w:pPr>
            <w:r w:rsidRPr="005F5FBC">
              <w:rPr>
                <w:b/>
              </w:rPr>
              <w:t>Short name</w:t>
            </w:r>
            <w:r w:rsidR="00115F76">
              <w:rPr>
                <w:b/>
              </w:rPr>
              <w:t xml:space="preserve"> indicator</w:t>
            </w:r>
          </w:p>
        </w:tc>
        <w:tc>
          <w:tcPr>
            <w:tcW w:w="0" w:type="auto"/>
            <w:tcBorders>
              <w:top w:val="single" w:sz="18" w:space="0" w:color="auto"/>
              <w:bottom w:val="single" w:sz="2" w:space="0" w:color="auto"/>
              <w:right w:val="single" w:sz="18" w:space="0" w:color="auto"/>
            </w:tcBorders>
          </w:tcPr>
          <w:p w14:paraId="084C94CE" w14:textId="77777777" w:rsidR="005F5FBC" w:rsidRPr="005F5FBC" w:rsidRDefault="005F5FBC" w:rsidP="005F5FBC">
            <w:pPr>
              <w:rPr>
                <w:b/>
                <w:color w:val="000000"/>
                <w:sz w:val="20"/>
                <w:szCs w:val="20"/>
              </w:rPr>
            </w:pPr>
          </w:p>
        </w:tc>
      </w:tr>
      <w:tr w:rsidR="006B0AAA" w:rsidRPr="00B65ED5" w14:paraId="18E354F6" w14:textId="77777777" w:rsidTr="00103270">
        <w:trPr>
          <w:trHeight w:val="567"/>
        </w:trPr>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14:paraId="0A18DD2A" w14:textId="77777777" w:rsidR="005F5FBC" w:rsidRPr="002B6A87" w:rsidRDefault="005F5FBC" w:rsidP="005F5FBC">
            <w:pPr>
              <w:spacing w:before="60" w:after="60"/>
              <w:rPr>
                <w:rFonts w:eastAsia="Times New Roman" w:cs="Times New Roman"/>
                <w:i/>
                <w:iCs/>
                <w:color w:val="000000"/>
                <w:sz w:val="20"/>
                <w:szCs w:val="20"/>
                <w:lang w:eastAsia="en-NZ"/>
              </w:rPr>
            </w:pPr>
            <w:r w:rsidRPr="002B6A87">
              <w:rPr>
                <w:rFonts w:eastAsia="Times New Roman" w:cs="Times New Roman"/>
                <w:b/>
                <w:bCs/>
                <w:color w:val="000000"/>
                <w:sz w:val="20"/>
                <w:szCs w:val="20"/>
                <w:u w:val="single"/>
                <w:lang w:eastAsia="en-NZ"/>
              </w:rPr>
              <w:t>Food Composition</w:t>
            </w:r>
            <w:r w:rsidRPr="002B6A87">
              <w:rPr>
                <w:rFonts w:eastAsia="Times New Roman" w:cs="Times New Roman"/>
                <w:b/>
                <w:bCs/>
                <w:color w:val="000000"/>
                <w:sz w:val="20"/>
                <w:szCs w:val="20"/>
                <w:lang w:eastAsia="en-NZ"/>
              </w:rPr>
              <w:t>:</w:t>
            </w:r>
            <w:r w:rsidRPr="002B6A87">
              <w:rPr>
                <w:rFonts w:eastAsia="Times New Roman" w:cs="Times New Roman"/>
                <w:i/>
                <w:iCs/>
                <w:color w:val="000000"/>
                <w:sz w:val="20"/>
                <w:szCs w:val="20"/>
                <w:lang w:eastAsia="en-NZ"/>
              </w:rPr>
              <w:t xml:space="preserve"> </w:t>
            </w:r>
          </w:p>
          <w:p w14:paraId="6A171714" w14:textId="76E95884" w:rsidR="005F5FBC" w:rsidRPr="002B6A87" w:rsidRDefault="005F5FBC" w:rsidP="005F5FBC">
            <w:pPr>
              <w:spacing w:before="60" w:after="60"/>
              <w:rPr>
                <w:rFonts w:eastAsia="Times New Roman" w:cs="Times New Roman"/>
                <w:b/>
                <w:bCs/>
                <w:color w:val="000000"/>
                <w:sz w:val="20"/>
                <w:szCs w:val="20"/>
                <w:u w:val="single"/>
                <w:lang w:eastAsia="en-NZ"/>
              </w:rPr>
            </w:pPr>
            <w:r w:rsidRPr="002B6A87">
              <w:rPr>
                <w:rFonts w:eastAsia="Times New Roman" w:cs="Times New Roman"/>
                <w:i/>
                <w:iCs/>
                <w:color w:val="000000"/>
                <w:sz w:val="20"/>
                <w:szCs w:val="20"/>
                <w:lang w:eastAsia="en-NZ"/>
              </w:rPr>
              <w:t>There are government systems implemented to ensure that, where practicable, processed foods minimise the energy density and the nutrients of concern (salt, fat, saturated fat, trans fat, added sugar)</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14:paraId="12DD4A96" w14:textId="70F5ABFF" w:rsidR="005F5FBC" w:rsidRPr="002B6A87" w:rsidRDefault="005F5FBC"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COMP 1: </w:t>
            </w:r>
            <w:r w:rsidRPr="002B6A87">
              <w:rPr>
                <w:rFonts w:eastAsia="Times New Roman" w:cs="Times New Roman"/>
                <w:color w:val="000000"/>
                <w:sz w:val="20"/>
                <w:szCs w:val="20"/>
                <w:lang w:eastAsia="en-NZ"/>
              </w:rPr>
              <w:t>Food composition targets/standards have been established by the government for the content of the nutrients of concern in certain foods or food groups if they are major contributors to population intakes of these nutrients of concern (</w:t>
            </w:r>
            <w:r w:rsidRPr="002B6A87">
              <w:rPr>
                <w:rFonts w:eastAsia="Times New Roman" w:cs="Times New Roman"/>
                <w:i/>
                <w:iCs/>
                <w:color w:val="000000"/>
                <w:sz w:val="20"/>
                <w:szCs w:val="20"/>
                <w:lang w:eastAsia="en-NZ"/>
              </w:rPr>
              <w:t xml:space="preserve">trans </w:t>
            </w:r>
            <w:r w:rsidRPr="002B6A87">
              <w:rPr>
                <w:rFonts w:eastAsia="Times New Roman" w:cs="Times New Roman"/>
                <w:color w:val="000000"/>
                <w:sz w:val="20"/>
                <w:szCs w:val="20"/>
                <w:lang w:eastAsia="en-NZ"/>
              </w:rPr>
              <w:t>fats and added sugars in processed foods, salt in bread, saturated fat in commercial frying fats)</w:t>
            </w:r>
          </w:p>
        </w:tc>
        <w:tc>
          <w:tcPr>
            <w:tcW w:w="0" w:type="auto"/>
            <w:tcBorders>
              <w:top w:val="single" w:sz="18" w:space="0" w:color="auto"/>
              <w:left w:val="single" w:sz="18" w:space="0" w:color="auto"/>
              <w:bottom w:val="single" w:sz="18" w:space="0" w:color="auto"/>
            </w:tcBorders>
            <w:shd w:val="clear" w:color="auto" w:fill="auto"/>
            <w:noWrap/>
            <w:vAlign w:val="center"/>
          </w:tcPr>
          <w:p w14:paraId="4E831AAF" w14:textId="22941B29" w:rsidR="005F5FBC" w:rsidRPr="002B6A87" w:rsidRDefault="005F5FBC" w:rsidP="00103270">
            <w:pPr>
              <w:rPr>
                <w:rFonts w:eastAsia="Times New Roman" w:cs="Times New Roman"/>
                <w:color w:val="000000"/>
                <w:sz w:val="20"/>
                <w:szCs w:val="20"/>
                <w:lang w:eastAsia="en-NZ"/>
              </w:rPr>
            </w:pPr>
            <w:r>
              <w:rPr>
                <w:rFonts w:eastAsia="Times New Roman" w:cs="Times New Roman"/>
                <w:color w:val="000000"/>
                <w:sz w:val="20"/>
                <w:szCs w:val="20"/>
                <w:lang w:eastAsia="en-NZ"/>
              </w:rPr>
              <w:t>Food composition targets</w:t>
            </w:r>
          </w:p>
        </w:tc>
        <w:tc>
          <w:tcPr>
            <w:tcW w:w="0" w:type="auto"/>
            <w:tcBorders>
              <w:top w:val="single" w:sz="18" w:space="0" w:color="auto"/>
              <w:bottom w:val="single" w:sz="2" w:space="0" w:color="auto"/>
              <w:right w:val="single" w:sz="18" w:space="0" w:color="auto"/>
            </w:tcBorders>
          </w:tcPr>
          <w:p w14:paraId="16A37C46" w14:textId="77777777" w:rsidR="005F5FBC" w:rsidRPr="002B6A87" w:rsidRDefault="005F5FBC" w:rsidP="005F5FBC">
            <w:pPr>
              <w:rPr>
                <w:color w:val="000000"/>
                <w:sz w:val="20"/>
                <w:szCs w:val="20"/>
              </w:rPr>
            </w:pPr>
          </w:p>
        </w:tc>
      </w:tr>
      <w:tr w:rsidR="00103270" w:rsidRPr="00B65ED5" w14:paraId="2E9E3B0E" w14:textId="77777777" w:rsidTr="00103270">
        <w:trPr>
          <w:trHeight w:val="567"/>
        </w:trPr>
        <w:tc>
          <w:tcPr>
            <w:tcW w:w="0" w:type="auto"/>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415C1134" w14:textId="77777777" w:rsidR="005F5FBC" w:rsidRPr="002B6A87" w:rsidRDefault="005F5FBC" w:rsidP="00563F8F">
            <w:pPr>
              <w:spacing w:before="60" w:after="60"/>
              <w:rPr>
                <w:rFonts w:eastAsia="Times New Roman" w:cs="Times New Roman"/>
                <w:color w:val="000000"/>
                <w:sz w:val="20"/>
                <w:szCs w:val="20"/>
                <w:lang w:eastAsia="en-NZ"/>
              </w:rPr>
            </w:pPr>
            <w:r w:rsidRPr="002B6A87">
              <w:rPr>
                <w:rFonts w:eastAsia="Times New Roman" w:cs="Times New Roman"/>
                <w:b/>
                <w:bCs/>
                <w:color w:val="000000"/>
                <w:sz w:val="20"/>
                <w:szCs w:val="20"/>
                <w:u w:val="single"/>
                <w:lang w:eastAsia="en-NZ"/>
              </w:rPr>
              <w:t>Food Labelling</w:t>
            </w:r>
            <w:r w:rsidRPr="002B6A87">
              <w:rPr>
                <w:rFonts w:eastAsia="Times New Roman" w:cs="Times New Roman"/>
                <w:color w:val="000000"/>
                <w:sz w:val="20"/>
                <w:szCs w:val="20"/>
                <w:lang w:eastAsia="en-NZ"/>
              </w:rPr>
              <w:t xml:space="preserve">: </w:t>
            </w:r>
          </w:p>
          <w:p w14:paraId="040CC78B" w14:textId="77777777" w:rsidR="005F5FBC" w:rsidRPr="002B6A87" w:rsidRDefault="005F5FBC" w:rsidP="00563F8F">
            <w:pPr>
              <w:spacing w:before="60" w:after="60"/>
              <w:rPr>
                <w:rFonts w:eastAsia="Times New Roman" w:cs="Times New Roman"/>
                <w:color w:val="000000"/>
                <w:sz w:val="20"/>
                <w:szCs w:val="20"/>
                <w:lang w:eastAsia="en-NZ"/>
              </w:rPr>
            </w:pPr>
            <w:r w:rsidRPr="002B6A87">
              <w:rPr>
                <w:rFonts w:eastAsia="Times New Roman" w:cs="Times New Roman"/>
                <w:i/>
                <w:iCs/>
                <w:color w:val="000000"/>
                <w:sz w:val="20"/>
                <w:szCs w:val="20"/>
                <w:lang w:eastAsia="en-NZ"/>
              </w:rPr>
              <w:t>There is a regulatory system implemented by the government for consumer-oriented labelling on food packaging and menu boards in restaurants to enable consumers to easily make informed food choices and to prevent misleading claims</w:t>
            </w:r>
          </w:p>
        </w:tc>
        <w:tc>
          <w:tcPr>
            <w:tcW w:w="0" w:type="auto"/>
            <w:tcBorders>
              <w:top w:val="single" w:sz="18" w:space="0" w:color="auto"/>
              <w:left w:val="single" w:sz="18" w:space="0" w:color="auto"/>
              <w:bottom w:val="single" w:sz="8" w:space="0" w:color="auto"/>
              <w:right w:val="single" w:sz="18" w:space="0" w:color="auto"/>
            </w:tcBorders>
            <w:shd w:val="clear" w:color="auto" w:fill="auto"/>
            <w:vAlign w:val="center"/>
            <w:hideMark/>
          </w:tcPr>
          <w:p w14:paraId="794FD631" w14:textId="77777777" w:rsidR="005F5FBC" w:rsidRPr="002B6A87" w:rsidRDefault="005F5FBC"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LABEL1</w:t>
            </w:r>
            <w:r w:rsidRPr="002B6A87">
              <w:rPr>
                <w:rFonts w:eastAsia="Times New Roman" w:cs="Times New Roman"/>
                <w:color w:val="000000"/>
                <w:sz w:val="20"/>
                <w:szCs w:val="20"/>
                <w:lang w:eastAsia="en-NZ"/>
              </w:rPr>
              <w:t>:  Ingredient lists and nutrient declarations in line with Codex recommendations are present on the labels of all packaged foods</w:t>
            </w:r>
          </w:p>
        </w:tc>
        <w:tc>
          <w:tcPr>
            <w:tcW w:w="0" w:type="auto"/>
            <w:tcBorders>
              <w:top w:val="single" w:sz="18" w:space="0" w:color="auto"/>
              <w:left w:val="single" w:sz="18" w:space="0" w:color="auto"/>
              <w:bottom w:val="single" w:sz="2" w:space="0" w:color="auto"/>
            </w:tcBorders>
            <w:shd w:val="clear" w:color="auto" w:fill="auto"/>
            <w:noWrap/>
            <w:vAlign w:val="center"/>
            <w:hideMark/>
          </w:tcPr>
          <w:p w14:paraId="06D90692" w14:textId="6FC5A634" w:rsidR="005F5FBC" w:rsidRPr="002B6A87" w:rsidRDefault="005F5FBC" w:rsidP="00103270">
            <w:pPr>
              <w:rPr>
                <w:rFonts w:eastAsia="Times New Roman" w:cs="Times New Roman"/>
                <w:color w:val="000000"/>
                <w:sz w:val="20"/>
                <w:szCs w:val="20"/>
                <w:lang w:eastAsia="en-NZ"/>
              </w:rPr>
            </w:pPr>
            <w:r>
              <w:rPr>
                <w:rFonts w:eastAsia="Times New Roman" w:cs="Times New Roman"/>
                <w:color w:val="000000"/>
                <w:sz w:val="20"/>
                <w:szCs w:val="20"/>
                <w:lang w:eastAsia="en-NZ"/>
              </w:rPr>
              <w:t>Nutrient declarations</w:t>
            </w:r>
          </w:p>
        </w:tc>
        <w:tc>
          <w:tcPr>
            <w:tcW w:w="0" w:type="auto"/>
            <w:tcBorders>
              <w:top w:val="single" w:sz="18" w:space="0" w:color="auto"/>
              <w:bottom w:val="single" w:sz="2" w:space="0" w:color="auto"/>
              <w:right w:val="single" w:sz="18" w:space="0" w:color="auto"/>
            </w:tcBorders>
          </w:tcPr>
          <w:p w14:paraId="4EDDD0C0" w14:textId="0C86174C" w:rsidR="005F5FBC" w:rsidRPr="002B6A87" w:rsidRDefault="005F5FBC" w:rsidP="00563F8F">
            <w:pPr>
              <w:rPr>
                <w:color w:val="000000"/>
                <w:sz w:val="20"/>
                <w:szCs w:val="20"/>
              </w:rPr>
            </w:pPr>
          </w:p>
        </w:tc>
      </w:tr>
      <w:tr w:rsidR="00103270" w:rsidRPr="00B65ED5" w14:paraId="2580E47C" w14:textId="77777777" w:rsidTr="00103270">
        <w:trPr>
          <w:trHeight w:val="737"/>
        </w:trPr>
        <w:tc>
          <w:tcPr>
            <w:tcW w:w="0" w:type="auto"/>
            <w:vMerge/>
            <w:tcBorders>
              <w:top w:val="nil"/>
              <w:left w:val="single" w:sz="18" w:space="0" w:color="auto"/>
              <w:bottom w:val="single" w:sz="8" w:space="0" w:color="000000"/>
              <w:right w:val="single" w:sz="18" w:space="0" w:color="auto"/>
            </w:tcBorders>
            <w:vAlign w:val="center"/>
            <w:hideMark/>
          </w:tcPr>
          <w:p w14:paraId="074C51BF" w14:textId="77777777" w:rsidR="005F5FBC" w:rsidRPr="002B6A87" w:rsidRDefault="005F5FBC" w:rsidP="00563F8F">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8" w:space="0" w:color="auto"/>
              <w:right w:val="single" w:sz="18" w:space="0" w:color="auto"/>
            </w:tcBorders>
            <w:shd w:val="clear" w:color="auto" w:fill="auto"/>
            <w:vAlign w:val="center"/>
            <w:hideMark/>
          </w:tcPr>
          <w:p w14:paraId="15E8AEB5" w14:textId="77777777" w:rsidR="005F5FBC" w:rsidRPr="002B6A87" w:rsidRDefault="005F5FBC"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LABEL2: </w:t>
            </w:r>
            <w:r w:rsidRPr="002B6A87">
              <w:rPr>
                <w:rFonts w:eastAsia="Times New Roman" w:cs="Times New Roman"/>
                <w:color w:val="000000"/>
                <w:sz w:val="20"/>
                <w:szCs w:val="20"/>
                <w:lang w:eastAsia="en-NZ"/>
              </w:rPr>
              <w:t>Robust, evidence-based regulatory systems are in place for approving/reviewing claims on foods, so that consumers are protected against unsubstantiated and misleading nutrition and health claims</w:t>
            </w:r>
          </w:p>
        </w:tc>
        <w:tc>
          <w:tcPr>
            <w:tcW w:w="0" w:type="auto"/>
            <w:tcBorders>
              <w:top w:val="single" w:sz="2" w:space="0" w:color="auto"/>
              <w:left w:val="single" w:sz="18" w:space="0" w:color="auto"/>
              <w:bottom w:val="single" w:sz="2" w:space="0" w:color="auto"/>
            </w:tcBorders>
            <w:shd w:val="clear" w:color="auto" w:fill="auto"/>
            <w:noWrap/>
            <w:vAlign w:val="center"/>
          </w:tcPr>
          <w:p w14:paraId="1A831093" w14:textId="5E998F14" w:rsidR="005F5FBC"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Food claim regulations</w:t>
            </w:r>
          </w:p>
        </w:tc>
        <w:tc>
          <w:tcPr>
            <w:tcW w:w="0" w:type="auto"/>
            <w:tcBorders>
              <w:top w:val="single" w:sz="2" w:space="0" w:color="auto"/>
              <w:bottom w:val="single" w:sz="2" w:space="0" w:color="auto"/>
              <w:right w:val="single" w:sz="18" w:space="0" w:color="auto"/>
            </w:tcBorders>
          </w:tcPr>
          <w:p w14:paraId="311FA16F" w14:textId="0F388293" w:rsidR="005F5FBC" w:rsidRPr="002B6A87" w:rsidRDefault="005F5FBC" w:rsidP="00563F8F">
            <w:pPr>
              <w:rPr>
                <w:color w:val="000000"/>
                <w:sz w:val="20"/>
                <w:szCs w:val="20"/>
              </w:rPr>
            </w:pPr>
          </w:p>
        </w:tc>
      </w:tr>
      <w:tr w:rsidR="00103270" w:rsidRPr="00B65ED5" w14:paraId="430956B6" w14:textId="77777777" w:rsidTr="00103270">
        <w:trPr>
          <w:trHeight w:val="850"/>
        </w:trPr>
        <w:tc>
          <w:tcPr>
            <w:tcW w:w="0" w:type="auto"/>
            <w:vMerge/>
            <w:tcBorders>
              <w:top w:val="nil"/>
              <w:left w:val="single" w:sz="18" w:space="0" w:color="auto"/>
              <w:bottom w:val="single" w:sz="8" w:space="0" w:color="000000"/>
              <w:right w:val="single" w:sz="18" w:space="0" w:color="auto"/>
            </w:tcBorders>
            <w:vAlign w:val="center"/>
            <w:hideMark/>
          </w:tcPr>
          <w:p w14:paraId="5CCA359F" w14:textId="77777777" w:rsidR="005F5FBC" w:rsidRPr="002B6A87" w:rsidRDefault="005F5FBC" w:rsidP="00563F8F">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8" w:space="0" w:color="auto"/>
              <w:right w:val="single" w:sz="18" w:space="0" w:color="auto"/>
            </w:tcBorders>
            <w:shd w:val="clear" w:color="auto" w:fill="auto"/>
            <w:vAlign w:val="center"/>
            <w:hideMark/>
          </w:tcPr>
          <w:p w14:paraId="54780707" w14:textId="77777777" w:rsidR="005F5FBC" w:rsidRPr="002B6A87" w:rsidRDefault="005F5FBC"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LABEL3: </w:t>
            </w:r>
            <w:r w:rsidRPr="002B6A87">
              <w:rPr>
                <w:rFonts w:eastAsia="Times New Roman" w:cs="Times New Roman"/>
                <w:color w:val="000000"/>
                <w:sz w:val="20"/>
                <w:szCs w:val="20"/>
                <w:lang w:eastAsia="en-NZ"/>
              </w:rPr>
              <w:t>A single, consistent, interpretive, evidence-informed front-of-pack supplementary nutrition information system, which readily allows consumers to assess a product’s healthiness, is applied to all packaged foods</w:t>
            </w:r>
          </w:p>
        </w:tc>
        <w:tc>
          <w:tcPr>
            <w:tcW w:w="0" w:type="auto"/>
            <w:tcBorders>
              <w:top w:val="single" w:sz="2" w:space="0" w:color="auto"/>
              <w:left w:val="single" w:sz="18" w:space="0" w:color="auto"/>
              <w:bottom w:val="single" w:sz="2" w:space="0" w:color="auto"/>
            </w:tcBorders>
            <w:shd w:val="clear" w:color="auto" w:fill="auto"/>
            <w:noWrap/>
            <w:vAlign w:val="center"/>
          </w:tcPr>
          <w:p w14:paraId="1BB27176" w14:textId="5050FCFA" w:rsidR="005F5FBC"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Front-of-pack labelling</w:t>
            </w:r>
          </w:p>
        </w:tc>
        <w:tc>
          <w:tcPr>
            <w:tcW w:w="0" w:type="auto"/>
            <w:tcBorders>
              <w:top w:val="single" w:sz="2" w:space="0" w:color="auto"/>
              <w:bottom w:val="single" w:sz="2" w:space="0" w:color="auto"/>
              <w:right w:val="single" w:sz="18" w:space="0" w:color="auto"/>
            </w:tcBorders>
          </w:tcPr>
          <w:p w14:paraId="27B76E25" w14:textId="4412E8F4" w:rsidR="005F5FBC" w:rsidRPr="002B6A87" w:rsidRDefault="005F5FBC" w:rsidP="00563F8F">
            <w:pPr>
              <w:rPr>
                <w:color w:val="000000"/>
                <w:sz w:val="20"/>
                <w:szCs w:val="20"/>
              </w:rPr>
            </w:pPr>
          </w:p>
        </w:tc>
      </w:tr>
      <w:tr w:rsidR="00103270" w:rsidRPr="00B65ED5" w14:paraId="5EA0655E" w14:textId="77777777" w:rsidTr="00103270">
        <w:trPr>
          <w:trHeight w:val="915"/>
        </w:trPr>
        <w:tc>
          <w:tcPr>
            <w:tcW w:w="0" w:type="auto"/>
            <w:vMerge/>
            <w:tcBorders>
              <w:top w:val="nil"/>
              <w:left w:val="single" w:sz="18" w:space="0" w:color="auto"/>
              <w:bottom w:val="single" w:sz="18" w:space="0" w:color="auto"/>
              <w:right w:val="single" w:sz="18" w:space="0" w:color="auto"/>
            </w:tcBorders>
            <w:vAlign w:val="center"/>
            <w:hideMark/>
          </w:tcPr>
          <w:p w14:paraId="585052B7" w14:textId="77777777" w:rsidR="005F5FBC" w:rsidRPr="002B6A87" w:rsidRDefault="005F5FBC" w:rsidP="00563F8F">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18" w:space="0" w:color="auto"/>
              <w:right w:val="single" w:sz="18" w:space="0" w:color="auto"/>
            </w:tcBorders>
            <w:shd w:val="clear" w:color="auto" w:fill="auto"/>
            <w:vAlign w:val="center"/>
            <w:hideMark/>
          </w:tcPr>
          <w:p w14:paraId="1C822514" w14:textId="77777777" w:rsidR="005F5FBC" w:rsidRPr="002B6A87" w:rsidRDefault="005F5FBC"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LABEL4: </w:t>
            </w:r>
            <w:r w:rsidRPr="002B6A87">
              <w:rPr>
                <w:rFonts w:eastAsia="Times New Roman" w:cs="Times New Roman"/>
                <w:color w:val="000000"/>
                <w:sz w:val="20"/>
                <w:szCs w:val="20"/>
                <w:lang w:eastAsia="en-NZ"/>
              </w:rPr>
              <w:t>A consistent, single, simple, clearly-visible system of labelling the menu boards of all quick service restaurants (i.e. fast food chains) is applied by the government, which allows consumers to interpret the nutrient quality and energy content of foods and meals on sale</w:t>
            </w:r>
          </w:p>
        </w:tc>
        <w:tc>
          <w:tcPr>
            <w:tcW w:w="0" w:type="auto"/>
            <w:tcBorders>
              <w:top w:val="single" w:sz="2" w:space="0" w:color="auto"/>
              <w:left w:val="single" w:sz="18" w:space="0" w:color="auto"/>
              <w:bottom w:val="single" w:sz="18" w:space="0" w:color="auto"/>
            </w:tcBorders>
            <w:shd w:val="clear" w:color="auto" w:fill="auto"/>
            <w:noWrap/>
            <w:vAlign w:val="center"/>
            <w:hideMark/>
          </w:tcPr>
          <w:p w14:paraId="47D527A3" w14:textId="27CB5CFB" w:rsidR="005F5FBC"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Menu board labelling</w:t>
            </w:r>
          </w:p>
        </w:tc>
        <w:tc>
          <w:tcPr>
            <w:tcW w:w="0" w:type="auto"/>
            <w:tcBorders>
              <w:top w:val="single" w:sz="2" w:space="0" w:color="auto"/>
              <w:bottom w:val="single" w:sz="18" w:space="0" w:color="auto"/>
              <w:right w:val="single" w:sz="18" w:space="0" w:color="auto"/>
            </w:tcBorders>
          </w:tcPr>
          <w:p w14:paraId="575E7AF8" w14:textId="3FBAE259" w:rsidR="005F5FBC" w:rsidRPr="002B6A87" w:rsidRDefault="005F5FBC" w:rsidP="00563F8F">
            <w:pPr>
              <w:rPr>
                <w:color w:val="000000"/>
                <w:sz w:val="20"/>
                <w:szCs w:val="20"/>
              </w:rPr>
            </w:pPr>
          </w:p>
        </w:tc>
      </w:tr>
      <w:tr w:rsidR="00103270" w:rsidRPr="00B65ED5" w14:paraId="532B3C67" w14:textId="77777777" w:rsidTr="00E57ED7">
        <w:trPr>
          <w:trHeight w:val="1035"/>
        </w:trPr>
        <w:tc>
          <w:tcPr>
            <w:tcW w:w="0" w:type="auto"/>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4A5DA8DB" w14:textId="77777777" w:rsidR="005F5FBC" w:rsidRPr="002B6A87" w:rsidRDefault="005F5FBC" w:rsidP="00563F8F">
            <w:pPr>
              <w:spacing w:before="60" w:after="60"/>
              <w:rPr>
                <w:rFonts w:eastAsia="Times New Roman" w:cs="Times New Roman"/>
                <w:color w:val="000000"/>
                <w:sz w:val="20"/>
                <w:szCs w:val="20"/>
                <w:lang w:eastAsia="en-NZ"/>
              </w:rPr>
            </w:pPr>
            <w:r w:rsidRPr="002B6A87">
              <w:rPr>
                <w:rFonts w:eastAsia="Times New Roman" w:cs="Times New Roman"/>
                <w:b/>
                <w:bCs/>
                <w:color w:val="000000"/>
                <w:sz w:val="20"/>
                <w:szCs w:val="20"/>
                <w:u w:val="single"/>
                <w:lang w:eastAsia="en-NZ"/>
              </w:rPr>
              <w:t>Food Promotion</w:t>
            </w:r>
            <w:r w:rsidRPr="002B6A87">
              <w:rPr>
                <w:rFonts w:eastAsia="Times New Roman" w:cs="Times New Roman"/>
                <w:color w:val="000000"/>
                <w:sz w:val="20"/>
                <w:szCs w:val="20"/>
                <w:lang w:eastAsia="en-NZ"/>
              </w:rPr>
              <w:t xml:space="preserve">: </w:t>
            </w:r>
          </w:p>
          <w:p w14:paraId="0623AE02" w14:textId="77777777" w:rsidR="005F5FBC" w:rsidRPr="002B6A87" w:rsidRDefault="005F5FBC" w:rsidP="00563F8F">
            <w:pPr>
              <w:spacing w:before="60" w:after="60"/>
              <w:rPr>
                <w:rFonts w:eastAsia="Times New Roman" w:cs="Times New Roman"/>
                <w:color w:val="000000"/>
                <w:sz w:val="20"/>
                <w:szCs w:val="20"/>
                <w:lang w:eastAsia="en-NZ"/>
              </w:rPr>
            </w:pPr>
            <w:r w:rsidRPr="002B6A87">
              <w:rPr>
                <w:rFonts w:eastAsia="Times New Roman" w:cs="Times New Roman"/>
                <w:i/>
                <w:iCs/>
                <w:color w:val="000000"/>
                <w:sz w:val="20"/>
                <w:szCs w:val="20"/>
                <w:lang w:eastAsia="en-NZ"/>
              </w:rPr>
              <w:t xml:space="preserve">There is a comprehensive policy implemented by the government to reduce </w:t>
            </w:r>
            <w:r w:rsidRPr="002B6A87">
              <w:rPr>
                <w:rFonts w:eastAsia="Times New Roman" w:cs="Times New Roman"/>
                <w:i/>
                <w:iCs/>
                <w:color w:val="000000"/>
                <w:sz w:val="20"/>
                <w:szCs w:val="20"/>
                <w:lang w:eastAsia="en-NZ"/>
              </w:rPr>
              <w:lastRenderedPageBreak/>
              <w:t>the impact (exposure and power) of promotion of unhealthy foods to children (&lt;16years) across all media</w:t>
            </w:r>
          </w:p>
        </w:tc>
        <w:tc>
          <w:tcPr>
            <w:tcW w:w="0" w:type="auto"/>
            <w:tcBorders>
              <w:top w:val="single" w:sz="18" w:space="0" w:color="auto"/>
              <w:left w:val="single" w:sz="18" w:space="0" w:color="auto"/>
              <w:bottom w:val="single" w:sz="4" w:space="0" w:color="auto"/>
              <w:right w:val="single" w:sz="18" w:space="0" w:color="auto"/>
            </w:tcBorders>
            <w:shd w:val="clear" w:color="auto" w:fill="auto"/>
            <w:vAlign w:val="center"/>
            <w:hideMark/>
          </w:tcPr>
          <w:p w14:paraId="21D72B0A" w14:textId="75FD6D46" w:rsidR="005F5FBC" w:rsidRPr="002B6A87" w:rsidRDefault="005F5FBC" w:rsidP="001F2D77">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lastRenderedPageBreak/>
              <w:t xml:space="preserve">PROMO1: </w:t>
            </w:r>
            <w:proofErr w:type="gramStart"/>
            <w:r w:rsidRPr="002B6A87">
              <w:rPr>
                <w:rFonts w:eastAsia="Times New Roman" w:cs="Times New Roman"/>
                <w:color w:val="000000"/>
                <w:sz w:val="20"/>
                <w:szCs w:val="20"/>
                <w:lang w:eastAsia="en-NZ"/>
              </w:rPr>
              <w:t>Effective policies are implemented by the government</w:t>
            </w:r>
            <w:proofErr w:type="gramEnd"/>
            <w:r w:rsidRPr="002B6A87">
              <w:rPr>
                <w:rFonts w:eastAsia="Times New Roman" w:cs="Times New Roman"/>
                <w:color w:val="000000"/>
                <w:sz w:val="20"/>
                <w:szCs w:val="20"/>
                <w:lang w:eastAsia="en-NZ"/>
              </w:rPr>
              <w:t xml:space="preserve"> to restrict exposure and power of promotion of unhealthy foods to children through broadcast</w:t>
            </w:r>
            <w:r w:rsidR="001F2D77">
              <w:rPr>
                <w:rFonts w:eastAsia="Times New Roman" w:cs="Times New Roman"/>
                <w:color w:val="000000"/>
                <w:sz w:val="20"/>
                <w:szCs w:val="20"/>
                <w:lang w:eastAsia="en-NZ"/>
              </w:rPr>
              <w:t xml:space="preserve"> media</w:t>
            </w:r>
            <w:r w:rsidRPr="002B6A87">
              <w:rPr>
                <w:rFonts w:eastAsia="Times New Roman" w:cs="Times New Roman"/>
                <w:color w:val="000000"/>
                <w:sz w:val="20"/>
                <w:szCs w:val="20"/>
                <w:lang w:eastAsia="en-NZ"/>
              </w:rPr>
              <w:t xml:space="preserve"> (</w:t>
            </w:r>
            <w:r w:rsidR="001F2D77">
              <w:rPr>
                <w:rFonts w:eastAsia="Times New Roman" w:cs="Times New Roman"/>
                <w:color w:val="000000"/>
                <w:sz w:val="20"/>
                <w:szCs w:val="20"/>
                <w:lang w:eastAsia="en-NZ"/>
              </w:rPr>
              <w:t xml:space="preserve">e.g. </w:t>
            </w:r>
            <w:r w:rsidRPr="002B6A87">
              <w:rPr>
                <w:rFonts w:eastAsia="Times New Roman" w:cs="Times New Roman"/>
                <w:color w:val="000000"/>
                <w:sz w:val="20"/>
                <w:szCs w:val="20"/>
                <w:lang w:eastAsia="en-NZ"/>
              </w:rPr>
              <w:t xml:space="preserve">TV, radio) </w:t>
            </w:r>
          </w:p>
        </w:tc>
        <w:tc>
          <w:tcPr>
            <w:tcW w:w="0" w:type="auto"/>
            <w:tcBorders>
              <w:top w:val="single" w:sz="18" w:space="0" w:color="auto"/>
              <w:left w:val="single" w:sz="18" w:space="0" w:color="auto"/>
              <w:bottom w:val="single" w:sz="4" w:space="0" w:color="auto"/>
            </w:tcBorders>
            <w:shd w:val="clear" w:color="auto" w:fill="auto"/>
            <w:noWrap/>
            <w:vAlign w:val="center"/>
            <w:hideMark/>
          </w:tcPr>
          <w:p w14:paraId="569AEDD5" w14:textId="79A75946" w:rsidR="005F5FBC"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Restriction unhealthy food marketing broadcast media</w:t>
            </w:r>
          </w:p>
        </w:tc>
        <w:tc>
          <w:tcPr>
            <w:tcW w:w="0" w:type="auto"/>
            <w:tcBorders>
              <w:top w:val="single" w:sz="18" w:space="0" w:color="auto"/>
              <w:bottom w:val="single" w:sz="4" w:space="0" w:color="auto"/>
              <w:right w:val="single" w:sz="18" w:space="0" w:color="auto"/>
            </w:tcBorders>
          </w:tcPr>
          <w:p w14:paraId="10A2DDFF" w14:textId="2418D8EE" w:rsidR="005F5FBC" w:rsidRPr="002B6A87" w:rsidRDefault="005F5FBC" w:rsidP="00563F8F">
            <w:pPr>
              <w:rPr>
                <w:color w:val="000000"/>
                <w:sz w:val="20"/>
                <w:szCs w:val="20"/>
              </w:rPr>
            </w:pPr>
          </w:p>
        </w:tc>
      </w:tr>
      <w:tr w:rsidR="006B0AAA" w:rsidRPr="00B65ED5" w14:paraId="2498D13C" w14:textId="77777777" w:rsidTr="00E57ED7">
        <w:trPr>
          <w:trHeight w:val="1035"/>
        </w:trPr>
        <w:tc>
          <w:tcPr>
            <w:tcW w:w="0" w:type="auto"/>
            <w:vMerge/>
            <w:tcBorders>
              <w:top w:val="single" w:sz="18" w:space="0" w:color="auto"/>
              <w:left w:val="single" w:sz="18" w:space="0" w:color="auto"/>
              <w:bottom w:val="single" w:sz="8" w:space="0" w:color="000000"/>
              <w:right w:val="single" w:sz="18" w:space="0" w:color="auto"/>
            </w:tcBorders>
            <w:shd w:val="clear" w:color="auto" w:fill="auto"/>
            <w:vAlign w:val="center"/>
          </w:tcPr>
          <w:p w14:paraId="64970F45" w14:textId="77777777" w:rsidR="006B0AAA" w:rsidRPr="002B6A87" w:rsidRDefault="006B0AAA" w:rsidP="006B0AAA">
            <w:pPr>
              <w:spacing w:before="60" w:after="60"/>
              <w:rPr>
                <w:rFonts w:eastAsia="Times New Roman" w:cs="Times New Roman"/>
                <w:b/>
                <w:bCs/>
                <w:color w:val="000000"/>
                <w:sz w:val="20"/>
                <w:szCs w:val="20"/>
                <w:u w:val="single"/>
                <w:lang w:eastAsia="en-NZ"/>
              </w:rPr>
            </w:pPr>
          </w:p>
        </w:tc>
        <w:tc>
          <w:tcPr>
            <w:tcW w:w="0" w:type="auto"/>
            <w:tcBorders>
              <w:top w:val="single" w:sz="4" w:space="0" w:color="auto"/>
              <w:left w:val="single" w:sz="18" w:space="0" w:color="auto"/>
              <w:bottom w:val="single" w:sz="8" w:space="0" w:color="auto"/>
              <w:right w:val="single" w:sz="18" w:space="0" w:color="auto"/>
            </w:tcBorders>
            <w:shd w:val="clear" w:color="auto" w:fill="auto"/>
            <w:vAlign w:val="center"/>
          </w:tcPr>
          <w:p w14:paraId="1231BC56" w14:textId="0CF7BC65" w:rsidR="006B0AAA" w:rsidRPr="002B6A87" w:rsidRDefault="006B0AAA" w:rsidP="001F2D77">
            <w:pPr>
              <w:rPr>
                <w:rFonts w:eastAsia="Times New Roman" w:cs="Times New Roman"/>
                <w:b/>
                <w:bCs/>
                <w:color w:val="000000"/>
                <w:sz w:val="20"/>
                <w:szCs w:val="20"/>
                <w:lang w:eastAsia="en-NZ"/>
              </w:rPr>
            </w:pPr>
            <w:r>
              <w:rPr>
                <w:rFonts w:eastAsia="Times New Roman" w:cs="Times New Roman"/>
                <w:b/>
                <w:bCs/>
                <w:color w:val="000000"/>
                <w:sz w:val="20"/>
                <w:szCs w:val="20"/>
                <w:lang w:eastAsia="en-NZ"/>
              </w:rPr>
              <w:t>PROMO2</w:t>
            </w:r>
            <w:r w:rsidRPr="002B6A87">
              <w:rPr>
                <w:rFonts w:eastAsia="Times New Roman" w:cs="Times New Roman"/>
                <w:b/>
                <w:bCs/>
                <w:color w:val="000000"/>
                <w:sz w:val="20"/>
                <w:szCs w:val="20"/>
                <w:lang w:eastAsia="en-NZ"/>
              </w:rPr>
              <w:t xml:space="preserve">: </w:t>
            </w:r>
            <w:proofErr w:type="gramStart"/>
            <w:r w:rsidRPr="002B6A87">
              <w:rPr>
                <w:rFonts w:eastAsia="Times New Roman" w:cs="Times New Roman"/>
                <w:color w:val="000000"/>
                <w:sz w:val="20"/>
                <w:szCs w:val="20"/>
                <w:lang w:eastAsia="en-NZ"/>
              </w:rPr>
              <w:t>Effective policies are implemented by the government</w:t>
            </w:r>
            <w:proofErr w:type="gramEnd"/>
            <w:r w:rsidRPr="002B6A87">
              <w:rPr>
                <w:rFonts w:eastAsia="Times New Roman" w:cs="Times New Roman"/>
                <w:color w:val="000000"/>
                <w:sz w:val="20"/>
                <w:szCs w:val="20"/>
                <w:lang w:eastAsia="en-NZ"/>
              </w:rPr>
              <w:t xml:space="preserve"> to restrict exposure and power of promotion of unhealthy foods to children through non-broadcast media (e.g. social media, point-of-purchase, product placement, packaging, sponsorship)</w:t>
            </w:r>
          </w:p>
        </w:tc>
        <w:tc>
          <w:tcPr>
            <w:tcW w:w="0" w:type="auto"/>
            <w:tcBorders>
              <w:top w:val="single" w:sz="4" w:space="0" w:color="auto"/>
              <w:left w:val="single" w:sz="18" w:space="0" w:color="auto"/>
              <w:bottom w:val="single" w:sz="2" w:space="0" w:color="auto"/>
            </w:tcBorders>
            <w:shd w:val="clear" w:color="auto" w:fill="auto"/>
            <w:noWrap/>
            <w:vAlign w:val="center"/>
          </w:tcPr>
          <w:p w14:paraId="1912E2CC" w14:textId="1AAA6E28"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Restriction unhealthy food marketing non-broadcast media</w:t>
            </w:r>
          </w:p>
        </w:tc>
        <w:tc>
          <w:tcPr>
            <w:tcW w:w="0" w:type="auto"/>
            <w:tcBorders>
              <w:top w:val="single" w:sz="4" w:space="0" w:color="auto"/>
              <w:bottom w:val="single" w:sz="2" w:space="0" w:color="auto"/>
              <w:right w:val="single" w:sz="18" w:space="0" w:color="auto"/>
            </w:tcBorders>
          </w:tcPr>
          <w:p w14:paraId="04935E64" w14:textId="77777777" w:rsidR="006B0AAA" w:rsidRPr="002B6A87" w:rsidRDefault="006B0AAA" w:rsidP="006B0AAA">
            <w:pPr>
              <w:rPr>
                <w:color w:val="000000"/>
                <w:sz w:val="20"/>
                <w:szCs w:val="20"/>
              </w:rPr>
            </w:pPr>
          </w:p>
        </w:tc>
      </w:tr>
      <w:tr w:rsidR="00103270" w:rsidRPr="00B65ED5" w14:paraId="4221FB40" w14:textId="77777777" w:rsidTr="00103270">
        <w:trPr>
          <w:trHeight w:val="915"/>
        </w:trPr>
        <w:tc>
          <w:tcPr>
            <w:tcW w:w="0" w:type="auto"/>
            <w:vMerge/>
            <w:tcBorders>
              <w:top w:val="nil"/>
              <w:left w:val="single" w:sz="18" w:space="0" w:color="auto"/>
              <w:bottom w:val="single" w:sz="18" w:space="0" w:color="auto"/>
              <w:right w:val="single" w:sz="18" w:space="0" w:color="auto"/>
            </w:tcBorders>
            <w:vAlign w:val="center"/>
            <w:hideMark/>
          </w:tcPr>
          <w:p w14:paraId="3CB9212C" w14:textId="77777777" w:rsidR="006B0AAA" w:rsidRPr="002B6A87" w:rsidRDefault="006B0AAA" w:rsidP="006B0AAA">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18" w:space="0" w:color="auto"/>
              <w:right w:val="single" w:sz="18" w:space="0" w:color="auto"/>
            </w:tcBorders>
            <w:shd w:val="clear" w:color="auto" w:fill="auto"/>
            <w:vAlign w:val="center"/>
            <w:hideMark/>
          </w:tcPr>
          <w:p w14:paraId="253A6216" w14:textId="69722815" w:rsidR="006B0AAA" w:rsidRPr="002B6A87" w:rsidRDefault="006B0AAA" w:rsidP="00103270">
            <w:pPr>
              <w:rPr>
                <w:rFonts w:eastAsia="Times New Roman" w:cs="Times New Roman"/>
                <w:b/>
                <w:bCs/>
                <w:color w:val="000000"/>
                <w:sz w:val="20"/>
                <w:szCs w:val="20"/>
                <w:lang w:eastAsia="en-NZ"/>
              </w:rPr>
            </w:pPr>
            <w:r>
              <w:rPr>
                <w:rFonts w:eastAsia="Times New Roman" w:cs="Times New Roman"/>
                <w:b/>
                <w:bCs/>
                <w:color w:val="000000"/>
                <w:sz w:val="20"/>
                <w:szCs w:val="20"/>
                <w:lang w:eastAsia="en-NZ"/>
              </w:rPr>
              <w:t>PROMO3</w:t>
            </w:r>
            <w:r w:rsidRPr="002B6A87">
              <w:rPr>
                <w:rFonts w:eastAsia="Times New Roman" w:cs="Times New Roman"/>
                <w:b/>
                <w:bCs/>
                <w:color w:val="000000"/>
                <w:sz w:val="20"/>
                <w:szCs w:val="20"/>
                <w:lang w:eastAsia="en-NZ"/>
              </w:rPr>
              <w:t xml:space="preserve">: </w:t>
            </w:r>
            <w:proofErr w:type="gramStart"/>
            <w:r w:rsidRPr="002B6A87">
              <w:rPr>
                <w:rFonts w:eastAsia="Times New Roman" w:cs="Times New Roman"/>
                <w:color w:val="000000"/>
                <w:sz w:val="20"/>
                <w:szCs w:val="20"/>
                <w:lang w:eastAsia="en-NZ"/>
              </w:rPr>
              <w:t>Effective policies are implemented by the government</w:t>
            </w:r>
            <w:proofErr w:type="gramEnd"/>
            <w:r w:rsidRPr="002B6A87">
              <w:rPr>
                <w:rFonts w:eastAsia="Times New Roman" w:cs="Times New Roman"/>
                <w:color w:val="000000"/>
                <w:sz w:val="20"/>
                <w:szCs w:val="20"/>
                <w:lang w:eastAsia="en-NZ"/>
              </w:rPr>
              <w:t xml:space="preserve"> to ensure that unhealthy foods are not commercially promoted to children in settings where children gather (e.g. preschools, schools, sport and cultural events) </w:t>
            </w:r>
          </w:p>
        </w:tc>
        <w:tc>
          <w:tcPr>
            <w:tcW w:w="0" w:type="auto"/>
            <w:tcBorders>
              <w:top w:val="single" w:sz="2" w:space="0" w:color="auto"/>
              <w:left w:val="single" w:sz="18" w:space="0" w:color="auto"/>
              <w:bottom w:val="single" w:sz="18" w:space="0" w:color="auto"/>
            </w:tcBorders>
            <w:shd w:val="clear" w:color="auto" w:fill="auto"/>
            <w:noWrap/>
            <w:vAlign w:val="center"/>
          </w:tcPr>
          <w:p w14:paraId="4BD1BC4F" w14:textId="7C26F438"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Restriction unhealthy food marketing child settings</w:t>
            </w:r>
          </w:p>
        </w:tc>
        <w:tc>
          <w:tcPr>
            <w:tcW w:w="0" w:type="auto"/>
            <w:tcBorders>
              <w:top w:val="single" w:sz="2" w:space="0" w:color="auto"/>
              <w:bottom w:val="single" w:sz="18" w:space="0" w:color="auto"/>
              <w:right w:val="single" w:sz="18" w:space="0" w:color="auto"/>
            </w:tcBorders>
          </w:tcPr>
          <w:p w14:paraId="48320621" w14:textId="72201FC4" w:rsidR="006B0AAA" w:rsidRPr="002B6A87" w:rsidRDefault="006B0AAA" w:rsidP="006B0AAA">
            <w:pPr>
              <w:rPr>
                <w:color w:val="000000"/>
                <w:sz w:val="20"/>
                <w:szCs w:val="20"/>
              </w:rPr>
            </w:pPr>
          </w:p>
        </w:tc>
      </w:tr>
      <w:tr w:rsidR="00103270" w:rsidRPr="00B65ED5" w14:paraId="19CEF0E3" w14:textId="77777777" w:rsidTr="00103270">
        <w:trPr>
          <w:trHeight w:val="615"/>
        </w:trPr>
        <w:tc>
          <w:tcPr>
            <w:tcW w:w="0" w:type="auto"/>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2CB0A93B" w14:textId="77777777" w:rsidR="006B0AAA" w:rsidRPr="002B6A87" w:rsidRDefault="006B0AAA" w:rsidP="006B0AAA">
            <w:pPr>
              <w:spacing w:before="60" w:after="60"/>
              <w:rPr>
                <w:rFonts w:eastAsia="Times New Roman" w:cs="Times New Roman"/>
                <w:color w:val="000000"/>
                <w:sz w:val="20"/>
                <w:szCs w:val="20"/>
                <w:lang w:eastAsia="en-NZ"/>
              </w:rPr>
            </w:pPr>
            <w:r w:rsidRPr="002B6A87">
              <w:rPr>
                <w:rFonts w:eastAsia="Times New Roman" w:cs="Times New Roman"/>
                <w:b/>
                <w:bCs/>
                <w:color w:val="000000"/>
                <w:sz w:val="20"/>
                <w:szCs w:val="20"/>
                <w:u w:val="single"/>
                <w:lang w:eastAsia="en-NZ"/>
              </w:rPr>
              <w:t>Food Prices</w:t>
            </w:r>
            <w:r w:rsidRPr="002B6A87">
              <w:rPr>
                <w:rFonts w:eastAsia="Times New Roman" w:cs="Times New Roman"/>
                <w:color w:val="000000"/>
                <w:sz w:val="20"/>
                <w:szCs w:val="20"/>
                <w:lang w:eastAsia="en-NZ"/>
              </w:rPr>
              <w:t xml:space="preserve">: </w:t>
            </w:r>
          </w:p>
          <w:p w14:paraId="10591441" w14:textId="77777777" w:rsidR="006B0AAA" w:rsidRPr="002B6A87" w:rsidRDefault="006B0AAA" w:rsidP="006B0AAA">
            <w:pPr>
              <w:spacing w:before="60" w:after="60"/>
              <w:rPr>
                <w:rFonts w:eastAsia="Times New Roman" w:cs="Times New Roman"/>
                <w:color w:val="000000"/>
                <w:sz w:val="20"/>
                <w:szCs w:val="20"/>
                <w:lang w:eastAsia="en-NZ"/>
              </w:rPr>
            </w:pPr>
            <w:r w:rsidRPr="002B6A87">
              <w:rPr>
                <w:rFonts w:eastAsia="Times New Roman" w:cs="Times New Roman"/>
                <w:i/>
                <w:iCs/>
                <w:color w:val="000000"/>
                <w:sz w:val="20"/>
                <w:szCs w:val="20"/>
                <w:lang w:eastAsia="en-NZ"/>
              </w:rPr>
              <w:t>Food pricing policies (e.g., taxes and subsidies) are aligned with health outcomes by helping to make the healthy eating choices the easier, cheaper choices</w:t>
            </w:r>
          </w:p>
        </w:tc>
        <w:tc>
          <w:tcPr>
            <w:tcW w:w="0" w:type="auto"/>
            <w:tcBorders>
              <w:top w:val="single" w:sz="18" w:space="0" w:color="auto"/>
              <w:left w:val="single" w:sz="18" w:space="0" w:color="auto"/>
              <w:bottom w:val="single" w:sz="8" w:space="0" w:color="auto"/>
              <w:right w:val="single" w:sz="18" w:space="0" w:color="auto"/>
            </w:tcBorders>
            <w:shd w:val="clear" w:color="auto" w:fill="auto"/>
            <w:vAlign w:val="center"/>
            <w:hideMark/>
          </w:tcPr>
          <w:p w14:paraId="446AB098"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PRICES1: </w:t>
            </w:r>
            <w:r w:rsidRPr="002B6A87">
              <w:rPr>
                <w:rFonts w:eastAsia="Times New Roman" w:cs="Times New Roman"/>
                <w:color w:val="000000"/>
                <w:sz w:val="20"/>
                <w:szCs w:val="20"/>
                <w:lang w:eastAsia="en-NZ"/>
              </w:rPr>
              <w:t>Taxes on healthy foods are minimised to encourage healthy food choices where possible (e.g. low or no sales tax, excise, value-added or import duties on fruit and vegetables)</w:t>
            </w:r>
          </w:p>
        </w:tc>
        <w:tc>
          <w:tcPr>
            <w:tcW w:w="0" w:type="auto"/>
            <w:tcBorders>
              <w:top w:val="single" w:sz="18" w:space="0" w:color="auto"/>
              <w:left w:val="single" w:sz="18" w:space="0" w:color="auto"/>
              <w:bottom w:val="single" w:sz="2" w:space="0" w:color="auto"/>
            </w:tcBorders>
            <w:shd w:val="clear" w:color="auto" w:fill="auto"/>
            <w:noWrap/>
            <w:vAlign w:val="center"/>
            <w:hideMark/>
          </w:tcPr>
          <w:p w14:paraId="4C058CC9" w14:textId="4EC23B0F"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Low tax on healthy foods</w:t>
            </w:r>
          </w:p>
        </w:tc>
        <w:tc>
          <w:tcPr>
            <w:tcW w:w="0" w:type="auto"/>
            <w:tcBorders>
              <w:top w:val="single" w:sz="18" w:space="0" w:color="auto"/>
              <w:bottom w:val="single" w:sz="2" w:space="0" w:color="auto"/>
              <w:right w:val="single" w:sz="18" w:space="0" w:color="auto"/>
            </w:tcBorders>
          </w:tcPr>
          <w:p w14:paraId="0BF6E57F" w14:textId="3D59354B" w:rsidR="006B0AAA" w:rsidRPr="002B6A87" w:rsidRDefault="006B0AAA" w:rsidP="006B0AAA">
            <w:pPr>
              <w:rPr>
                <w:color w:val="000000"/>
                <w:sz w:val="20"/>
                <w:szCs w:val="20"/>
              </w:rPr>
            </w:pPr>
          </w:p>
        </w:tc>
      </w:tr>
      <w:tr w:rsidR="00103270" w:rsidRPr="00B65ED5" w14:paraId="062B3406" w14:textId="77777777" w:rsidTr="00103270">
        <w:trPr>
          <w:trHeight w:val="915"/>
        </w:trPr>
        <w:tc>
          <w:tcPr>
            <w:tcW w:w="0" w:type="auto"/>
            <w:vMerge/>
            <w:tcBorders>
              <w:top w:val="nil"/>
              <w:left w:val="single" w:sz="18" w:space="0" w:color="auto"/>
              <w:bottom w:val="single" w:sz="8" w:space="0" w:color="000000"/>
              <w:right w:val="single" w:sz="18" w:space="0" w:color="auto"/>
            </w:tcBorders>
            <w:vAlign w:val="center"/>
            <w:hideMark/>
          </w:tcPr>
          <w:p w14:paraId="32FBED56" w14:textId="77777777" w:rsidR="006B0AAA" w:rsidRPr="002B6A87" w:rsidRDefault="006B0AAA" w:rsidP="006B0AAA">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8" w:space="0" w:color="auto"/>
              <w:right w:val="single" w:sz="18" w:space="0" w:color="auto"/>
            </w:tcBorders>
            <w:shd w:val="clear" w:color="auto" w:fill="auto"/>
            <w:vAlign w:val="center"/>
            <w:hideMark/>
          </w:tcPr>
          <w:p w14:paraId="05CCD0EA"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PRICES2: </w:t>
            </w:r>
            <w:r w:rsidRPr="002B6A87">
              <w:rPr>
                <w:rFonts w:eastAsia="Times New Roman" w:cs="Times New Roman"/>
                <w:color w:val="000000"/>
                <w:sz w:val="20"/>
                <w:szCs w:val="20"/>
                <w:lang w:eastAsia="en-NZ"/>
              </w:rPr>
              <w:t>Taxes on unhealthy foods (e.g. sugar-sweetened beverages, foods high in nutrients of concern) are in place to discourage unhealthy food choices where possible, and these taxes are reinvested to improve population health</w:t>
            </w:r>
          </w:p>
        </w:tc>
        <w:tc>
          <w:tcPr>
            <w:tcW w:w="0" w:type="auto"/>
            <w:tcBorders>
              <w:top w:val="single" w:sz="2" w:space="0" w:color="auto"/>
              <w:left w:val="single" w:sz="18" w:space="0" w:color="auto"/>
              <w:bottom w:val="single" w:sz="2" w:space="0" w:color="auto"/>
            </w:tcBorders>
            <w:shd w:val="clear" w:color="auto" w:fill="auto"/>
            <w:noWrap/>
            <w:vAlign w:val="center"/>
          </w:tcPr>
          <w:p w14:paraId="1D775E3A" w14:textId="4A0E1E5A"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High tax on unhealthy foods</w:t>
            </w:r>
          </w:p>
        </w:tc>
        <w:tc>
          <w:tcPr>
            <w:tcW w:w="0" w:type="auto"/>
            <w:tcBorders>
              <w:top w:val="single" w:sz="2" w:space="0" w:color="auto"/>
              <w:bottom w:val="single" w:sz="2" w:space="0" w:color="auto"/>
              <w:right w:val="single" w:sz="18" w:space="0" w:color="auto"/>
            </w:tcBorders>
          </w:tcPr>
          <w:p w14:paraId="076699E9" w14:textId="225E5E15" w:rsidR="006B0AAA" w:rsidRPr="002B6A87" w:rsidRDefault="006B0AAA" w:rsidP="006B0AAA">
            <w:pPr>
              <w:rPr>
                <w:color w:val="000000"/>
                <w:sz w:val="20"/>
                <w:szCs w:val="20"/>
              </w:rPr>
            </w:pPr>
          </w:p>
        </w:tc>
      </w:tr>
      <w:tr w:rsidR="00103270" w:rsidRPr="00B65ED5" w14:paraId="4FC22FA8" w14:textId="77777777" w:rsidTr="00103270">
        <w:trPr>
          <w:trHeight w:val="525"/>
        </w:trPr>
        <w:tc>
          <w:tcPr>
            <w:tcW w:w="0" w:type="auto"/>
            <w:vMerge/>
            <w:tcBorders>
              <w:top w:val="nil"/>
              <w:left w:val="single" w:sz="18" w:space="0" w:color="auto"/>
              <w:bottom w:val="single" w:sz="8" w:space="0" w:color="000000"/>
              <w:right w:val="single" w:sz="18" w:space="0" w:color="auto"/>
            </w:tcBorders>
            <w:vAlign w:val="center"/>
            <w:hideMark/>
          </w:tcPr>
          <w:p w14:paraId="42777C62" w14:textId="77777777" w:rsidR="006B0AAA" w:rsidRPr="002B6A87" w:rsidRDefault="006B0AAA" w:rsidP="006B0AAA">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8" w:space="0" w:color="auto"/>
              <w:right w:val="single" w:sz="18" w:space="0" w:color="auto"/>
            </w:tcBorders>
            <w:shd w:val="clear" w:color="auto" w:fill="auto"/>
            <w:vAlign w:val="center"/>
            <w:hideMark/>
          </w:tcPr>
          <w:p w14:paraId="7CEB89E6"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PRICES3: </w:t>
            </w:r>
            <w:r w:rsidRPr="002B6A87">
              <w:rPr>
                <w:rFonts w:eastAsia="Times New Roman" w:cs="Times New Roman"/>
                <w:color w:val="000000"/>
                <w:sz w:val="20"/>
                <w:szCs w:val="20"/>
                <w:lang w:eastAsia="en-NZ"/>
              </w:rPr>
              <w:t>The intent of existing subsidies on foods, including infrastructure funding support (e.g. research and development, supporting markets or transport systems), is to favour healthy rather than unhealthy foods</w:t>
            </w:r>
          </w:p>
        </w:tc>
        <w:tc>
          <w:tcPr>
            <w:tcW w:w="0" w:type="auto"/>
            <w:tcBorders>
              <w:top w:val="single" w:sz="2" w:space="0" w:color="auto"/>
              <w:left w:val="single" w:sz="18" w:space="0" w:color="auto"/>
              <w:bottom w:val="single" w:sz="2" w:space="0" w:color="auto"/>
            </w:tcBorders>
            <w:shd w:val="clear" w:color="auto" w:fill="auto"/>
            <w:noWrap/>
            <w:vAlign w:val="center"/>
          </w:tcPr>
          <w:p w14:paraId="731635A3" w14:textId="1AAF39FD"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Intent subsidies for healthy foods</w:t>
            </w:r>
          </w:p>
        </w:tc>
        <w:tc>
          <w:tcPr>
            <w:tcW w:w="0" w:type="auto"/>
            <w:tcBorders>
              <w:top w:val="single" w:sz="2" w:space="0" w:color="auto"/>
              <w:bottom w:val="single" w:sz="2" w:space="0" w:color="auto"/>
              <w:right w:val="single" w:sz="18" w:space="0" w:color="auto"/>
            </w:tcBorders>
          </w:tcPr>
          <w:p w14:paraId="36149C6F" w14:textId="155B0B67" w:rsidR="006B0AAA" w:rsidRPr="002B6A87" w:rsidRDefault="006B0AAA" w:rsidP="006B0AAA">
            <w:pPr>
              <w:rPr>
                <w:color w:val="000000"/>
                <w:sz w:val="20"/>
                <w:szCs w:val="20"/>
              </w:rPr>
            </w:pPr>
          </w:p>
        </w:tc>
      </w:tr>
      <w:tr w:rsidR="00103270" w:rsidRPr="00B65ED5" w14:paraId="08181E9C" w14:textId="77777777" w:rsidTr="00103270">
        <w:trPr>
          <w:trHeight w:val="915"/>
        </w:trPr>
        <w:tc>
          <w:tcPr>
            <w:tcW w:w="0" w:type="auto"/>
            <w:vMerge/>
            <w:tcBorders>
              <w:top w:val="nil"/>
              <w:left w:val="single" w:sz="18" w:space="0" w:color="auto"/>
              <w:bottom w:val="single" w:sz="18" w:space="0" w:color="auto"/>
              <w:right w:val="single" w:sz="18" w:space="0" w:color="auto"/>
            </w:tcBorders>
            <w:vAlign w:val="center"/>
            <w:hideMark/>
          </w:tcPr>
          <w:p w14:paraId="67AB17FF" w14:textId="77777777" w:rsidR="006B0AAA" w:rsidRPr="002B6A87" w:rsidRDefault="006B0AAA" w:rsidP="006B0AAA">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18" w:space="0" w:color="auto"/>
              <w:right w:val="single" w:sz="18" w:space="0" w:color="auto"/>
            </w:tcBorders>
            <w:shd w:val="clear" w:color="auto" w:fill="auto"/>
            <w:vAlign w:val="center"/>
            <w:hideMark/>
          </w:tcPr>
          <w:p w14:paraId="29C474EB"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PRICES4: </w:t>
            </w:r>
            <w:r w:rsidRPr="002B6A87">
              <w:rPr>
                <w:rFonts w:eastAsia="Times New Roman" w:cs="Times New Roman"/>
                <w:color w:val="000000"/>
                <w:sz w:val="20"/>
                <w:szCs w:val="20"/>
                <w:lang w:eastAsia="en-NZ"/>
              </w:rPr>
              <w:t>The government ensures that food-related income support programs are for healthy foods</w:t>
            </w:r>
          </w:p>
        </w:tc>
        <w:tc>
          <w:tcPr>
            <w:tcW w:w="0" w:type="auto"/>
            <w:tcBorders>
              <w:top w:val="single" w:sz="2" w:space="0" w:color="auto"/>
              <w:left w:val="single" w:sz="18" w:space="0" w:color="auto"/>
              <w:bottom w:val="single" w:sz="18" w:space="0" w:color="auto"/>
            </w:tcBorders>
            <w:shd w:val="clear" w:color="auto" w:fill="auto"/>
            <w:noWrap/>
            <w:vAlign w:val="center"/>
          </w:tcPr>
          <w:p w14:paraId="70C628B2" w14:textId="23ACCB62"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Healthy food income support</w:t>
            </w:r>
          </w:p>
        </w:tc>
        <w:tc>
          <w:tcPr>
            <w:tcW w:w="0" w:type="auto"/>
            <w:tcBorders>
              <w:top w:val="single" w:sz="2" w:space="0" w:color="auto"/>
              <w:bottom w:val="single" w:sz="18" w:space="0" w:color="auto"/>
              <w:right w:val="single" w:sz="18" w:space="0" w:color="auto"/>
            </w:tcBorders>
          </w:tcPr>
          <w:p w14:paraId="7D141FE2" w14:textId="4F5069D6" w:rsidR="006B0AAA" w:rsidRPr="002B6A87" w:rsidRDefault="006B0AAA" w:rsidP="006B0AAA">
            <w:pPr>
              <w:rPr>
                <w:color w:val="000000"/>
                <w:sz w:val="20"/>
                <w:szCs w:val="20"/>
              </w:rPr>
            </w:pPr>
          </w:p>
        </w:tc>
      </w:tr>
      <w:tr w:rsidR="00103270" w:rsidRPr="00B65ED5" w14:paraId="003EE637" w14:textId="77777777" w:rsidTr="00103270">
        <w:trPr>
          <w:trHeight w:val="915"/>
        </w:trPr>
        <w:tc>
          <w:tcPr>
            <w:tcW w:w="0" w:type="auto"/>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205B03BE" w14:textId="77777777" w:rsidR="006B0AAA" w:rsidRPr="002B6A87" w:rsidRDefault="006B0AAA" w:rsidP="006B0AAA">
            <w:pPr>
              <w:spacing w:before="60" w:after="60"/>
              <w:rPr>
                <w:rFonts w:eastAsia="Times New Roman" w:cs="Times New Roman"/>
                <w:color w:val="000000"/>
                <w:sz w:val="20"/>
                <w:szCs w:val="20"/>
                <w:lang w:eastAsia="en-NZ"/>
              </w:rPr>
            </w:pPr>
            <w:r w:rsidRPr="002B6A87">
              <w:rPr>
                <w:rFonts w:eastAsia="Times New Roman" w:cs="Times New Roman"/>
                <w:b/>
                <w:bCs/>
                <w:color w:val="000000"/>
                <w:sz w:val="20"/>
                <w:szCs w:val="20"/>
                <w:u w:val="single"/>
                <w:lang w:eastAsia="en-NZ"/>
              </w:rPr>
              <w:t>Food Provision:</w:t>
            </w:r>
            <w:r w:rsidRPr="002B6A87">
              <w:rPr>
                <w:rFonts w:eastAsia="Times New Roman" w:cs="Times New Roman"/>
                <w:color w:val="000000"/>
                <w:sz w:val="20"/>
                <w:szCs w:val="20"/>
                <w:lang w:eastAsia="en-NZ"/>
              </w:rPr>
              <w:t xml:space="preserve"> </w:t>
            </w:r>
          </w:p>
          <w:p w14:paraId="5EAB44EC" w14:textId="77777777" w:rsidR="006B0AAA" w:rsidRPr="002B6A87" w:rsidRDefault="006B0AAA" w:rsidP="006B0AAA">
            <w:pPr>
              <w:spacing w:before="60" w:after="60"/>
              <w:rPr>
                <w:rFonts w:eastAsia="Times New Roman" w:cs="Times New Roman"/>
                <w:color w:val="000000"/>
                <w:sz w:val="20"/>
                <w:szCs w:val="20"/>
                <w:lang w:eastAsia="en-NZ"/>
              </w:rPr>
            </w:pPr>
            <w:r w:rsidRPr="002B6A87">
              <w:rPr>
                <w:rFonts w:eastAsia="Times New Roman" w:cs="Times New Roman"/>
                <w:i/>
                <w:iCs/>
                <w:color w:val="000000"/>
                <w:sz w:val="20"/>
                <w:szCs w:val="20"/>
                <w:lang w:eastAsia="en-NZ"/>
              </w:rPr>
              <w:t xml:space="preserve">The government ensures that there are healthy food service policies implemented in government-funded settings to ensure that food provision encourages healthy </w:t>
            </w:r>
            <w:r w:rsidRPr="002B6A87">
              <w:rPr>
                <w:rFonts w:eastAsia="Times New Roman" w:cs="Times New Roman"/>
                <w:i/>
                <w:iCs/>
                <w:color w:val="000000"/>
                <w:sz w:val="20"/>
                <w:szCs w:val="20"/>
                <w:lang w:eastAsia="en-NZ"/>
              </w:rPr>
              <w:lastRenderedPageBreak/>
              <w:t>food choices, and the government actively encourages and supports private companies to implement similar policies</w:t>
            </w:r>
          </w:p>
        </w:tc>
        <w:tc>
          <w:tcPr>
            <w:tcW w:w="0" w:type="auto"/>
            <w:tcBorders>
              <w:top w:val="single" w:sz="18" w:space="0" w:color="auto"/>
              <w:left w:val="single" w:sz="18" w:space="0" w:color="auto"/>
              <w:bottom w:val="single" w:sz="8" w:space="0" w:color="auto"/>
              <w:right w:val="single" w:sz="18" w:space="0" w:color="auto"/>
            </w:tcBorders>
            <w:shd w:val="clear" w:color="auto" w:fill="auto"/>
            <w:vAlign w:val="center"/>
            <w:hideMark/>
          </w:tcPr>
          <w:p w14:paraId="6B7FF4B6"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lastRenderedPageBreak/>
              <w:t xml:space="preserve">PROV1: </w:t>
            </w:r>
            <w:r w:rsidRPr="002B6A87">
              <w:rPr>
                <w:rFonts w:eastAsia="Times New Roman" w:cs="Times New Roman"/>
                <w:color w:val="000000"/>
                <w:sz w:val="20"/>
                <w:szCs w:val="20"/>
                <w:lang w:eastAsia="en-NZ"/>
              </w:rPr>
              <w:t xml:space="preserve">The </w:t>
            </w:r>
            <w:r w:rsidRPr="000231C2">
              <w:rPr>
                <w:rFonts w:eastAsia="Times New Roman" w:cs="Times New Roman"/>
                <w:color w:val="000000"/>
                <w:sz w:val="20"/>
                <w:szCs w:val="20"/>
                <w:lang w:eastAsia="en-NZ"/>
              </w:rPr>
              <w:t>government ensures that there are clear, consistent policies (including nutrition standards) implemented in schools and early childhood education services for food service activities (canteens, food at events, fundraising, promotions, vending machines etc.) to provide and promote healthy food choices</w:t>
            </w:r>
          </w:p>
        </w:tc>
        <w:tc>
          <w:tcPr>
            <w:tcW w:w="0" w:type="auto"/>
            <w:tcBorders>
              <w:top w:val="single" w:sz="18" w:space="0" w:color="auto"/>
              <w:left w:val="single" w:sz="18" w:space="0" w:color="auto"/>
              <w:bottom w:val="single" w:sz="2" w:space="0" w:color="auto"/>
            </w:tcBorders>
            <w:shd w:val="clear" w:color="auto" w:fill="auto"/>
            <w:noWrap/>
            <w:vAlign w:val="center"/>
          </w:tcPr>
          <w:p w14:paraId="26DBE84C" w14:textId="6E8ABC5F"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Healthy school food policies</w:t>
            </w:r>
          </w:p>
        </w:tc>
        <w:tc>
          <w:tcPr>
            <w:tcW w:w="0" w:type="auto"/>
            <w:tcBorders>
              <w:top w:val="single" w:sz="18" w:space="0" w:color="auto"/>
              <w:bottom w:val="single" w:sz="2" w:space="0" w:color="auto"/>
              <w:right w:val="single" w:sz="18" w:space="0" w:color="auto"/>
            </w:tcBorders>
          </w:tcPr>
          <w:p w14:paraId="5D6B80F4" w14:textId="37033F00" w:rsidR="006B0AAA" w:rsidRPr="002B6A87" w:rsidRDefault="006B0AAA" w:rsidP="006B0AAA">
            <w:pPr>
              <w:rPr>
                <w:color w:val="000000"/>
                <w:sz w:val="20"/>
                <w:szCs w:val="20"/>
              </w:rPr>
            </w:pPr>
          </w:p>
        </w:tc>
      </w:tr>
      <w:tr w:rsidR="00103270" w:rsidRPr="00B65ED5" w14:paraId="6EA80107" w14:textId="77777777" w:rsidTr="00103270">
        <w:trPr>
          <w:trHeight w:val="915"/>
        </w:trPr>
        <w:tc>
          <w:tcPr>
            <w:tcW w:w="0" w:type="auto"/>
            <w:vMerge/>
            <w:tcBorders>
              <w:top w:val="nil"/>
              <w:left w:val="single" w:sz="18" w:space="0" w:color="auto"/>
              <w:bottom w:val="single" w:sz="8" w:space="0" w:color="000000"/>
              <w:right w:val="single" w:sz="18" w:space="0" w:color="auto"/>
            </w:tcBorders>
            <w:vAlign w:val="center"/>
            <w:hideMark/>
          </w:tcPr>
          <w:p w14:paraId="081269BB" w14:textId="77777777" w:rsidR="006B0AAA" w:rsidRPr="002B6A87" w:rsidRDefault="006B0AAA" w:rsidP="006B0AAA">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8" w:space="0" w:color="auto"/>
              <w:right w:val="single" w:sz="18" w:space="0" w:color="auto"/>
            </w:tcBorders>
            <w:shd w:val="clear" w:color="auto" w:fill="auto"/>
            <w:vAlign w:val="center"/>
            <w:hideMark/>
          </w:tcPr>
          <w:p w14:paraId="456EE2AF"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PROV2: </w:t>
            </w:r>
            <w:r w:rsidRPr="002B6A87">
              <w:rPr>
                <w:rFonts w:eastAsia="Times New Roman" w:cs="Times New Roman"/>
                <w:color w:val="000000"/>
                <w:sz w:val="20"/>
                <w:szCs w:val="20"/>
                <w:lang w:eastAsia="en-NZ"/>
              </w:rPr>
              <w:t xml:space="preserve">The government ensures that there are clear, consistent </w:t>
            </w:r>
            <w:r w:rsidRPr="000231C2">
              <w:rPr>
                <w:rFonts w:eastAsia="Times New Roman" w:cs="Times New Roman"/>
                <w:color w:val="000000"/>
                <w:sz w:val="20"/>
                <w:szCs w:val="20"/>
                <w:lang w:eastAsia="en-NZ"/>
              </w:rPr>
              <w:t xml:space="preserve">policies in other </w:t>
            </w:r>
            <w:proofErr w:type="gramStart"/>
            <w:r w:rsidRPr="000231C2">
              <w:rPr>
                <w:rFonts w:eastAsia="Times New Roman" w:cs="Times New Roman"/>
                <w:color w:val="000000"/>
                <w:sz w:val="20"/>
                <w:szCs w:val="20"/>
                <w:lang w:eastAsia="en-NZ"/>
              </w:rPr>
              <w:t>public sector</w:t>
            </w:r>
            <w:proofErr w:type="gramEnd"/>
            <w:r w:rsidRPr="000231C2">
              <w:rPr>
                <w:rFonts w:eastAsia="Times New Roman" w:cs="Times New Roman"/>
                <w:color w:val="000000"/>
                <w:sz w:val="20"/>
                <w:szCs w:val="20"/>
                <w:lang w:eastAsia="en-NZ"/>
              </w:rPr>
              <w:t xml:space="preserve"> settings for food service activities (canteens, food at</w:t>
            </w:r>
            <w:r w:rsidRPr="002B6A87">
              <w:rPr>
                <w:rFonts w:eastAsia="Times New Roman" w:cs="Times New Roman"/>
                <w:color w:val="000000"/>
                <w:sz w:val="20"/>
                <w:szCs w:val="20"/>
                <w:lang w:eastAsia="en-NZ"/>
              </w:rPr>
              <w:t xml:space="preserve"> events, fundraising, promotions, vending machines, public procurement standards etc.) to provide and promote healthy food choices</w:t>
            </w:r>
          </w:p>
        </w:tc>
        <w:tc>
          <w:tcPr>
            <w:tcW w:w="0" w:type="auto"/>
            <w:tcBorders>
              <w:top w:val="single" w:sz="2" w:space="0" w:color="auto"/>
              <w:left w:val="single" w:sz="18" w:space="0" w:color="auto"/>
              <w:bottom w:val="single" w:sz="2" w:space="0" w:color="auto"/>
            </w:tcBorders>
            <w:shd w:val="clear" w:color="auto" w:fill="auto"/>
            <w:noWrap/>
            <w:vAlign w:val="center"/>
          </w:tcPr>
          <w:p w14:paraId="49FB1AD2" w14:textId="16992120"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Public sector food policies</w:t>
            </w:r>
          </w:p>
        </w:tc>
        <w:tc>
          <w:tcPr>
            <w:tcW w:w="0" w:type="auto"/>
            <w:tcBorders>
              <w:top w:val="single" w:sz="2" w:space="0" w:color="auto"/>
              <w:bottom w:val="single" w:sz="2" w:space="0" w:color="auto"/>
              <w:right w:val="single" w:sz="18" w:space="0" w:color="auto"/>
            </w:tcBorders>
          </w:tcPr>
          <w:p w14:paraId="4140D13E" w14:textId="5B697442" w:rsidR="006B0AAA" w:rsidRPr="002B6A87" w:rsidRDefault="006B0AAA" w:rsidP="006B0AAA">
            <w:pPr>
              <w:rPr>
                <w:color w:val="000000"/>
                <w:sz w:val="20"/>
                <w:szCs w:val="20"/>
              </w:rPr>
            </w:pPr>
          </w:p>
        </w:tc>
      </w:tr>
      <w:tr w:rsidR="00103270" w:rsidRPr="00B65ED5" w14:paraId="7ED55A7F" w14:textId="77777777" w:rsidTr="00103270">
        <w:trPr>
          <w:trHeight w:val="915"/>
        </w:trPr>
        <w:tc>
          <w:tcPr>
            <w:tcW w:w="0" w:type="auto"/>
            <w:vMerge/>
            <w:tcBorders>
              <w:top w:val="nil"/>
              <w:left w:val="single" w:sz="18" w:space="0" w:color="auto"/>
              <w:bottom w:val="single" w:sz="8" w:space="0" w:color="000000"/>
              <w:right w:val="single" w:sz="18" w:space="0" w:color="auto"/>
            </w:tcBorders>
            <w:vAlign w:val="center"/>
            <w:hideMark/>
          </w:tcPr>
          <w:p w14:paraId="3E3C4AA7" w14:textId="77777777" w:rsidR="006B0AAA" w:rsidRPr="002B6A87" w:rsidRDefault="006B0AAA" w:rsidP="006B0AAA">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8" w:space="0" w:color="auto"/>
              <w:right w:val="single" w:sz="18" w:space="0" w:color="auto"/>
            </w:tcBorders>
            <w:shd w:val="clear" w:color="auto" w:fill="auto"/>
            <w:vAlign w:val="center"/>
            <w:hideMark/>
          </w:tcPr>
          <w:p w14:paraId="2A08ABBB"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PROV3: </w:t>
            </w:r>
            <w:r w:rsidRPr="002B6A87">
              <w:rPr>
                <w:rFonts w:eastAsia="Times New Roman" w:cs="Times New Roman"/>
                <w:color w:val="000000"/>
                <w:sz w:val="20"/>
                <w:szCs w:val="20"/>
                <w:lang w:eastAsia="en-NZ"/>
              </w:rPr>
              <w:t xml:space="preserve">The government ensures that there are good support and training systems to help schools and other </w:t>
            </w:r>
            <w:proofErr w:type="gramStart"/>
            <w:r w:rsidRPr="002B6A87">
              <w:rPr>
                <w:rFonts w:eastAsia="Times New Roman" w:cs="Times New Roman"/>
                <w:color w:val="000000"/>
                <w:sz w:val="20"/>
                <w:szCs w:val="20"/>
                <w:lang w:eastAsia="en-NZ"/>
              </w:rPr>
              <w:t>public sector</w:t>
            </w:r>
            <w:proofErr w:type="gramEnd"/>
            <w:r w:rsidRPr="002B6A87">
              <w:rPr>
                <w:rFonts w:eastAsia="Times New Roman" w:cs="Times New Roman"/>
                <w:color w:val="000000"/>
                <w:sz w:val="20"/>
                <w:szCs w:val="20"/>
                <w:lang w:eastAsia="en-NZ"/>
              </w:rPr>
              <w:t xml:space="preserve"> organisations and their caterers meet the healthy food service policies and guidelines</w:t>
            </w:r>
          </w:p>
        </w:tc>
        <w:tc>
          <w:tcPr>
            <w:tcW w:w="0" w:type="auto"/>
            <w:tcBorders>
              <w:top w:val="single" w:sz="2" w:space="0" w:color="auto"/>
              <w:left w:val="single" w:sz="18" w:space="0" w:color="auto"/>
              <w:bottom w:val="single" w:sz="2" w:space="0" w:color="auto"/>
            </w:tcBorders>
            <w:shd w:val="clear" w:color="auto" w:fill="auto"/>
            <w:noWrap/>
            <w:vAlign w:val="center"/>
            <w:hideMark/>
          </w:tcPr>
          <w:p w14:paraId="29B0EE37" w14:textId="4B237B82"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Support systems</w:t>
            </w:r>
          </w:p>
        </w:tc>
        <w:tc>
          <w:tcPr>
            <w:tcW w:w="0" w:type="auto"/>
            <w:tcBorders>
              <w:top w:val="single" w:sz="2" w:space="0" w:color="auto"/>
              <w:bottom w:val="single" w:sz="2" w:space="0" w:color="auto"/>
              <w:right w:val="single" w:sz="18" w:space="0" w:color="auto"/>
            </w:tcBorders>
          </w:tcPr>
          <w:p w14:paraId="03AF8030" w14:textId="2B461227" w:rsidR="006B0AAA" w:rsidRPr="002B6A87" w:rsidRDefault="006B0AAA" w:rsidP="006B0AAA">
            <w:pPr>
              <w:rPr>
                <w:color w:val="000000"/>
                <w:sz w:val="20"/>
                <w:szCs w:val="20"/>
              </w:rPr>
            </w:pPr>
          </w:p>
        </w:tc>
      </w:tr>
      <w:tr w:rsidR="00103270" w:rsidRPr="00B65ED5" w14:paraId="33DDF596" w14:textId="77777777" w:rsidTr="00103270">
        <w:trPr>
          <w:trHeight w:val="680"/>
        </w:trPr>
        <w:tc>
          <w:tcPr>
            <w:tcW w:w="0" w:type="auto"/>
            <w:vMerge/>
            <w:tcBorders>
              <w:top w:val="nil"/>
              <w:left w:val="single" w:sz="18" w:space="0" w:color="auto"/>
              <w:bottom w:val="single" w:sz="18" w:space="0" w:color="auto"/>
              <w:right w:val="single" w:sz="18" w:space="0" w:color="auto"/>
            </w:tcBorders>
            <w:vAlign w:val="center"/>
            <w:hideMark/>
          </w:tcPr>
          <w:p w14:paraId="59FDA8A8" w14:textId="77777777" w:rsidR="006B0AAA" w:rsidRPr="002B6A87" w:rsidRDefault="006B0AAA" w:rsidP="006B0AAA">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18" w:space="0" w:color="auto"/>
              <w:right w:val="single" w:sz="18" w:space="0" w:color="auto"/>
            </w:tcBorders>
            <w:shd w:val="clear" w:color="auto" w:fill="auto"/>
            <w:vAlign w:val="center"/>
            <w:hideMark/>
          </w:tcPr>
          <w:p w14:paraId="733C0BDF"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PROV4: </w:t>
            </w:r>
            <w:r w:rsidRPr="002B6A87">
              <w:rPr>
                <w:rFonts w:eastAsia="Times New Roman" w:cs="Times New Roman"/>
                <w:color w:val="000000"/>
                <w:sz w:val="20"/>
                <w:szCs w:val="20"/>
                <w:lang w:eastAsia="en-NZ"/>
              </w:rPr>
              <w:t>Government actively encourages and supports private companies to provide and promote healthy foods and meals in their workplaces</w:t>
            </w:r>
          </w:p>
        </w:tc>
        <w:tc>
          <w:tcPr>
            <w:tcW w:w="0" w:type="auto"/>
            <w:tcBorders>
              <w:top w:val="single" w:sz="2" w:space="0" w:color="auto"/>
              <w:left w:val="single" w:sz="18" w:space="0" w:color="auto"/>
              <w:bottom w:val="single" w:sz="18" w:space="0" w:color="auto"/>
            </w:tcBorders>
            <w:shd w:val="clear" w:color="auto" w:fill="auto"/>
            <w:noWrap/>
            <w:vAlign w:val="center"/>
            <w:hideMark/>
          </w:tcPr>
          <w:p w14:paraId="61A057DB" w14:textId="2B7EFD45"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Private workplace food policies</w:t>
            </w:r>
          </w:p>
        </w:tc>
        <w:tc>
          <w:tcPr>
            <w:tcW w:w="0" w:type="auto"/>
            <w:tcBorders>
              <w:top w:val="single" w:sz="2" w:space="0" w:color="auto"/>
              <w:bottom w:val="single" w:sz="18" w:space="0" w:color="auto"/>
              <w:right w:val="single" w:sz="18" w:space="0" w:color="auto"/>
            </w:tcBorders>
          </w:tcPr>
          <w:p w14:paraId="5F57517C" w14:textId="41C7194E" w:rsidR="006B0AAA" w:rsidRPr="002B6A87" w:rsidRDefault="006B0AAA" w:rsidP="006B0AAA">
            <w:pPr>
              <w:rPr>
                <w:color w:val="000000"/>
                <w:sz w:val="20"/>
                <w:szCs w:val="20"/>
              </w:rPr>
            </w:pPr>
          </w:p>
        </w:tc>
      </w:tr>
      <w:tr w:rsidR="00103270" w:rsidRPr="00B65ED5" w14:paraId="08E82623" w14:textId="77777777" w:rsidTr="00103270">
        <w:trPr>
          <w:trHeight w:val="915"/>
        </w:trPr>
        <w:tc>
          <w:tcPr>
            <w:tcW w:w="0" w:type="auto"/>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652358C7" w14:textId="77777777" w:rsidR="006B0AAA" w:rsidRPr="002B6A87" w:rsidRDefault="006B0AAA" w:rsidP="006B0AAA">
            <w:pPr>
              <w:spacing w:before="60" w:after="60"/>
              <w:rPr>
                <w:rFonts w:eastAsia="Times New Roman" w:cs="Times New Roman"/>
                <w:color w:val="000000"/>
                <w:sz w:val="20"/>
                <w:szCs w:val="20"/>
                <w:lang w:eastAsia="en-NZ"/>
              </w:rPr>
            </w:pPr>
            <w:r>
              <w:br w:type="page"/>
            </w:r>
            <w:r w:rsidRPr="002B6A87">
              <w:rPr>
                <w:rFonts w:eastAsia="Times New Roman" w:cs="Times New Roman"/>
                <w:b/>
                <w:bCs/>
                <w:color w:val="000000"/>
                <w:sz w:val="20"/>
                <w:szCs w:val="20"/>
                <w:u w:val="single"/>
                <w:lang w:eastAsia="en-NZ"/>
              </w:rPr>
              <w:t>Food Retail:</w:t>
            </w:r>
            <w:r w:rsidRPr="002B6A87">
              <w:rPr>
                <w:rFonts w:eastAsia="Times New Roman" w:cs="Times New Roman"/>
                <w:color w:val="000000"/>
                <w:sz w:val="20"/>
                <w:szCs w:val="20"/>
                <w:lang w:eastAsia="en-NZ"/>
              </w:rPr>
              <w:t xml:space="preserve"> </w:t>
            </w:r>
          </w:p>
          <w:p w14:paraId="1811A99B" w14:textId="77777777" w:rsidR="006B0AAA" w:rsidRPr="002B6A87" w:rsidRDefault="006B0AAA" w:rsidP="006B0AAA">
            <w:pPr>
              <w:spacing w:before="60" w:after="60"/>
              <w:rPr>
                <w:rFonts w:eastAsia="Times New Roman" w:cs="Times New Roman"/>
                <w:color w:val="000000"/>
                <w:sz w:val="20"/>
                <w:szCs w:val="20"/>
                <w:lang w:eastAsia="en-NZ"/>
              </w:rPr>
            </w:pPr>
            <w:r w:rsidRPr="002B6A87">
              <w:rPr>
                <w:rFonts w:eastAsia="Times New Roman" w:cs="Times New Roman"/>
                <w:i/>
                <w:iCs/>
                <w:color w:val="000000"/>
                <w:sz w:val="20"/>
                <w:szCs w:val="20"/>
                <w:lang w:eastAsia="en-NZ"/>
              </w:rPr>
              <w:t>The government has the power to implement policies and programs to support the availability of healthy foods and limit the availability of unhealthy foods in communities (outlet density and locations) and in-store (product placement)</w:t>
            </w:r>
          </w:p>
        </w:tc>
        <w:tc>
          <w:tcPr>
            <w:tcW w:w="0" w:type="auto"/>
            <w:tcBorders>
              <w:top w:val="single" w:sz="18" w:space="0" w:color="auto"/>
              <w:left w:val="single" w:sz="18" w:space="0" w:color="auto"/>
              <w:bottom w:val="single" w:sz="8" w:space="0" w:color="auto"/>
              <w:right w:val="single" w:sz="18" w:space="0" w:color="auto"/>
            </w:tcBorders>
            <w:shd w:val="clear" w:color="auto" w:fill="auto"/>
            <w:vAlign w:val="center"/>
            <w:hideMark/>
          </w:tcPr>
          <w:p w14:paraId="78A45494" w14:textId="08768479" w:rsidR="006B0AAA" w:rsidRPr="002B6A87" w:rsidRDefault="006B0AAA" w:rsidP="00103270">
            <w:pPr>
              <w:keepNext/>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RETAIL1: </w:t>
            </w:r>
            <w:r w:rsidRPr="002B6A87">
              <w:rPr>
                <w:rFonts w:eastAsia="Times New Roman" w:cs="Times New Roman"/>
                <w:color w:val="000000"/>
                <w:sz w:val="20"/>
                <w:szCs w:val="20"/>
                <w:lang w:eastAsia="en-NZ"/>
              </w:rPr>
              <w:t>Zoning laws and policies are robust enough and are being used, where needed, by local governments to place limits on the density or placement of quick serve restaurants or other outlets selling mainly unhealthy foods in communities</w:t>
            </w:r>
          </w:p>
        </w:tc>
        <w:tc>
          <w:tcPr>
            <w:tcW w:w="0" w:type="auto"/>
            <w:tcBorders>
              <w:top w:val="single" w:sz="18" w:space="0" w:color="auto"/>
              <w:left w:val="single" w:sz="18" w:space="0" w:color="auto"/>
              <w:bottom w:val="single" w:sz="2" w:space="0" w:color="auto"/>
            </w:tcBorders>
            <w:shd w:val="clear" w:color="auto" w:fill="auto"/>
            <w:noWrap/>
            <w:vAlign w:val="center"/>
          </w:tcPr>
          <w:p w14:paraId="534DB796" w14:textId="48A925C4" w:rsidR="006B0AAA" w:rsidRPr="002B6A87" w:rsidRDefault="006B0AAA" w:rsidP="00103270">
            <w:pPr>
              <w:rPr>
                <w:rFonts w:eastAsia="Times New Roman" w:cs="Times New Roman"/>
                <w:color w:val="000000"/>
                <w:sz w:val="20"/>
                <w:szCs w:val="20"/>
                <w:lang w:eastAsia="en-NZ"/>
              </w:rPr>
            </w:pPr>
            <w:r>
              <w:rPr>
                <w:rFonts w:eastAsia="Times New Roman" w:cs="Times New Roman"/>
                <w:color w:val="000000"/>
                <w:sz w:val="20"/>
                <w:szCs w:val="20"/>
                <w:lang w:eastAsia="en-NZ"/>
              </w:rPr>
              <w:t>Zoning laws</w:t>
            </w:r>
            <w:r w:rsidR="00103270">
              <w:rPr>
                <w:rFonts w:eastAsia="Times New Roman" w:cs="Times New Roman"/>
                <w:color w:val="000000"/>
                <w:sz w:val="20"/>
                <w:szCs w:val="20"/>
                <w:lang w:eastAsia="en-NZ"/>
              </w:rPr>
              <w:t xml:space="preserve"> </w:t>
            </w:r>
          </w:p>
        </w:tc>
        <w:tc>
          <w:tcPr>
            <w:tcW w:w="0" w:type="auto"/>
            <w:tcBorders>
              <w:top w:val="single" w:sz="18" w:space="0" w:color="auto"/>
              <w:bottom w:val="single" w:sz="2" w:space="0" w:color="auto"/>
              <w:right w:val="single" w:sz="18" w:space="0" w:color="auto"/>
            </w:tcBorders>
          </w:tcPr>
          <w:p w14:paraId="6788DF37" w14:textId="3A333989" w:rsidR="006B0AAA" w:rsidRPr="002B6A87" w:rsidRDefault="006B0AAA" w:rsidP="006B0AAA">
            <w:pPr>
              <w:rPr>
                <w:color w:val="000000"/>
                <w:sz w:val="20"/>
                <w:szCs w:val="20"/>
              </w:rPr>
            </w:pPr>
          </w:p>
        </w:tc>
      </w:tr>
      <w:tr w:rsidR="00103270" w:rsidRPr="00B65ED5" w14:paraId="50FC784A" w14:textId="77777777" w:rsidTr="00103270">
        <w:trPr>
          <w:trHeight w:val="525"/>
        </w:trPr>
        <w:tc>
          <w:tcPr>
            <w:tcW w:w="0" w:type="auto"/>
            <w:vMerge/>
            <w:tcBorders>
              <w:top w:val="nil"/>
              <w:left w:val="single" w:sz="18" w:space="0" w:color="auto"/>
              <w:bottom w:val="single" w:sz="18" w:space="0" w:color="auto"/>
              <w:right w:val="single" w:sz="18" w:space="0" w:color="auto"/>
            </w:tcBorders>
            <w:vAlign w:val="center"/>
            <w:hideMark/>
          </w:tcPr>
          <w:p w14:paraId="4D0BC86F" w14:textId="77777777" w:rsidR="006B0AAA" w:rsidRPr="002B6A87" w:rsidRDefault="006B0AAA" w:rsidP="006B0AAA">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18" w:space="0" w:color="auto"/>
              <w:right w:val="single" w:sz="18" w:space="0" w:color="auto"/>
            </w:tcBorders>
            <w:shd w:val="clear" w:color="auto" w:fill="auto"/>
            <w:vAlign w:val="center"/>
            <w:hideMark/>
          </w:tcPr>
          <w:p w14:paraId="58151B3F"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RETAIL2: </w:t>
            </w:r>
            <w:r w:rsidRPr="002B6A87">
              <w:rPr>
                <w:rFonts w:eastAsia="Times New Roman" w:cs="Times New Roman"/>
                <w:color w:val="000000"/>
                <w:sz w:val="20"/>
                <w:szCs w:val="20"/>
                <w:lang w:eastAsia="en-NZ"/>
              </w:rPr>
              <w:t>There are existing support systems to encourage food stores to promote the in-store availability of healthy foods and to limit the in-store availability of unhealthy foods</w:t>
            </w:r>
          </w:p>
        </w:tc>
        <w:tc>
          <w:tcPr>
            <w:tcW w:w="0" w:type="auto"/>
            <w:tcBorders>
              <w:top w:val="single" w:sz="2" w:space="0" w:color="auto"/>
              <w:left w:val="single" w:sz="18" w:space="0" w:color="auto"/>
              <w:bottom w:val="single" w:sz="18" w:space="0" w:color="auto"/>
            </w:tcBorders>
            <w:shd w:val="clear" w:color="auto" w:fill="auto"/>
            <w:noWrap/>
            <w:vAlign w:val="center"/>
          </w:tcPr>
          <w:p w14:paraId="3CC32052" w14:textId="1C1AB236" w:rsidR="006B0AAA" w:rsidRPr="002B6A87" w:rsidRDefault="00103270" w:rsidP="00103270">
            <w:pPr>
              <w:rPr>
                <w:rFonts w:eastAsia="Times New Roman" w:cs="Times New Roman"/>
                <w:color w:val="000000"/>
                <w:sz w:val="20"/>
                <w:szCs w:val="20"/>
                <w:lang w:eastAsia="en-NZ"/>
              </w:rPr>
            </w:pPr>
            <w:r>
              <w:rPr>
                <w:rFonts w:eastAsia="Times New Roman" w:cs="Times New Roman"/>
                <w:color w:val="000000"/>
                <w:sz w:val="20"/>
                <w:szCs w:val="20"/>
                <w:lang w:eastAsia="en-NZ"/>
              </w:rPr>
              <w:t>In-store healthy food policies</w:t>
            </w:r>
          </w:p>
        </w:tc>
        <w:tc>
          <w:tcPr>
            <w:tcW w:w="0" w:type="auto"/>
            <w:tcBorders>
              <w:top w:val="single" w:sz="2" w:space="0" w:color="auto"/>
              <w:bottom w:val="single" w:sz="18" w:space="0" w:color="auto"/>
              <w:right w:val="single" w:sz="18" w:space="0" w:color="auto"/>
            </w:tcBorders>
          </w:tcPr>
          <w:p w14:paraId="24BBBADD" w14:textId="73C67E0D" w:rsidR="006B0AAA" w:rsidRPr="002B6A87" w:rsidRDefault="006B0AAA" w:rsidP="006B0AAA">
            <w:pPr>
              <w:rPr>
                <w:color w:val="000000"/>
                <w:sz w:val="20"/>
                <w:szCs w:val="20"/>
              </w:rPr>
            </w:pPr>
          </w:p>
        </w:tc>
      </w:tr>
      <w:tr w:rsidR="00103270" w:rsidRPr="00B65ED5" w14:paraId="3263BE0A" w14:textId="77777777" w:rsidTr="00103270">
        <w:trPr>
          <w:trHeight w:val="850"/>
        </w:trPr>
        <w:tc>
          <w:tcPr>
            <w:tcW w:w="0" w:type="auto"/>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009F9E15" w14:textId="77777777" w:rsidR="006B0AAA" w:rsidRPr="002B6A87" w:rsidRDefault="006B0AAA" w:rsidP="006B0AAA">
            <w:pPr>
              <w:spacing w:before="60" w:after="60"/>
              <w:rPr>
                <w:rFonts w:eastAsia="Times New Roman" w:cs="Times New Roman"/>
                <w:color w:val="000000"/>
                <w:sz w:val="20"/>
                <w:szCs w:val="20"/>
                <w:lang w:eastAsia="en-NZ"/>
              </w:rPr>
            </w:pPr>
            <w:r w:rsidRPr="002B6A87">
              <w:rPr>
                <w:rFonts w:eastAsia="Times New Roman" w:cs="Times New Roman"/>
                <w:b/>
                <w:bCs/>
                <w:color w:val="000000"/>
                <w:sz w:val="20"/>
                <w:szCs w:val="20"/>
                <w:u w:val="single"/>
                <w:lang w:eastAsia="en-NZ"/>
              </w:rPr>
              <w:t>Food Trade &amp; Investment:</w:t>
            </w:r>
            <w:r w:rsidRPr="002B6A87">
              <w:rPr>
                <w:rFonts w:eastAsia="Times New Roman" w:cs="Times New Roman"/>
                <w:color w:val="000000"/>
                <w:sz w:val="20"/>
                <w:szCs w:val="20"/>
                <w:lang w:eastAsia="en-NZ"/>
              </w:rPr>
              <w:t xml:space="preserve"> </w:t>
            </w:r>
          </w:p>
          <w:p w14:paraId="06802E06" w14:textId="77777777" w:rsidR="006B0AAA" w:rsidRPr="002B6A87" w:rsidRDefault="006B0AAA" w:rsidP="006B0AAA">
            <w:pPr>
              <w:spacing w:before="60" w:after="60"/>
              <w:rPr>
                <w:rFonts w:eastAsia="Times New Roman" w:cs="Times New Roman"/>
                <w:color w:val="000000"/>
                <w:sz w:val="20"/>
                <w:szCs w:val="20"/>
                <w:lang w:eastAsia="en-NZ"/>
              </w:rPr>
            </w:pPr>
            <w:r w:rsidRPr="002B6A87">
              <w:rPr>
                <w:rFonts w:eastAsia="Times New Roman" w:cs="Times New Roman"/>
                <w:i/>
                <w:iCs/>
                <w:color w:val="000000"/>
                <w:sz w:val="20"/>
                <w:szCs w:val="20"/>
                <w:lang w:eastAsia="en-NZ"/>
              </w:rPr>
              <w:t>The government ensures that trade and investment agreements protect food sovereignty, favour healthy food environments, are linked with domestic health and agricultural policies in ways that are consistent with health objectives, and do not promote unhealthy food environments</w:t>
            </w:r>
          </w:p>
        </w:tc>
        <w:tc>
          <w:tcPr>
            <w:tcW w:w="0" w:type="auto"/>
            <w:tcBorders>
              <w:top w:val="single" w:sz="18" w:space="0" w:color="auto"/>
              <w:left w:val="single" w:sz="18" w:space="0" w:color="auto"/>
              <w:bottom w:val="single" w:sz="8" w:space="0" w:color="auto"/>
              <w:right w:val="single" w:sz="18" w:space="0" w:color="auto"/>
            </w:tcBorders>
            <w:shd w:val="clear" w:color="auto" w:fill="auto"/>
            <w:vAlign w:val="center"/>
            <w:hideMark/>
          </w:tcPr>
          <w:p w14:paraId="7E725DF7"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TRADE1: </w:t>
            </w:r>
            <w:r w:rsidRPr="002B6A87">
              <w:rPr>
                <w:rFonts w:eastAsia="Times New Roman" w:cs="Times New Roman"/>
                <w:color w:val="000000"/>
                <w:sz w:val="20"/>
                <w:szCs w:val="20"/>
                <w:lang w:eastAsia="en-NZ"/>
              </w:rPr>
              <w:t>The direct and indirect impacts of international trade and investment agreements on food environments and population nutrition and health are assessed and considered</w:t>
            </w:r>
          </w:p>
        </w:tc>
        <w:tc>
          <w:tcPr>
            <w:tcW w:w="0" w:type="auto"/>
            <w:tcBorders>
              <w:top w:val="single" w:sz="18" w:space="0" w:color="auto"/>
              <w:left w:val="single" w:sz="18" w:space="0" w:color="auto"/>
              <w:bottom w:val="single" w:sz="2" w:space="0" w:color="auto"/>
            </w:tcBorders>
            <w:shd w:val="clear" w:color="auto" w:fill="auto"/>
            <w:noWrap/>
            <w:vAlign w:val="center"/>
          </w:tcPr>
          <w:p w14:paraId="048BC481" w14:textId="47338B92" w:rsidR="006B0AAA" w:rsidRPr="002B6A87" w:rsidRDefault="00103270" w:rsidP="00103270">
            <w:pPr>
              <w:rPr>
                <w:rFonts w:eastAsia="Times New Roman" w:cs="Times New Roman"/>
                <w:color w:val="000000"/>
                <w:sz w:val="20"/>
                <w:szCs w:val="20"/>
                <w:lang w:eastAsia="en-NZ"/>
              </w:rPr>
            </w:pPr>
            <w:r>
              <w:rPr>
                <w:rFonts w:eastAsia="Times New Roman" w:cs="Times New Roman"/>
                <w:color w:val="000000"/>
                <w:sz w:val="20"/>
                <w:szCs w:val="20"/>
                <w:lang w:eastAsia="en-NZ"/>
              </w:rPr>
              <w:t>Health impact assessment trade</w:t>
            </w:r>
          </w:p>
        </w:tc>
        <w:tc>
          <w:tcPr>
            <w:tcW w:w="0" w:type="auto"/>
            <w:tcBorders>
              <w:top w:val="single" w:sz="18" w:space="0" w:color="auto"/>
              <w:bottom w:val="single" w:sz="2" w:space="0" w:color="auto"/>
              <w:right w:val="single" w:sz="18" w:space="0" w:color="auto"/>
            </w:tcBorders>
          </w:tcPr>
          <w:p w14:paraId="00FE2F28" w14:textId="17D1573B" w:rsidR="006B0AAA" w:rsidRPr="002B6A87" w:rsidRDefault="006B0AAA" w:rsidP="006B0AAA">
            <w:pPr>
              <w:rPr>
                <w:color w:val="000000"/>
                <w:sz w:val="20"/>
                <w:szCs w:val="20"/>
              </w:rPr>
            </w:pPr>
          </w:p>
        </w:tc>
      </w:tr>
      <w:tr w:rsidR="00103270" w:rsidRPr="00B65ED5" w14:paraId="67BB63BC" w14:textId="77777777" w:rsidTr="00103270">
        <w:trPr>
          <w:trHeight w:val="737"/>
        </w:trPr>
        <w:tc>
          <w:tcPr>
            <w:tcW w:w="0" w:type="auto"/>
            <w:vMerge/>
            <w:tcBorders>
              <w:top w:val="nil"/>
              <w:left w:val="single" w:sz="18" w:space="0" w:color="auto"/>
              <w:bottom w:val="single" w:sz="18" w:space="0" w:color="auto"/>
              <w:right w:val="single" w:sz="18" w:space="0" w:color="auto"/>
            </w:tcBorders>
            <w:vAlign w:val="center"/>
            <w:hideMark/>
          </w:tcPr>
          <w:p w14:paraId="377E5B6D" w14:textId="77777777" w:rsidR="006B0AAA" w:rsidRPr="002B6A87" w:rsidRDefault="006B0AAA" w:rsidP="006B0AAA">
            <w:pPr>
              <w:spacing w:before="60" w:after="60"/>
              <w:rPr>
                <w:rFonts w:eastAsia="Times New Roman" w:cs="Times New Roman"/>
                <w:color w:val="000000"/>
                <w:sz w:val="20"/>
                <w:szCs w:val="20"/>
                <w:lang w:eastAsia="en-NZ"/>
              </w:rPr>
            </w:pPr>
          </w:p>
        </w:tc>
        <w:tc>
          <w:tcPr>
            <w:tcW w:w="0" w:type="auto"/>
            <w:tcBorders>
              <w:top w:val="nil"/>
              <w:left w:val="single" w:sz="18" w:space="0" w:color="auto"/>
              <w:bottom w:val="single" w:sz="18" w:space="0" w:color="auto"/>
              <w:right w:val="single" w:sz="18" w:space="0" w:color="auto"/>
            </w:tcBorders>
            <w:shd w:val="clear" w:color="auto" w:fill="auto"/>
            <w:vAlign w:val="center"/>
            <w:hideMark/>
          </w:tcPr>
          <w:p w14:paraId="0586491E" w14:textId="77777777" w:rsidR="006B0AAA" w:rsidRPr="002B6A87" w:rsidRDefault="006B0AAA" w:rsidP="00103270">
            <w:pPr>
              <w:rPr>
                <w:rFonts w:eastAsia="Times New Roman" w:cs="Times New Roman"/>
                <w:b/>
                <w:bCs/>
                <w:color w:val="000000"/>
                <w:sz w:val="20"/>
                <w:szCs w:val="20"/>
                <w:lang w:eastAsia="en-NZ"/>
              </w:rPr>
            </w:pPr>
            <w:r w:rsidRPr="002B6A87">
              <w:rPr>
                <w:rFonts w:eastAsia="Times New Roman" w:cs="Times New Roman"/>
                <w:b/>
                <w:bCs/>
                <w:color w:val="000000"/>
                <w:sz w:val="20"/>
                <w:szCs w:val="20"/>
                <w:lang w:eastAsia="en-NZ"/>
              </w:rPr>
              <w:t xml:space="preserve">TRADE2: </w:t>
            </w:r>
            <w:r w:rsidRPr="002B6A87">
              <w:rPr>
                <w:rFonts w:eastAsia="Times New Roman" w:cs="Times New Roman"/>
                <w:color w:val="000000"/>
                <w:sz w:val="20"/>
                <w:szCs w:val="20"/>
                <w:lang w:eastAsia="en-NZ"/>
              </w:rPr>
              <w:t>The government adopts measures to manage investment and protect their regulatory capacity with respect to public health nutrition</w:t>
            </w:r>
          </w:p>
        </w:tc>
        <w:tc>
          <w:tcPr>
            <w:tcW w:w="0" w:type="auto"/>
            <w:tcBorders>
              <w:top w:val="single" w:sz="2" w:space="0" w:color="auto"/>
              <w:left w:val="single" w:sz="18" w:space="0" w:color="auto"/>
              <w:bottom w:val="single" w:sz="18" w:space="0" w:color="auto"/>
            </w:tcBorders>
            <w:shd w:val="clear" w:color="auto" w:fill="auto"/>
            <w:noWrap/>
            <w:vAlign w:val="center"/>
          </w:tcPr>
          <w:p w14:paraId="0BAFBDE5" w14:textId="1823643C" w:rsidR="006B0AAA" w:rsidRPr="002B6A87" w:rsidRDefault="00103270" w:rsidP="00103270">
            <w:pPr>
              <w:rPr>
                <w:rFonts w:eastAsia="Times New Roman" w:cs="Times New Roman"/>
                <w:color w:val="000000"/>
                <w:sz w:val="20"/>
                <w:szCs w:val="20"/>
                <w:lang w:eastAsia="en-NZ"/>
              </w:rPr>
            </w:pPr>
            <w:r>
              <w:rPr>
                <w:rFonts w:eastAsia="Times New Roman" w:cs="Times New Roman"/>
                <w:color w:val="000000"/>
                <w:sz w:val="20"/>
                <w:szCs w:val="20"/>
                <w:lang w:eastAsia="en-NZ"/>
              </w:rPr>
              <w:t>Protection regulatory capacity trade</w:t>
            </w:r>
          </w:p>
        </w:tc>
        <w:tc>
          <w:tcPr>
            <w:tcW w:w="0" w:type="auto"/>
            <w:tcBorders>
              <w:top w:val="single" w:sz="2" w:space="0" w:color="auto"/>
              <w:bottom w:val="single" w:sz="18" w:space="0" w:color="auto"/>
              <w:right w:val="single" w:sz="18" w:space="0" w:color="auto"/>
            </w:tcBorders>
          </w:tcPr>
          <w:p w14:paraId="7014C44B" w14:textId="6DDF41E5" w:rsidR="006B0AAA" w:rsidRPr="002B6A87" w:rsidRDefault="006B0AAA" w:rsidP="006B0AAA">
            <w:pPr>
              <w:rPr>
                <w:color w:val="000000"/>
                <w:sz w:val="20"/>
                <w:szCs w:val="20"/>
              </w:rPr>
            </w:pPr>
          </w:p>
        </w:tc>
      </w:tr>
    </w:tbl>
    <w:p w14:paraId="4FBF429A" w14:textId="5664718F" w:rsidR="00E90377" w:rsidRPr="00635103" w:rsidRDefault="00E90377" w:rsidP="00F56366">
      <w:pPr>
        <w:spacing w:line="480" w:lineRule="auto"/>
        <w:rPr>
          <w:rFonts w:ascii="Calibri" w:hAnsi="Calibri"/>
        </w:rPr>
      </w:pPr>
    </w:p>
    <w:sectPr w:rsidR="00E90377" w:rsidRPr="00635103" w:rsidSect="00F56366">
      <w:footerReference w:type="default" r:id="rId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3040" w14:textId="77777777" w:rsidR="00615203" w:rsidRDefault="00615203" w:rsidP="001F5163">
      <w:r>
        <w:separator/>
      </w:r>
    </w:p>
  </w:endnote>
  <w:endnote w:type="continuationSeparator" w:id="0">
    <w:p w14:paraId="445F4FC5" w14:textId="77777777" w:rsidR="00615203" w:rsidRDefault="00615203" w:rsidP="001F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200724"/>
      <w:docPartObj>
        <w:docPartGallery w:val="Page Numbers (Bottom of Page)"/>
        <w:docPartUnique/>
      </w:docPartObj>
    </w:sdtPr>
    <w:sdtEndPr>
      <w:rPr>
        <w:noProof/>
      </w:rPr>
    </w:sdtEndPr>
    <w:sdtContent>
      <w:p w14:paraId="739787E7" w14:textId="6450D4A2" w:rsidR="00563F8F" w:rsidRDefault="00563F8F">
        <w:pPr>
          <w:pStyle w:val="Footer"/>
          <w:jc w:val="right"/>
        </w:pPr>
        <w:r>
          <w:fldChar w:fldCharType="begin"/>
        </w:r>
        <w:r>
          <w:instrText xml:space="preserve"> PAGE   \* MERGEFORMAT </w:instrText>
        </w:r>
        <w:r>
          <w:fldChar w:fldCharType="separate"/>
        </w:r>
        <w:r w:rsidR="009767EC">
          <w:rPr>
            <w:noProof/>
          </w:rPr>
          <w:t>2</w:t>
        </w:r>
        <w:r>
          <w:rPr>
            <w:noProof/>
          </w:rPr>
          <w:fldChar w:fldCharType="end"/>
        </w:r>
      </w:p>
    </w:sdtContent>
  </w:sdt>
  <w:p w14:paraId="642C17A3" w14:textId="77777777" w:rsidR="00563F8F" w:rsidRDefault="0056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4059" w14:textId="77777777" w:rsidR="00615203" w:rsidRDefault="00615203" w:rsidP="001F5163">
      <w:r>
        <w:separator/>
      </w:r>
    </w:p>
  </w:footnote>
  <w:footnote w:type="continuationSeparator" w:id="0">
    <w:p w14:paraId="3BC26050" w14:textId="77777777" w:rsidR="00615203" w:rsidRDefault="00615203" w:rsidP="001F5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44759"/>
    <w:multiLevelType w:val="multilevel"/>
    <w:tmpl w:val="E3CA81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CFF45EB"/>
    <w:multiLevelType w:val="multilevel"/>
    <w:tmpl w:val="269C9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Public Heal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d0xtpa9w9xx4edpv8xxt5lpvessztpvr50&quot;&gt;FOODPOLICY_SHARED&lt;record-ids&gt;&lt;item&gt;4056&lt;/item&gt;&lt;item&gt;4652&lt;/item&gt;&lt;item&gt;4710&lt;/item&gt;&lt;item&gt;4729&lt;/item&gt;&lt;item&gt;4753&lt;/item&gt;&lt;item&gt;4956&lt;/item&gt;&lt;item&gt;4990&lt;/item&gt;&lt;item&gt;4991&lt;/item&gt;&lt;item&gt;4992&lt;/item&gt;&lt;item&gt;4993&lt;/item&gt;&lt;item&gt;4994&lt;/item&gt;&lt;item&gt;4996&lt;/item&gt;&lt;item&gt;4997&lt;/item&gt;&lt;item&gt;4998&lt;/item&gt;&lt;item&gt;4999&lt;/item&gt;&lt;item&gt;5000&lt;/item&gt;&lt;item&gt;5001&lt;/item&gt;&lt;item&gt;5002&lt;/item&gt;&lt;item&gt;5003&lt;/item&gt;&lt;item&gt;5004&lt;/item&gt;&lt;item&gt;5005&lt;/item&gt;&lt;item&gt;5006&lt;/item&gt;&lt;item&gt;5007&lt;/item&gt;&lt;item&gt;5008&lt;/item&gt;&lt;item&gt;5009&lt;/item&gt;&lt;item&gt;5010&lt;/item&gt;&lt;item&gt;5011&lt;/item&gt;&lt;item&gt;5012&lt;/item&gt;&lt;item&gt;5013&lt;/item&gt;&lt;/record-ids&gt;&lt;/item&gt;&lt;/Libraries&gt;"/>
  </w:docVars>
  <w:rsids>
    <w:rsidRoot w:val="00156B47"/>
    <w:rsid w:val="00003365"/>
    <w:rsid w:val="00015DAA"/>
    <w:rsid w:val="00020D80"/>
    <w:rsid w:val="00022A13"/>
    <w:rsid w:val="000231C2"/>
    <w:rsid w:val="00034199"/>
    <w:rsid w:val="00047269"/>
    <w:rsid w:val="00052220"/>
    <w:rsid w:val="0005369C"/>
    <w:rsid w:val="000554F8"/>
    <w:rsid w:val="0005596F"/>
    <w:rsid w:val="000734DD"/>
    <w:rsid w:val="00095B15"/>
    <w:rsid w:val="000A01C4"/>
    <w:rsid w:val="000A0FA1"/>
    <w:rsid w:val="000A4140"/>
    <w:rsid w:val="000A4CE9"/>
    <w:rsid w:val="000A60AE"/>
    <w:rsid w:val="000A6B3F"/>
    <w:rsid w:val="000B1F09"/>
    <w:rsid w:val="000B2F2A"/>
    <w:rsid w:val="000C1D59"/>
    <w:rsid w:val="000D616C"/>
    <w:rsid w:val="000F638D"/>
    <w:rsid w:val="00101CED"/>
    <w:rsid w:val="00103270"/>
    <w:rsid w:val="00104AC8"/>
    <w:rsid w:val="0010525E"/>
    <w:rsid w:val="00115F76"/>
    <w:rsid w:val="00122DD1"/>
    <w:rsid w:val="00124541"/>
    <w:rsid w:val="00124AC0"/>
    <w:rsid w:val="001534A7"/>
    <w:rsid w:val="00156B47"/>
    <w:rsid w:val="00161B06"/>
    <w:rsid w:val="0017148C"/>
    <w:rsid w:val="001764E7"/>
    <w:rsid w:val="001B6EF9"/>
    <w:rsid w:val="001C5C80"/>
    <w:rsid w:val="001D0C3B"/>
    <w:rsid w:val="001D6CD9"/>
    <w:rsid w:val="001E329C"/>
    <w:rsid w:val="001F2684"/>
    <w:rsid w:val="001F2D77"/>
    <w:rsid w:val="001F3736"/>
    <w:rsid w:val="001F5163"/>
    <w:rsid w:val="0020278B"/>
    <w:rsid w:val="002072C4"/>
    <w:rsid w:val="00210F27"/>
    <w:rsid w:val="00213278"/>
    <w:rsid w:val="0021429B"/>
    <w:rsid w:val="0022270A"/>
    <w:rsid w:val="0022642F"/>
    <w:rsid w:val="00231AF5"/>
    <w:rsid w:val="002433A2"/>
    <w:rsid w:val="0024425D"/>
    <w:rsid w:val="00246A06"/>
    <w:rsid w:val="00252308"/>
    <w:rsid w:val="00263753"/>
    <w:rsid w:val="00267D31"/>
    <w:rsid w:val="002706A5"/>
    <w:rsid w:val="00272045"/>
    <w:rsid w:val="00274F13"/>
    <w:rsid w:val="00285C5F"/>
    <w:rsid w:val="002C711A"/>
    <w:rsid w:val="002D14C3"/>
    <w:rsid w:val="002D3BAA"/>
    <w:rsid w:val="002D3E63"/>
    <w:rsid w:val="002D68A2"/>
    <w:rsid w:val="002F22A4"/>
    <w:rsid w:val="002F4159"/>
    <w:rsid w:val="00300EA9"/>
    <w:rsid w:val="00303497"/>
    <w:rsid w:val="00314EC6"/>
    <w:rsid w:val="003213D0"/>
    <w:rsid w:val="00324A4E"/>
    <w:rsid w:val="0037091A"/>
    <w:rsid w:val="00376D26"/>
    <w:rsid w:val="00376E11"/>
    <w:rsid w:val="00377E0B"/>
    <w:rsid w:val="00381EE1"/>
    <w:rsid w:val="00394215"/>
    <w:rsid w:val="003B1DDD"/>
    <w:rsid w:val="003D112A"/>
    <w:rsid w:val="003D2232"/>
    <w:rsid w:val="003D7DE8"/>
    <w:rsid w:val="003F0BB7"/>
    <w:rsid w:val="003F673D"/>
    <w:rsid w:val="0041625A"/>
    <w:rsid w:val="00417F7A"/>
    <w:rsid w:val="00427BBA"/>
    <w:rsid w:val="00431676"/>
    <w:rsid w:val="00435223"/>
    <w:rsid w:val="00443D52"/>
    <w:rsid w:val="004474CA"/>
    <w:rsid w:val="0046134A"/>
    <w:rsid w:val="00474B4D"/>
    <w:rsid w:val="0047545B"/>
    <w:rsid w:val="004804AC"/>
    <w:rsid w:val="0048270B"/>
    <w:rsid w:val="0048360E"/>
    <w:rsid w:val="00484762"/>
    <w:rsid w:val="004903FF"/>
    <w:rsid w:val="00491981"/>
    <w:rsid w:val="004C1893"/>
    <w:rsid w:val="004C3305"/>
    <w:rsid w:val="004C6FC7"/>
    <w:rsid w:val="004E3F10"/>
    <w:rsid w:val="004E46A3"/>
    <w:rsid w:val="004E63A8"/>
    <w:rsid w:val="004E651D"/>
    <w:rsid w:val="004F20E5"/>
    <w:rsid w:val="004F36C7"/>
    <w:rsid w:val="004F4986"/>
    <w:rsid w:val="004F5322"/>
    <w:rsid w:val="00503ECD"/>
    <w:rsid w:val="00504A8D"/>
    <w:rsid w:val="00507616"/>
    <w:rsid w:val="00515E34"/>
    <w:rsid w:val="0051662E"/>
    <w:rsid w:val="0052608C"/>
    <w:rsid w:val="005318F0"/>
    <w:rsid w:val="00542A8B"/>
    <w:rsid w:val="00552286"/>
    <w:rsid w:val="00562381"/>
    <w:rsid w:val="00563F8F"/>
    <w:rsid w:val="00584416"/>
    <w:rsid w:val="00587AF2"/>
    <w:rsid w:val="0059010E"/>
    <w:rsid w:val="005B0BE2"/>
    <w:rsid w:val="005B328C"/>
    <w:rsid w:val="005B3AB0"/>
    <w:rsid w:val="005B5DAB"/>
    <w:rsid w:val="005C05C7"/>
    <w:rsid w:val="005C05D3"/>
    <w:rsid w:val="005C5891"/>
    <w:rsid w:val="005E0971"/>
    <w:rsid w:val="005F5FBC"/>
    <w:rsid w:val="00602CF1"/>
    <w:rsid w:val="00604C15"/>
    <w:rsid w:val="0060746F"/>
    <w:rsid w:val="006106CF"/>
    <w:rsid w:val="00615203"/>
    <w:rsid w:val="006168BC"/>
    <w:rsid w:val="006200E7"/>
    <w:rsid w:val="00631736"/>
    <w:rsid w:val="006326F9"/>
    <w:rsid w:val="00634EAC"/>
    <w:rsid w:val="00635103"/>
    <w:rsid w:val="006366C4"/>
    <w:rsid w:val="00645CBA"/>
    <w:rsid w:val="00645FFA"/>
    <w:rsid w:val="0065126B"/>
    <w:rsid w:val="0067551E"/>
    <w:rsid w:val="00684036"/>
    <w:rsid w:val="006907BC"/>
    <w:rsid w:val="006938C6"/>
    <w:rsid w:val="006A6261"/>
    <w:rsid w:val="006B0AAA"/>
    <w:rsid w:val="006B1324"/>
    <w:rsid w:val="006B4EB6"/>
    <w:rsid w:val="006D346D"/>
    <w:rsid w:val="006D7533"/>
    <w:rsid w:val="006F24CA"/>
    <w:rsid w:val="006F397D"/>
    <w:rsid w:val="0071051C"/>
    <w:rsid w:val="00713A76"/>
    <w:rsid w:val="00716240"/>
    <w:rsid w:val="007233D4"/>
    <w:rsid w:val="00730BB4"/>
    <w:rsid w:val="007369AA"/>
    <w:rsid w:val="00757156"/>
    <w:rsid w:val="0076211B"/>
    <w:rsid w:val="00793642"/>
    <w:rsid w:val="00795319"/>
    <w:rsid w:val="00796558"/>
    <w:rsid w:val="007A4F84"/>
    <w:rsid w:val="007B089A"/>
    <w:rsid w:val="007D4222"/>
    <w:rsid w:val="007D597F"/>
    <w:rsid w:val="007D71BC"/>
    <w:rsid w:val="008078BB"/>
    <w:rsid w:val="00816AE1"/>
    <w:rsid w:val="00824635"/>
    <w:rsid w:val="00827A4C"/>
    <w:rsid w:val="008500AA"/>
    <w:rsid w:val="00851958"/>
    <w:rsid w:val="00860FBD"/>
    <w:rsid w:val="00877D2C"/>
    <w:rsid w:val="00891946"/>
    <w:rsid w:val="008956E4"/>
    <w:rsid w:val="008B31DA"/>
    <w:rsid w:val="008E64BB"/>
    <w:rsid w:val="008E6795"/>
    <w:rsid w:val="00900ABB"/>
    <w:rsid w:val="00903182"/>
    <w:rsid w:val="00914E54"/>
    <w:rsid w:val="00922281"/>
    <w:rsid w:val="00922DEF"/>
    <w:rsid w:val="009323D7"/>
    <w:rsid w:val="00933766"/>
    <w:rsid w:val="00933EEE"/>
    <w:rsid w:val="00946CDD"/>
    <w:rsid w:val="00957D2E"/>
    <w:rsid w:val="00961786"/>
    <w:rsid w:val="00967BFB"/>
    <w:rsid w:val="00974660"/>
    <w:rsid w:val="009754D0"/>
    <w:rsid w:val="009767EC"/>
    <w:rsid w:val="00981DA4"/>
    <w:rsid w:val="00990BC7"/>
    <w:rsid w:val="009A09C5"/>
    <w:rsid w:val="009B06AA"/>
    <w:rsid w:val="009B0937"/>
    <w:rsid w:val="009D315B"/>
    <w:rsid w:val="009E7D44"/>
    <w:rsid w:val="009F4640"/>
    <w:rsid w:val="00A01D83"/>
    <w:rsid w:val="00A1722D"/>
    <w:rsid w:val="00A259BB"/>
    <w:rsid w:val="00A32AE5"/>
    <w:rsid w:val="00A36D31"/>
    <w:rsid w:val="00A56728"/>
    <w:rsid w:val="00A70603"/>
    <w:rsid w:val="00A725B3"/>
    <w:rsid w:val="00A85217"/>
    <w:rsid w:val="00A92992"/>
    <w:rsid w:val="00A95A88"/>
    <w:rsid w:val="00AB65B2"/>
    <w:rsid w:val="00AC6941"/>
    <w:rsid w:val="00AD4456"/>
    <w:rsid w:val="00AE1AA8"/>
    <w:rsid w:val="00AE36B9"/>
    <w:rsid w:val="00AE63C5"/>
    <w:rsid w:val="00AF3DA6"/>
    <w:rsid w:val="00AF5AD6"/>
    <w:rsid w:val="00B07885"/>
    <w:rsid w:val="00B14F18"/>
    <w:rsid w:val="00B2194B"/>
    <w:rsid w:val="00B338F9"/>
    <w:rsid w:val="00B45664"/>
    <w:rsid w:val="00B50999"/>
    <w:rsid w:val="00B55850"/>
    <w:rsid w:val="00B749A7"/>
    <w:rsid w:val="00B8636E"/>
    <w:rsid w:val="00B91AB6"/>
    <w:rsid w:val="00BA4114"/>
    <w:rsid w:val="00BA649E"/>
    <w:rsid w:val="00BB0C95"/>
    <w:rsid w:val="00BC6249"/>
    <w:rsid w:val="00BF0539"/>
    <w:rsid w:val="00BF377E"/>
    <w:rsid w:val="00C10966"/>
    <w:rsid w:val="00C165EF"/>
    <w:rsid w:val="00C21204"/>
    <w:rsid w:val="00C30B4E"/>
    <w:rsid w:val="00C40221"/>
    <w:rsid w:val="00C44DE1"/>
    <w:rsid w:val="00C51AC1"/>
    <w:rsid w:val="00C60DA8"/>
    <w:rsid w:val="00C81AE3"/>
    <w:rsid w:val="00C9519B"/>
    <w:rsid w:val="00CA441F"/>
    <w:rsid w:val="00CB2E22"/>
    <w:rsid w:val="00CB4504"/>
    <w:rsid w:val="00CC3320"/>
    <w:rsid w:val="00CC799D"/>
    <w:rsid w:val="00CD790B"/>
    <w:rsid w:val="00CD7E68"/>
    <w:rsid w:val="00CE34AD"/>
    <w:rsid w:val="00CF0ADF"/>
    <w:rsid w:val="00CF4FD1"/>
    <w:rsid w:val="00D30E06"/>
    <w:rsid w:val="00D33EA8"/>
    <w:rsid w:val="00D44EC1"/>
    <w:rsid w:val="00D5620D"/>
    <w:rsid w:val="00D64B63"/>
    <w:rsid w:val="00D655D5"/>
    <w:rsid w:val="00D73609"/>
    <w:rsid w:val="00D81CAB"/>
    <w:rsid w:val="00DA1DBF"/>
    <w:rsid w:val="00DB1713"/>
    <w:rsid w:val="00DB7634"/>
    <w:rsid w:val="00DC05C7"/>
    <w:rsid w:val="00DD6089"/>
    <w:rsid w:val="00DF05E8"/>
    <w:rsid w:val="00DF72E7"/>
    <w:rsid w:val="00E223B4"/>
    <w:rsid w:val="00E22557"/>
    <w:rsid w:val="00E23A7B"/>
    <w:rsid w:val="00E23F48"/>
    <w:rsid w:val="00E310B2"/>
    <w:rsid w:val="00E3141C"/>
    <w:rsid w:val="00E36567"/>
    <w:rsid w:val="00E413E3"/>
    <w:rsid w:val="00E47127"/>
    <w:rsid w:val="00E47544"/>
    <w:rsid w:val="00E52F65"/>
    <w:rsid w:val="00E57ED7"/>
    <w:rsid w:val="00E60695"/>
    <w:rsid w:val="00E64626"/>
    <w:rsid w:val="00E70EB9"/>
    <w:rsid w:val="00E87B69"/>
    <w:rsid w:val="00E90377"/>
    <w:rsid w:val="00EA12FA"/>
    <w:rsid w:val="00EA1586"/>
    <w:rsid w:val="00EA7820"/>
    <w:rsid w:val="00EB0B71"/>
    <w:rsid w:val="00EB4534"/>
    <w:rsid w:val="00EE0AC7"/>
    <w:rsid w:val="00EE244A"/>
    <w:rsid w:val="00EF04A9"/>
    <w:rsid w:val="00EF7520"/>
    <w:rsid w:val="00F21D10"/>
    <w:rsid w:val="00F239AE"/>
    <w:rsid w:val="00F25CCC"/>
    <w:rsid w:val="00F26658"/>
    <w:rsid w:val="00F27157"/>
    <w:rsid w:val="00F30058"/>
    <w:rsid w:val="00F42FAD"/>
    <w:rsid w:val="00F51426"/>
    <w:rsid w:val="00F51652"/>
    <w:rsid w:val="00F56366"/>
    <w:rsid w:val="00F60433"/>
    <w:rsid w:val="00F6767C"/>
    <w:rsid w:val="00F94D6C"/>
    <w:rsid w:val="00FA445A"/>
    <w:rsid w:val="00FB3EF8"/>
    <w:rsid w:val="00FC38D3"/>
    <w:rsid w:val="00FD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E367"/>
  <w15:docId w15:val="{360CDCCF-73CB-4643-A95F-E7EB864D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B47"/>
    <w:rPr>
      <w:lang w:val="en-AU"/>
    </w:rPr>
  </w:style>
  <w:style w:type="paragraph" w:styleId="Heading1">
    <w:name w:val="heading 1"/>
    <w:basedOn w:val="Normal"/>
    <w:next w:val="Normal"/>
    <w:link w:val="Heading1Char"/>
    <w:uiPriority w:val="9"/>
    <w:qFormat/>
    <w:rsid w:val="000C1D59"/>
    <w:pPr>
      <w:keepNext/>
      <w:keepLines/>
      <w:numPr>
        <w:numId w:val="6"/>
      </w:numPr>
      <w:spacing w:before="240"/>
      <w:outlineLvl w:val="0"/>
    </w:pPr>
    <w:rPr>
      <w:rFonts w:asciiTheme="majorHAnsi" w:eastAsia="Times New Roman" w:hAnsiTheme="majorHAnsi" w:cstheme="majorBidi"/>
      <w:color w:val="C00000"/>
      <w:sz w:val="40"/>
      <w:szCs w:val="32"/>
      <w:shd w:val="clear" w:color="auto" w:fill="FFFFFF"/>
      <w:lang w:val="en-US"/>
    </w:rPr>
  </w:style>
  <w:style w:type="paragraph" w:styleId="Heading2">
    <w:name w:val="heading 2"/>
    <w:basedOn w:val="Normal"/>
    <w:next w:val="Normal"/>
    <w:link w:val="Heading2Char"/>
    <w:uiPriority w:val="9"/>
    <w:unhideWhenUsed/>
    <w:qFormat/>
    <w:rsid w:val="000C1D59"/>
    <w:pPr>
      <w:keepNext/>
      <w:keepLines/>
      <w:numPr>
        <w:ilvl w:val="1"/>
        <w:numId w:val="6"/>
      </w:numPr>
      <w:spacing w:before="40"/>
      <w:outlineLvl w:val="1"/>
    </w:pPr>
    <w:rPr>
      <w:rFonts w:asciiTheme="majorHAnsi" w:eastAsiaTheme="majorEastAsia" w:hAnsiTheme="majorHAnsi" w:cstheme="majorBidi"/>
      <w:color w:val="C00000"/>
      <w:sz w:val="32"/>
      <w:szCs w:val="26"/>
    </w:rPr>
  </w:style>
  <w:style w:type="paragraph" w:styleId="Heading3">
    <w:name w:val="heading 3"/>
    <w:basedOn w:val="Normal"/>
    <w:next w:val="Normal"/>
    <w:link w:val="Heading3Char"/>
    <w:uiPriority w:val="9"/>
    <w:unhideWhenUsed/>
    <w:qFormat/>
    <w:rsid w:val="000C1D59"/>
    <w:pPr>
      <w:keepNext/>
      <w:keepLines/>
      <w:numPr>
        <w:ilvl w:val="2"/>
        <w:numId w:val="6"/>
      </w:numPr>
      <w:spacing w:before="40"/>
      <w:outlineLvl w:val="2"/>
    </w:pPr>
    <w:rPr>
      <w:rFonts w:asciiTheme="majorHAnsi" w:eastAsiaTheme="majorEastAsia" w:hAnsiTheme="majorHAnsi" w:cstheme="majorBidi"/>
      <w:color w:val="C00000"/>
      <w:sz w:val="32"/>
      <w:lang w:val="en-US"/>
    </w:rPr>
  </w:style>
  <w:style w:type="paragraph" w:styleId="Heading4">
    <w:name w:val="heading 4"/>
    <w:basedOn w:val="Normal"/>
    <w:next w:val="Normal"/>
    <w:link w:val="Heading4Char"/>
    <w:uiPriority w:val="9"/>
    <w:unhideWhenUsed/>
    <w:qFormat/>
    <w:rsid w:val="000C1D59"/>
    <w:pPr>
      <w:keepNext/>
      <w:keepLines/>
      <w:numPr>
        <w:ilvl w:val="3"/>
        <w:numId w:val="6"/>
      </w:numPr>
      <w:spacing w:before="40"/>
      <w:outlineLvl w:val="3"/>
    </w:pPr>
    <w:rPr>
      <w:rFonts w:asciiTheme="majorHAnsi" w:eastAsiaTheme="majorEastAsia" w:hAnsiTheme="majorHAnsi" w:cstheme="majorBidi"/>
      <w:i/>
      <w:iCs/>
      <w:color w:val="4472C4" w:themeColor="accent5"/>
      <w:sz w:val="28"/>
      <w:lang w:val="en-US"/>
    </w:rPr>
  </w:style>
  <w:style w:type="paragraph" w:styleId="Heading5">
    <w:name w:val="heading 5"/>
    <w:basedOn w:val="Normal"/>
    <w:next w:val="Normal"/>
    <w:link w:val="Heading5Char"/>
    <w:uiPriority w:val="9"/>
    <w:unhideWhenUsed/>
    <w:qFormat/>
    <w:rsid w:val="000C1D59"/>
    <w:pPr>
      <w:keepNext/>
      <w:keepLines/>
      <w:numPr>
        <w:ilvl w:val="4"/>
        <w:numId w:val="7"/>
      </w:numPr>
      <w:spacing w:before="40"/>
      <w:ind w:left="1008" w:hanging="1008"/>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D2232"/>
    <w:pPr>
      <w:spacing w:before="120" w:after="120" w:line="360" w:lineRule="auto"/>
    </w:pPr>
    <w:rPr>
      <w:shd w:val="clear" w:color="auto" w:fill="FFFFFF"/>
    </w:rPr>
  </w:style>
  <w:style w:type="paragraph" w:customStyle="1" w:styleId="Style2">
    <w:name w:val="Style2"/>
    <w:basedOn w:val="Heading1"/>
    <w:qFormat/>
    <w:rsid w:val="003D2232"/>
    <w:pPr>
      <w:pBdr>
        <w:bottom w:val="single" w:sz="4" w:space="1" w:color="auto"/>
      </w:pBdr>
      <w:spacing w:line="360" w:lineRule="auto"/>
    </w:pPr>
  </w:style>
  <w:style w:type="character" w:customStyle="1" w:styleId="Heading1Char">
    <w:name w:val="Heading 1 Char"/>
    <w:basedOn w:val="DefaultParagraphFont"/>
    <w:link w:val="Heading1"/>
    <w:uiPriority w:val="9"/>
    <w:rsid w:val="000C1D59"/>
    <w:rPr>
      <w:rFonts w:asciiTheme="majorHAnsi" w:eastAsia="Times New Roman" w:hAnsiTheme="majorHAnsi" w:cstheme="majorBidi"/>
      <w:color w:val="C00000"/>
      <w:sz w:val="40"/>
      <w:szCs w:val="32"/>
    </w:rPr>
  </w:style>
  <w:style w:type="character" w:customStyle="1" w:styleId="Heading2Char">
    <w:name w:val="Heading 2 Char"/>
    <w:basedOn w:val="DefaultParagraphFont"/>
    <w:link w:val="Heading2"/>
    <w:uiPriority w:val="9"/>
    <w:rsid w:val="000C1D59"/>
    <w:rPr>
      <w:rFonts w:asciiTheme="majorHAnsi" w:eastAsiaTheme="majorEastAsia" w:hAnsiTheme="majorHAnsi" w:cstheme="majorBidi"/>
      <w:color w:val="C00000"/>
      <w:sz w:val="32"/>
      <w:szCs w:val="26"/>
      <w:lang w:val="en-GB"/>
    </w:rPr>
  </w:style>
  <w:style w:type="character" w:customStyle="1" w:styleId="Heading3Char">
    <w:name w:val="Heading 3 Char"/>
    <w:basedOn w:val="DefaultParagraphFont"/>
    <w:link w:val="Heading3"/>
    <w:uiPriority w:val="9"/>
    <w:rsid w:val="000C1D59"/>
    <w:rPr>
      <w:rFonts w:asciiTheme="majorHAnsi" w:eastAsiaTheme="majorEastAsia" w:hAnsiTheme="majorHAnsi" w:cstheme="majorBidi"/>
      <w:color w:val="C00000"/>
      <w:sz w:val="32"/>
    </w:rPr>
  </w:style>
  <w:style w:type="character" w:customStyle="1" w:styleId="Heading4Char">
    <w:name w:val="Heading 4 Char"/>
    <w:basedOn w:val="DefaultParagraphFont"/>
    <w:link w:val="Heading4"/>
    <w:uiPriority w:val="9"/>
    <w:rsid w:val="000C1D59"/>
    <w:rPr>
      <w:rFonts w:asciiTheme="majorHAnsi" w:eastAsiaTheme="majorEastAsia" w:hAnsiTheme="majorHAnsi" w:cstheme="majorBidi"/>
      <w:i/>
      <w:iCs/>
      <w:color w:val="4472C4" w:themeColor="accent5"/>
      <w:sz w:val="28"/>
    </w:rPr>
  </w:style>
  <w:style w:type="character" w:customStyle="1" w:styleId="Heading5Char">
    <w:name w:val="Heading 5 Char"/>
    <w:basedOn w:val="DefaultParagraphFont"/>
    <w:link w:val="Heading5"/>
    <w:uiPriority w:val="9"/>
    <w:rsid w:val="000C1D59"/>
    <w:rPr>
      <w:rFonts w:asciiTheme="majorHAnsi" w:eastAsiaTheme="majorEastAsia" w:hAnsiTheme="majorHAnsi" w:cstheme="majorBidi"/>
      <w:color w:val="2E74B5" w:themeColor="accent1" w:themeShade="BF"/>
      <w:lang w:val="en-GB"/>
    </w:rPr>
  </w:style>
  <w:style w:type="paragraph" w:customStyle="1" w:styleId="Body">
    <w:name w:val="Body"/>
    <w:qFormat/>
    <w:rsid w:val="000C1D59"/>
    <w:pPr>
      <w:spacing w:before="120" w:after="120" w:line="360" w:lineRule="auto"/>
    </w:pPr>
  </w:style>
  <w:style w:type="character" w:styleId="CommentReference">
    <w:name w:val="annotation reference"/>
    <w:basedOn w:val="DefaultParagraphFont"/>
    <w:uiPriority w:val="99"/>
    <w:semiHidden/>
    <w:unhideWhenUsed/>
    <w:rsid w:val="00156B47"/>
    <w:rPr>
      <w:sz w:val="16"/>
      <w:szCs w:val="16"/>
    </w:rPr>
  </w:style>
  <w:style w:type="paragraph" w:styleId="CommentText">
    <w:name w:val="annotation text"/>
    <w:basedOn w:val="Normal"/>
    <w:link w:val="CommentTextChar"/>
    <w:uiPriority w:val="99"/>
    <w:unhideWhenUsed/>
    <w:rsid w:val="00156B47"/>
    <w:rPr>
      <w:sz w:val="20"/>
      <w:szCs w:val="20"/>
    </w:rPr>
  </w:style>
  <w:style w:type="character" w:customStyle="1" w:styleId="CommentTextChar">
    <w:name w:val="Comment Text Char"/>
    <w:basedOn w:val="DefaultParagraphFont"/>
    <w:link w:val="CommentText"/>
    <w:uiPriority w:val="99"/>
    <w:rsid w:val="00156B47"/>
    <w:rPr>
      <w:sz w:val="20"/>
      <w:szCs w:val="20"/>
      <w:lang w:val="en-GB"/>
    </w:rPr>
  </w:style>
  <w:style w:type="paragraph" w:styleId="BalloonText">
    <w:name w:val="Balloon Text"/>
    <w:basedOn w:val="Normal"/>
    <w:link w:val="BalloonTextChar"/>
    <w:uiPriority w:val="99"/>
    <w:semiHidden/>
    <w:unhideWhenUsed/>
    <w:rsid w:val="00156B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B47"/>
    <w:rPr>
      <w:rFonts w:ascii="Times New Roman" w:hAnsi="Times New Roman" w:cs="Times New Roman"/>
      <w:sz w:val="18"/>
      <w:szCs w:val="18"/>
      <w:lang w:val="en-GB"/>
    </w:rPr>
  </w:style>
  <w:style w:type="paragraph" w:styleId="DocumentMap">
    <w:name w:val="Document Map"/>
    <w:basedOn w:val="Normal"/>
    <w:link w:val="DocumentMapChar"/>
    <w:uiPriority w:val="99"/>
    <w:semiHidden/>
    <w:unhideWhenUsed/>
    <w:rsid w:val="00156B47"/>
    <w:rPr>
      <w:rFonts w:ascii="Times New Roman" w:hAnsi="Times New Roman" w:cs="Times New Roman"/>
    </w:rPr>
  </w:style>
  <w:style w:type="character" w:customStyle="1" w:styleId="DocumentMapChar">
    <w:name w:val="Document Map Char"/>
    <w:basedOn w:val="DefaultParagraphFont"/>
    <w:link w:val="DocumentMap"/>
    <w:uiPriority w:val="99"/>
    <w:semiHidden/>
    <w:rsid w:val="00156B47"/>
    <w:rPr>
      <w:rFonts w:ascii="Times New Roman" w:hAnsi="Times New Roman" w:cs="Times New Roman"/>
      <w:lang w:val="en-GB"/>
    </w:rPr>
  </w:style>
  <w:style w:type="paragraph" w:styleId="Revision">
    <w:name w:val="Revision"/>
    <w:hidden/>
    <w:uiPriority w:val="99"/>
    <w:semiHidden/>
    <w:rsid w:val="00156B47"/>
    <w:rPr>
      <w:lang w:val="en-GB"/>
    </w:rPr>
  </w:style>
  <w:style w:type="paragraph" w:styleId="CommentSubject">
    <w:name w:val="annotation subject"/>
    <w:basedOn w:val="CommentText"/>
    <w:next w:val="CommentText"/>
    <w:link w:val="CommentSubjectChar"/>
    <w:uiPriority w:val="99"/>
    <w:semiHidden/>
    <w:unhideWhenUsed/>
    <w:rsid w:val="00EF7520"/>
    <w:rPr>
      <w:b/>
      <w:bCs/>
    </w:rPr>
  </w:style>
  <w:style w:type="character" w:customStyle="1" w:styleId="CommentSubjectChar">
    <w:name w:val="Comment Subject Char"/>
    <w:basedOn w:val="CommentTextChar"/>
    <w:link w:val="CommentSubject"/>
    <w:uiPriority w:val="99"/>
    <w:semiHidden/>
    <w:rsid w:val="00EF7520"/>
    <w:rPr>
      <w:b/>
      <w:bCs/>
      <w:sz w:val="20"/>
      <w:szCs w:val="20"/>
      <w:lang w:val="en-GB"/>
    </w:rPr>
  </w:style>
  <w:style w:type="character" w:styleId="Hyperlink">
    <w:name w:val="Hyperlink"/>
    <w:basedOn w:val="DefaultParagraphFont"/>
    <w:uiPriority w:val="99"/>
    <w:unhideWhenUsed/>
    <w:rsid w:val="0059010E"/>
    <w:rPr>
      <w:color w:val="0563C1" w:themeColor="hyperlink"/>
      <w:u w:val="single"/>
    </w:rPr>
  </w:style>
  <w:style w:type="character" w:styleId="PlaceholderText">
    <w:name w:val="Placeholder Text"/>
    <w:basedOn w:val="DefaultParagraphFont"/>
    <w:uiPriority w:val="99"/>
    <w:semiHidden/>
    <w:rsid w:val="00B749A7"/>
    <w:rPr>
      <w:color w:val="808080"/>
    </w:rPr>
  </w:style>
  <w:style w:type="paragraph" w:styleId="NormalWeb">
    <w:name w:val="Normal (Web)"/>
    <w:basedOn w:val="Normal"/>
    <w:uiPriority w:val="99"/>
    <w:semiHidden/>
    <w:unhideWhenUsed/>
    <w:rsid w:val="00274F13"/>
    <w:pPr>
      <w:spacing w:before="100" w:beforeAutospacing="1" w:after="100" w:afterAutospacing="1"/>
    </w:pPr>
    <w:rPr>
      <w:rFonts w:ascii="Times New Roman" w:eastAsia="Times New Roman" w:hAnsi="Times New Roman" w:cs="Times New Roman"/>
      <w:lang w:val="en-NZ" w:eastAsia="en-NZ"/>
    </w:rPr>
  </w:style>
  <w:style w:type="paragraph" w:customStyle="1" w:styleId="EndNoteBibliographyTitle">
    <w:name w:val="EndNote Bibliography Title"/>
    <w:basedOn w:val="Normal"/>
    <w:rsid w:val="00684036"/>
    <w:pPr>
      <w:jc w:val="center"/>
    </w:pPr>
    <w:rPr>
      <w:rFonts w:ascii="Calibri" w:hAnsi="Calibri"/>
      <w:lang w:val="en-US"/>
    </w:rPr>
  </w:style>
  <w:style w:type="paragraph" w:customStyle="1" w:styleId="EndNoteBibliography">
    <w:name w:val="EndNote Bibliography"/>
    <w:basedOn w:val="Normal"/>
    <w:rsid w:val="00684036"/>
    <w:rPr>
      <w:rFonts w:ascii="Calibri" w:hAnsi="Calibri"/>
      <w:lang w:val="en-US"/>
    </w:rPr>
  </w:style>
  <w:style w:type="paragraph" w:styleId="Caption">
    <w:name w:val="caption"/>
    <w:basedOn w:val="Normal"/>
    <w:next w:val="Normal"/>
    <w:uiPriority w:val="35"/>
    <w:unhideWhenUsed/>
    <w:qFormat/>
    <w:rsid w:val="008E6795"/>
    <w:pPr>
      <w:spacing w:after="200"/>
    </w:pPr>
    <w:rPr>
      <w:b/>
      <w:bCs/>
      <w:color w:val="5B9BD5" w:themeColor="accent1"/>
      <w:sz w:val="18"/>
      <w:szCs w:val="18"/>
      <w:lang w:val="en-GB"/>
    </w:rPr>
  </w:style>
  <w:style w:type="paragraph" w:styleId="Header">
    <w:name w:val="header"/>
    <w:basedOn w:val="Normal"/>
    <w:link w:val="HeaderChar"/>
    <w:uiPriority w:val="99"/>
    <w:unhideWhenUsed/>
    <w:rsid w:val="001F5163"/>
    <w:pPr>
      <w:tabs>
        <w:tab w:val="center" w:pos="4513"/>
        <w:tab w:val="right" w:pos="9026"/>
      </w:tabs>
    </w:pPr>
  </w:style>
  <w:style w:type="character" w:customStyle="1" w:styleId="HeaderChar">
    <w:name w:val="Header Char"/>
    <w:basedOn w:val="DefaultParagraphFont"/>
    <w:link w:val="Header"/>
    <w:uiPriority w:val="99"/>
    <w:rsid w:val="001F5163"/>
    <w:rPr>
      <w:lang w:val="en-AU"/>
    </w:rPr>
  </w:style>
  <w:style w:type="paragraph" w:styleId="Footer">
    <w:name w:val="footer"/>
    <w:basedOn w:val="Normal"/>
    <w:link w:val="FooterChar"/>
    <w:uiPriority w:val="99"/>
    <w:unhideWhenUsed/>
    <w:rsid w:val="001F5163"/>
    <w:pPr>
      <w:tabs>
        <w:tab w:val="center" w:pos="4513"/>
        <w:tab w:val="right" w:pos="9026"/>
      </w:tabs>
    </w:pPr>
  </w:style>
  <w:style w:type="character" w:customStyle="1" w:styleId="FooterChar">
    <w:name w:val="Footer Char"/>
    <w:basedOn w:val="DefaultParagraphFont"/>
    <w:link w:val="Footer"/>
    <w:uiPriority w:val="99"/>
    <w:rsid w:val="001F5163"/>
    <w:rPr>
      <w:lang w:val="en-AU"/>
    </w:rPr>
  </w:style>
  <w:style w:type="table" w:customStyle="1" w:styleId="PlainTable41">
    <w:name w:val="Plain Table 41"/>
    <w:basedOn w:val="TableNormal"/>
    <w:uiPriority w:val="44"/>
    <w:rsid w:val="00C165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165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D3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7112">
      <w:bodyDiv w:val="1"/>
      <w:marLeft w:val="0"/>
      <w:marRight w:val="0"/>
      <w:marTop w:val="0"/>
      <w:marBottom w:val="0"/>
      <w:divBdr>
        <w:top w:val="none" w:sz="0" w:space="0" w:color="auto"/>
        <w:left w:val="none" w:sz="0" w:space="0" w:color="auto"/>
        <w:bottom w:val="none" w:sz="0" w:space="0" w:color="auto"/>
        <w:right w:val="none" w:sz="0" w:space="0" w:color="auto"/>
      </w:divBdr>
      <w:divsChild>
        <w:div w:id="839925591">
          <w:marLeft w:val="0"/>
          <w:marRight w:val="0"/>
          <w:marTop w:val="34"/>
          <w:marBottom w:val="34"/>
          <w:divBdr>
            <w:top w:val="none" w:sz="0" w:space="0" w:color="auto"/>
            <w:left w:val="none" w:sz="0" w:space="0" w:color="auto"/>
            <w:bottom w:val="none" w:sz="0" w:space="0" w:color="auto"/>
            <w:right w:val="none" w:sz="0" w:space="0" w:color="auto"/>
          </w:divBdr>
        </w:div>
      </w:divsChild>
    </w:div>
    <w:div w:id="291906984">
      <w:bodyDiv w:val="1"/>
      <w:marLeft w:val="0"/>
      <w:marRight w:val="0"/>
      <w:marTop w:val="0"/>
      <w:marBottom w:val="0"/>
      <w:divBdr>
        <w:top w:val="none" w:sz="0" w:space="0" w:color="auto"/>
        <w:left w:val="none" w:sz="0" w:space="0" w:color="auto"/>
        <w:bottom w:val="none" w:sz="0" w:space="0" w:color="auto"/>
        <w:right w:val="none" w:sz="0" w:space="0" w:color="auto"/>
      </w:divBdr>
      <w:divsChild>
        <w:div w:id="331489072">
          <w:marLeft w:val="0"/>
          <w:marRight w:val="0"/>
          <w:marTop w:val="34"/>
          <w:marBottom w:val="34"/>
          <w:divBdr>
            <w:top w:val="none" w:sz="0" w:space="0" w:color="auto"/>
            <w:left w:val="none" w:sz="0" w:space="0" w:color="auto"/>
            <w:bottom w:val="none" w:sz="0" w:space="0" w:color="auto"/>
            <w:right w:val="none" w:sz="0" w:space="0" w:color="auto"/>
          </w:divBdr>
        </w:div>
      </w:divsChild>
    </w:div>
    <w:div w:id="349795782">
      <w:bodyDiv w:val="1"/>
      <w:marLeft w:val="0"/>
      <w:marRight w:val="0"/>
      <w:marTop w:val="0"/>
      <w:marBottom w:val="0"/>
      <w:divBdr>
        <w:top w:val="none" w:sz="0" w:space="0" w:color="auto"/>
        <w:left w:val="none" w:sz="0" w:space="0" w:color="auto"/>
        <w:bottom w:val="none" w:sz="0" w:space="0" w:color="auto"/>
        <w:right w:val="none" w:sz="0" w:space="0" w:color="auto"/>
      </w:divBdr>
    </w:div>
    <w:div w:id="383990054">
      <w:bodyDiv w:val="1"/>
      <w:marLeft w:val="0"/>
      <w:marRight w:val="0"/>
      <w:marTop w:val="0"/>
      <w:marBottom w:val="0"/>
      <w:divBdr>
        <w:top w:val="none" w:sz="0" w:space="0" w:color="auto"/>
        <w:left w:val="none" w:sz="0" w:space="0" w:color="auto"/>
        <w:bottom w:val="none" w:sz="0" w:space="0" w:color="auto"/>
        <w:right w:val="none" w:sz="0" w:space="0" w:color="auto"/>
      </w:divBdr>
    </w:div>
    <w:div w:id="888152201">
      <w:bodyDiv w:val="1"/>
      <w:marLeft w:val="0"/>
      <w:marRight w:val="0"/>
      <w:marTop w:val="0"/>
      <w:marBottom w:val="0"/>
      <w:divBdr>
        <w:top w:val="none" w:sz="0" w:space="0" w:color="auto"/>
        <w:left w:val="none" w:sz="0" w:space="0" w:color="auto"/>
        <w:bottom w:val="none" w:sz="0" w:space="0" w:color="auto"/>
        <w:right w:val="none" w:sz="0" w:space="0" w:color="auto"/>
      </w:divBdr>
    </w:div>
    <w:div w:id="965546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DACA8FC-854F-4A9E-8B35-9CA95D9B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Rewena Mahesh</dc:creator>
  <cp:lastModifiedBy>Gillian</cp:lastModifiedBy>
  <cp:revision>2</cp:revision>
  <cp:lastPrinted>2016-11-25T03:14:00Z</cp:lastPrinted>
  <dcterms:created xsi:type="dcterms:W3CDTF">2018-04-06T11:25:00Z</dcterms:created>
  <dcterms:modified xsi:type="dcterms:W3CDTF">2018-04-06T11:25:00Z</dcterms:modified>
</cp:coreProperties>
</file>