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2" w:rsidRPr="000A267C" w:rsidRDefault="00D75332" w:rsidP="00D75332">
      <w:pPr>
        <w:tabs>
          <w:tab w:val="left" w:pos="5245"/>
        </w:tabs>
        <w:spacing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Supplementary table 1</w:t>
      </w:r>
      <w:r w:rsidRPr="000A267C">
        <w:rPr>
          <w:rFonts w:ascii="Times New Roman" w:hAnsi="Times New Roman"/>
          <w:b/>
        </w:rPr>
        <w:t>.</w:t>
      </w:r>
      <w:proofErr w:type="gramEnd"/>
      <w:r w:rsidRPr="000A267C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0A267C">
        <w:rPr>
          <w:rFonts w:ascii="Times New Roman" w:hAnsi="Times New Roman"/>
        </w:rPr>
        <w:t>Sociodemographic</w:t>
      </w:r>
      <w:proofErr w:type="spellEnd"/>
      <w:r w:rsidRPr="000A267C">
        <w:rPr>
          <w:rFonts w:ascii="Times New Roman" w:hAnsi="Times New Roman"/>
        </w:rPr>
        <w:t xml:space="preserve"> characteristics, consumption of dairy products, phy</w:t>
      </w:r>
      <w:r>
        <w:rPr>
          <w:rFonts w:ascii="Times New Roman" w:hAnsi="Times New Roman"/>
        </w:rPr>
        <w:t xml:space="preserve">sical activity and bone </w:t>
      </w:r>
      <w:r w:rsidRPr="000A267C">
        <w:rPr>
          <w:rFonts w:ascii="Times New Roman" w:hAnsi="Times New Roman"/>
        </w:rPr>
        <w:t>density among children belonging to the 2004 Pelotas (Brazil) Birth Cohort.</w:t>
      </w:r>
      <w:proofErr w:type="gram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7"/>
        <w:gridCol w:w="2231"/>
        <w:gridCol w:w="712"/>
      </w:tblGrid>
      <w:tr w:rsidR="00D75332" w:rsidRPr="000A267C" w:rsidTr="00857323"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Variables</w:t>
            </w: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Children with no information from </w:t>
            </w:r>
            <w:proofErr w:type="spellStart"/>
            <w:r>
              <w:rPr>
                <w:rFonts w:ascii="Times New Roman" w:hAnsi="Times New Roman"/>
                <w:b/>
              </w:rPr>
              <w:t>Acc</w:t>
            </w:r>
            <w:proofErr w:type="spellEnd"/>
            <w:r w:rsidRPr="00230F19">
              <w:rPr>
                <w:rFonts w:ascii="Times New Roman" w:hAnsi="Times New Roman"/>
                <w:b/>
              </w:rPr>
              <w:t xml:space="preserve"> (%)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Children with information from </w:t>
            </w:r>
            <w:proofErr w:type="spellStart"/>
            <w:r>
              <w:rPr>
                <w:rFonts w:ascii="Times New Roman" w:hAnsi="Times New Roman"/>
                <w:b/>
              </w:rPr>
              <w:t>Acc</w:t>
            </w:r>
            <w:proofErr w:type="spellEnd"/>
            <w:r w:rsidRPr="00230F1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</w:t>
            </w:r>
            <w:proofErr w:type="gramEnd"/>
          </w:p>
        </w:tc>
      </w:tr>
      <w:tr w:rsidR="00D75332" w:rsidRPr="000A267C" w:rsidTr="00857323">
        <w:tc>
          <w:tcPr>
            <w:tcW w:w="201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Sex</w:t>
            </w:r>
          </w:p>
        </w:tc>
        <w:tc>
          <w:tcPr>
            <w:tcW w:w="13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0.241</w:t>
            </w:r>
          </w:p>
        </w:tc>
      </w:tr>
      <w:tr w:rsidR="00D75332" w:rsidRPr="000A267C" w:rsidTr="00857323">
        <w:tc>
          <w:tcPr>
            <w:tcW w:w="20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A04E1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Boys</w:t>
            </w:r>
          </w:p>
        </w:tc>
        <w:tc>
          <w:tcPr>
            <w:tcW w:w="13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 (50.7)</w:t>
            </w:r>
          </w:p>
        </w:tc>
        <w:tc>
          <w:tcPr>
            <w:tcW w:w="12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 (52.6)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A04E1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2A04E1">
              <w:rPr>
                <w:rFonts w:ascii="Times New Roman" w:hAnsi="Times New Roman"/>
              </w:rPr>
              <w:t xml:space="preserve"> Girls</w:t>
            </w:r>
          </w:p>
        </w:tc>
        <w:tc>
          <w:tcPr>
            <w:tcW w:w="13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 (49.3)</w:t>
            </w:r>
          </w:p>
        </w:tc>
        <w:tc>
          <w:tcPr>
            <w:tcW w:w="12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 (47.4)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 xml:space="preserve">Maternal Schooling </w:t>
            </w:r>
            <w:r w:rsidRPr="00230F19">
              <w:rPr>
                <w:rFonts w:ascii="Times New Roman" w:hAnsi="Times New Roman"/>
              </w:rPr>
              <w:t>(years)</w:t>
            </w:r>
          </w:p>
        </w:tc>
        <w:tc>
          <w:tcPr>
            <w:tcW w:w="1300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0.172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 xml:space="preserve">    </w:t>
            </w:r>
            <w:r w:rsidRPr="00230F19">
              <w:rPr>
                <w:rFonts w:ascii="Times New Roman" w:hAnsi="Times New Roman"/>
              </w:rPr>
              <w:t>0 – 4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 (16.7)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 (15.1)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 xml:space="preserve">    </w:t>
            </w:r>
            <w:r w:rsidRPr="00230F19">
              <w:rPr>
                <w:rFonts w:ascii="Times New Roman" w:hAnsi="Times New Roman"/>
              </w:rPr>
              <w:t>5 – 8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(39.5)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 (42.4)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 xml:space="preserve">    </w:t>
            </w:r>
            <w:r w:rsidRPr="00230F19">
              <w:rPr>
                <w:rFonts w:ascii="Times New Roman" w:hAnsi="Times New Roman"/>
              </w:rPr>
              <w:t>9 – 11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 (32.9)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 (33.1)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 xml:space="preserve">    ≥ </w:t>
            </w:r>
            <w:r w:rsidRPr="00230F19">
              <w:rPr>
                <w:rFonts w:ascii="Times New Roman" w:hAnsi="Times New Roman"/>
              </w:rPr>
              <w:t>12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 (10.9)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(9.4)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>Skin Color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0.614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White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 (68.1)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 (67.2)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Non-white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 (31.9)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(32.8)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>Daily frequency of consumption of cow’s milk at 4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0.845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&lt;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(18.9)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 (18.1)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1 – 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 (39.9)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(41.5)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 (30.8)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 (30.1)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≥ 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(10.4)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 (10.3)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>Daily frequency of consumption of yogurt at 4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0.722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&lt;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 (66.4)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 (65.2)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 (22.6)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 (23.8)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≥ 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(11.0)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 (11.0)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>Daily frequency o</w:t>
            </w:r>
            <w:r>
              <w:rPr>
                <w:rFonts w:ascii="Times New Roman" w:hAnsi="Times New Roman"/>
                <w:b/>
              </w:rPr>
              <w:t>f consumption of cow’s milk at 6</w:t>
            </w:r>
            <w:r w:rsidRPr="00230F19">
              <w:rPr>
                <w:rFonts w:ascii="Times New Roman" w:hAnsi="Times New Roman"/>
                <w:b/>
              </w:rPr>
              <w:t xml:space="preserve">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0.459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&lt;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 (27.3)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 (27.4)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1 – 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 (49.0)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 (46.4)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(21.1)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 (23.6)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≥ 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(2.6)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(2.6)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30F19">
              <w:rPr>
                <w:rFonts w:ascii="Times New Roman" w:hAnsi="Times New Roman"/>
                <w:b/>
              </w:rPr>
              <w:t>Daily frequency of consu</w:t>
            </w:r>
            <w:r>
              <w:rPr>
                <w:rFonts w:ascii="Times New Roman" w:hAnsi="Times New Roman"/>
                <w:b/>
              </w:rPr>
              <w:t>mption of yogurt and cheese at 6</w:t>
            </w:r>
            <w:r w:rsidRPr="00230F19">
              <w:rPr>
                <w:rFonts w:ascii="Times New Roman" w:hAnsi="Times New Roman"/>
                <w:b/>
              </w:rPr>
              <w:t xml:space="preserve">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0.623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&lt;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 (45.1)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 (46.6)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(29.3)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 (27.6)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≥ 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(25.6)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 (25.8)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  <w:vertAlign w:val="superscript"/>
              </w:rPr>
            </w:pPr>
            <w:r w:rsidRPr="00230F19">
              <w:rPr>
                <w:rFonts w:ascii="Times New Roman" w:hAnsi="Times New Roman"/>
                <w:b/>
              </w:rPr>
              <w:t>Physical activity at 4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0.221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Below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(6.1)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(4.9)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 (43.4)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998 (45.5)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Above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 (50.5)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 (49.6)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Physical activity at 6</w:t>
            </w:r>
            <w:r w:rsidRPr="00230F19">
              <w:rPr>
                <w:rFonts w:ascii="Times New Roman" w:hAnsi="Times New Roman"/>
                <w:b/>
              </w:rPr>
              <w:t xml:space="preserve"> years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0.165</w:t>
            </w: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Below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 (12.5)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 (10.2)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 (40.4)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 (41.0)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</w:rPr>
              <w:t xml:space="preserve">    Above average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 (47.1)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 (48.8)</w:t>
            </w:r>
          </w:p>
        </w:tc>
        <w:tc>
          <w:tcPr>
            <w:tcW w:w="408" w:type="pct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75332" w:rsidRPr="000A267C" w:rsidTr="00857323">
        <w:tc>
          <w:tcPr>
            <w:tcW w:w="20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>Total body BMD</w:t>
            </w:r>
            <w:r w:rsidRPr="00230F19">
              <w:rPr>
                <w:rFonts w:ascii="Times New Roman" w:hAnsi="Times New Roman"/>
              </w:rPr>
              <w:t xml:space="preserve"> (g/cm</w:t>
            </w:r>
            <w:r w:rsidRPr="00230F19">
              <w:rPr>
                <w:rFonts w:ascii="Times New Roman" w:hAnsi="Times New Roman"/>
                <w:vertAlign w:val="superscript"/>
              </w:rPr>
              <w:t>2</w:t>
            </w:r>
            <w:r w:rsidRPr="00230F19">
              <w:rPr>
                <w:rFonts w:ascii="Times New Roman" w:hAnsi="Times New Roman"/>
              </w:rPr>
              <w:t>) [mean (</w:t>
            </w:r>
            <w:proofErr w:type="spellStart"/>
            <w:r w:rsidRPr="00230F19">
              <w:rPr>
                <w:rFonts w:ascii="Times New Roman" w:hAnsi="Times New Roman"/>
              </w:rPr>
              <w:t>sd</w:t>
            </w:r>
            <w:proofErr w:type="spellEnd"/>
            <w:r w:rsidRPr="00230F19">
              <w:rPr>
                <w:rFonts w:ascii="Times New Roman" w:hAnsi="Times New Roman"/>
              </w:rPr>
              <w:t>)]</w:t>
            </w:r>
          </w:p>
        </w:tc>
        <w:tc>
          <w:tcPr>
            <w:tcW w:w="13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0.830 (0.002)</w:t>
            </w:r>
          </w:p>
        </w:tc>
        <w:tc>
          <w:tcPr>
            <w:tcW w:w="12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0.825 (0.001)</w:t>
            </w:r>
          </w:p>
        </w:tc>
        <w:tc>
          <w:tcPr>
            <w:tcW w:w="408" w:type="pct"/>
            <w:tcBorders>
              <w:top w:val="nil"/>
              <w:bottom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0.013</w:t>
            </w:r>
          </w:p>
        </w:tc>
      </w:tr>
      <w:tr w:rsidR="00D75332" w:rsidRPr="000A267C" w:rsidTr="00857323">
        <w:tc>
          <w:tcPr>
            <w:tcW w:w="2013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rPr>
                <w:rFonts w:ascii="Times New Roman" w:hAnsi="Times New Roman"/>
              </w:rPr>
            </w:pPr>
            <w:r w:rsidRPr="00230F19">
              <w:rPr>
                <w:rFonts w:ascii="Times New Roman" w:hAnsi="Times New Roman"/>
                <w:b/>
              </w:rPr>
              <w:t>Lumbar spine BMD</w:t>
            </w:r>
            <w:r w:rsidRPr="00230F19">
              <w:rPr>
                <w:rFonts w:ascii="Times New Roman" w:hAnsi="Times New Roman"/>
              </w:rPr>
              <w:t xml:space="preserve"> (g/cm</w:t>
            </w:r>
            <w:r w:rsidRPr="00230F19">
              <w:rPr>
                <w:rFonts w:ascii="Times New Roman" w:hAnsi="Times New Roman"/>
                <w:vertAlign w:val="superscript"/>
              </w:rPr>
              <w:t>2</w:t>
            </w:r>
            <w:r w:rsidRPr="00230F19">
              <w:rPr>
                <w:rFonts w:ascii="Times New Roman" w:hAnsi="Times New Roman"/>
              </w:rPr>
              <w:t>) [mean (</w:t>
            </w:r>
            <w:proofErr w:type="spellStart"/>
            <w:r w:rsidRPr="00230F19">
              <w:rPr>
                <w:rFonts w:ascii="Times New Roman" w:hAnsi="Times New Roman"/>
              </w:rPr>
              <w:t>sd</w:t>
            </w:r>
            <w:proofErr w:type="spellEnd"/>
            <w:r w:rsidRPr="00230F19">
              <w:rPr>
                <w:rFonts w:ascii="Times New Roman" w:hAnsi="Times New Roman"/>
              </w:rPr>
              <w:t>)]</w:t>
            </w:r>
          </w:p>
        </w:tc>
        <w:tc>
          <w:tcPr>
            <w:tcW w:w="1300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0.658 (0.003)</w:t>
            </w:r>
          </w:p>
        </w:tc>
        <w:tc>
          <w:tcPr>
            <w:tcW w:w="1279" w:type="pct"/>
            <w:tcBorders>
              <w:top w:val="nil"/>
            </w:tcBorders>
            <w:shd w:val="clear" w:color="auto" w:fill="auto"/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0.656 (0.001)</w:t>
            </w:r>
          </w:p>
        </w:tc>
        <w:tc>
          <w:tcPr>
            <w:tcW w:w="408" w:type="pct"/>
            <w:tcBorders>
              <w:top w:val="nil"/>
            </w:tcBorders>
            <w:vAlign w:val="center"/>
          </w:tcPr>
          <w:p w:rsidR="00D75332" w:rsidRPr="00230F19" w:rsidRDefault="00D75332" w:rsidP="008573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0.484</w:t>
            </w:r>
          </w:p>
        </w:tc>
      </w:tr>
    </w:tbl>
    <w:p w:rsidR="00D75332" w:rsidRPr="007A0B10" w:rsidRDefault="00D75332" w:rsidP="00D75332">
      <w:pPr>
        <w:spacing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0A267C">
        <w:rPr>
          <w:rFonts w:ascii="Times New Roman" w:hAnsi="Times New Roman"/>
        </w:rPr>
        <w:t>Acc</w:t>
      </w:r>
      <w:proofErr w:type="spellEnd"/>
      <w:r w:rsidRPr="000A267C">
        <w:rPr>
          <w:rFonts w:ascii="Times New Roman" w:hAnsi="Times New Roman"/>
        </w:rPr>
        <w:t xml:space="preserve"> – </w:t>
      </w:r>
      <w:proofErr w:type="spellStart"/>
      <w:r w:rsidRPr="000A267C">
        <w:rPr>
          <w:rFonts w:ascii="Times New Roman" w:hAnsi="Times New Roman"/>
        </w:rPr>
        <w:t>Accelerometry</w:t>
      </w:r>
      <w:proofErr w:type="spellEnd"/>
      <w:r w:rsidRPr="000A267C">
        <w:rPr>
          <w:rFonts w:ascii="Times New Roman" w:hAnsi="Times New Roman"/>
        </w:rPr>
        <w:t>; MVPA – Moderate-to-vigorous physical activ</w:t>
      </w:r>
      <w:r>
        <w:rPr>
          <w:rFonts w:ascii="Times New Roman" w:hAnsi="Times New Roman"/>
        </w:rPr>
        <w:t>ity; BMD – Bone mineral density.</w:t>
      </w:r>
    </w:p>
    <w:p w:rsidR="00F16C77" w:rsidRDefault="00F16C77">
      <w:pPr>
        <w:sectPr w:rsidR="00F16C77" w:rsidSect="007A0B1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16C77" w:rsidRPr="000336A2" w:rsidRDefault="00F16C77" w:rsidP="00F16C77">
      <w:pPr>
        <w:jc w:val="both"/>
        <w:rPr>
          <w:rFonts w:ascii="Times New Roman" w:hAnsi="Times New Roman"/>
          <w:color w:val="FF0000"/>
        </w:rPr>
      </w:pPr>
      <w:proofErr w:type="gramStart"/>
      <w:r w:rsidRPr="000336A2">
        <w:rPr>
          <w:rFonts w:ascii="Times New Roman" w:hAnsi="Times New Roman"/>
          <w:b/>
          <w:color w:val="FF0000"/>
        </w:rPr>
        <w:lastRenderedPageBreak/>
        <w:t>Supplementary table 2.</w:t>
      </w:r>
      <w:proofErr w:type="gramEnd"/>
      <w:r w:rsidRPr="000336A2">
        <w:rPr>
          <w:rFonts w:ascii="Times New Roman" w:hAnsi="Times New Roman"/>
          <w:b/>
          <w:color w:val="FF0000"/>
        </w:rPr>
        <w:t xml:space="preserve"> </w:t>
      </w:r>
      <w:r w:rsidRPr="000336A2">
        <w:rPr>
          <w:rFonts w:ascii="Times New Roman" w:hAnsi="Times New Roman"/>
          <w:color w:val="FF0000"/>
        </w:rPr>
        <w:t xml:space="preserve">Association between </w:t>
      </w:r>
      <w:proofErr w:type="gramStart"/>
      <w:r w:rsidRPr="000336A2">
        <w:rPr>
          <w:rFonts w:ascii="Times New Roman" w:hAnsi="Times New Roman"/>
          <w:color w:val="FF0000"/>
        </w:rPr>
        <w:t>time</w:t>
      </w:r>
      <w:proofErr w:type="gramEnd"/>
      <w:r w:rsidRPr="000336A2">
        <w:rPr>
          <w:rFonts w:ascii="Times New Roman" w:hAnsi="Times New Roman"/>
          <w:color w:val="FF0000"/>
        </w:rPr>
        <w:t xml:space="preserve"> spent in</w:t>
      </w:r>
      <w:r w:rsidRPr="000336A2">
        <w:rPr>
          <w:rFonts w:ascii="Times New Roman" w:hAnsi="Times New Roman"/>
          <w:b/>
          <w:color w:val="FF0000"/>
        </w:rPr>
        <w:t xml:space="preserve"> </w:t>
      </w:r>
      <w:r w:rsidRPr="000336A2">
        <w:rPr>
          <w:rFonts w:ascii="Times New Roman" w:hAnsi="Times New Roman"/>
          <w:color w:val="FF0000"/>
        </w:rPr>
        <w:t>objectively measured acceleration ≥ 200 m</w:t>
      </w:r>
      <w:r w:rsidRPr="000336A2">
        <w:rPr>
          <w:rFonts w:ascii="Times New Roman" w:hAnsi="Times New Roman"/>
          <w:i/>
          <w:color w:val="FF0000"/>
        </w:rPr>
        <w:t>g</w:t>
      </w:r>
      <w:r w:rsidRPr="000336A2">
        <w:rPr>
          <w:rFonts w:ascii="Times New Roman" w:hAnsi="Times New Roman"/>
          <w:color w:val="FF0000"/>
        </w:rPr>
        <w:t xml:space="preserve"> and bone mineral density at 6 years of age in children belonging to the 2004 Pelotas Birth Cohort.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708"/>
        <w:gridCol w:w="2693"/>
        <w:gridCol w:w="2551"/>
        <w:gridCol w:w="995"/>
        <w:gridCol w:w="2548"/>
        <w:gridCol w:w="2631"/>
      </w:tblGrid>
      <w:tr w:rsidR="00F16C77" w:rsidRPr="000336A2" w:rsidTr="001807C6">
        <w:tc>
          <w:tcPr>
            <w:tcW w:w="7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6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Bone Mineral Density (g/cm</w:t>
            </w:r>
            <w:r w:rsidRPr="000336A2">
              <w:rPr>
                <w:rFonts w:ascii="Times New Roman" w:hAnsi="Times New Roman"/>
                <w:b/>
                <w:color w:val="FF0000"/>
                <w:vertAlign w:val="superscript"/>
              </w:rPr>
              <w:t>2</w:t>
            </w:r>
            <w:r w:rsidRPr="000336A2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F16C77" w:rsidRPr="000336A2" w:rsidTr="001807C6">
        <w:tc>
          <w:tcPr>
            <w:tcW w:w="736" w:type="pct"/>
            <w:vMerge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9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Boys</w:t>
            </w:r>
          </w:p>
        </w:tc>
        <w:tc>
          <w:tcPr>
            <w:tcW w:w="217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Girls</w:t>
            </w:r>
          </w:p>
        </w:tc>
      </w:tr>
      <w:tr w:rsidR="00F16C77" w:rsidRPr="000336A2" w:rsidTr="001807C6">
        <w:tc>
          <w:tcPr>
            <w:tcW w:w="736" w:type="pct"/>
            <w:vMerge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n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Crude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Adjusted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n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Crude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Adjusted</w:t>
            </w:r>
            <w:proofErr w:type="spellEnd"/>
          </w:p>
        </w:tc>
      </w:tr>
      <w:tr w:rsidR="00F16C77" w:rsidRPr="000336A2" w:rsidTr="001807C6"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β </w:t>
            </w: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coefficient</w:t>
            </w:r>
            <w:proofErr w:type="spellEnd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 (95%CI)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β </w:t>
            </w: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coefficient</w:t>
            </w:r>
            <w:proofErr w:type="spellEnd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 (95%CI)</w:t>
            </w: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β </w:t>
            </w: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coefficient</w:t>
            </w:r>
            <w:proofErr w:type="spellEnd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 (95%CI)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β </w:t>
            </w:r>
            <w:proofErr w:type="spellStart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>coefficient</w:t>
            </w:r>
            <w:proofErr w:type="spellEnd"/>
            <w:r w:rsidRPr="000336A2">
              <w:rPr>
                <w:rFonts w:ascii="Times New Roman" w:hAnsi="Times New Roman"/>
                <w:b/>
                <w:color w:val="FF0000"/>
                <w:lang w:val="pt-BR"/>
              </w:rPr>
              <w:t xml:space="preserve"> (95%CI)</w:t>
            </w:r>
          </w:p>
        </w:tc>
      </w:tr>
      <w:tr w:rsidR="00F16C77" w:rsidRPr="000336A2" w:rsidTr="001807C6"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Total Body BMD (g/cm</w:t>
            </w:r>
            <w:r w:rsidRPr="000336A2">
              <w:rPr>
                <w:rFonts w:ascii="Times New Roman" w:hAnsi="Times New Roman"/>
                <w:b/>
                <w:color w:val="FF0000"/>
                <w:vertAlign w:val="superscript"/>
              </w:rPr>
              <w:t>2</w:t>
            </w:r>
            <w:r w:rsidRPr="000336A2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Acceleration ≥ 200 m</w:t>
            </w:r>
            <w:r w:rsidRPr="000336A2">
              <w:rPr>
                <w:rFonts w:ascii="Times New Roman" w:hAnsi="Times New Roman"/>
                <w:b/>
                <w:i/>
                <w:color w:val="FF0000"/>
              </w:rPr>
              <w:t>g</w:t>
            </w:r>
            <w:r w:rsidRPr="000336A2">
              <w:rPr>
                <w:rFonts w:ascii="Times New Roman" w:hAnsi="Times New Roman"/>
                <w:color w:val="FF0000"/>
              </w:rPr>
              <w:t xml:space="preserve"> (continuous)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1092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=0.311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(-0.0001; 0.0000)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=0.731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(-0.0001; 0.0001)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1031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=0.956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0.0000 (-0.0001; 0.0001) 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=0.639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(-0.0001; 0.0001)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Acceleration ≥ 200 m</w:t>
            </w:r>
            <w:r w:rsidRPr="000336A2">
              <w:rPr>
                <w:rFonts w:ascii="Times New Roman" w:hAnsi="Times New Roman"/>
                <w:b/>
                <w:i/>
                <w:color w:val="FF0000"/>
              </w:rPr>
              <w:t>g</w:t>
            </w:r>
            <w:r w:rsidRPr="000336A2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1092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=0.835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=0.381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1031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=0.948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=0.860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1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st</w:t>
            </w:r>
            <w:r w:rsidRPr="000336A2">
              <w:rPr>
                <w:rFonts w:ascii="Times New Roman" w:hAnsi="Times New Roman"/>
                <w:color w:val="FF0000"/>
              </w:rPr>
              <w:t xml:space="preserve"> (lowest)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2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nd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0.0020 (-0.0062; 0.0101)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0.0009 (-0.0070; 0.088)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0.0008 (-0.0078; 0.0093)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0.035 (-0.0045; 0.0115)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3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rd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-0.0014 (-0.0095; 0.0067)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-0.0049 (-0.127; 0.0030)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0.0024 (-0.0060; 0.0109)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0.0020 (-0.0058; 0.0098)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4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th</w:t>
            </w:r>
            <w:r w:rsidRPr="000336A2">
              <w:rPr>
                <w:rFonts w:ascii="Times New Roman" w:hAnsi="Times New Roman"/>
                <w:color w:val="FF0000"/>
              </w:rPr>
              <w:t xml:space="preserve"> (highest)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-0.0011 (-0.0094; 0.0072)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0.0009 (-0.0072; 0.0090)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0.0005 (-0.0078; 0.0088)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0.0013 (-0.0065; 0.0091)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Lumbar Spine BMD (g/cm</w:t>
            </w:r>
            <w:r w:rsidRPr="000336A2">
              <w:rPr>
                <w:rFonts w:ascii="Times New Roman" w:hAnsi="Times New Roman"/>
                <w:b/>
                <w:color w:val="FF0000"/>
                <w:vertAlign w:val="superscript"/>
              </w:rPr>
              <w:t>2</w:t>
            </w:r>
            <w:r w:rsidRPr="000336A2">
              <w:rPr>
                <w:rFonts w:ascii="Times New Roman" w:hAnsi="Times New Roman"/>
                <w:b/>
                <w:color w:val="FF0000"/>
              </w:rPr>
              <w:t>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 xml:space="preserve">Acceleration ≥ 200 mg </w:t>
            </w:r>
            <w:r w:rsidRPr="000336A2">
              <w:rPr>
                <w:rFonts w:ascii="Times New Roman" w:hAnsi="Times New Roman"/>
                <w:color w:val="FF0000"/>
              </w:rPr>
              <w:t>(continuous)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1088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=0.325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-0.0001 (-0.0002; 0.0001)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=0.858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(-0.0001; 0.0001)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1014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=0.861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(-0.0002; 0.002)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=0.388</w:t>
            </w:r>
          </w:p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0.0001 (-0.0001; 0.0002)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336A2">
              <w:rPr>
                <w:rFonts w:ascii="Times New Roman" w:hAnsi="Times New Roman"/>
                <w:b/>
                <w:color w:val="FF0000"/>
              </w:rPr>
              <w:t>Acceleration ≥ 200 m</w:t>
            </w:r>
            <w:r w:rsidRPr="000336A2">
              <w:rPr>
                <w:rFonts w:ascii="Times New Roman" w:hAnsi="Times New Roman"/>
                <w:b/>
                <w:i/>
                <w:color w:val="FF0000"/>
              </w:rPr>
              <w:t>g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1088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=0.359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=0.426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1014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=0.869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proofErr w:type="gramStart"/>
            <w:r w:rsidRPr="000336A2">
              <w:rPr>
                <w:rFonts w:ascii="Times New Roman" w:hAnsi="Times New Roman"/>
                <w:color w:val="FF0000"/>
              </w:rPr>
              <w:t>p</w:t>
            </w:r>
            <w:proofErr w:type="gramEnd"/>
            <w:r w:rsidRPr="000336A2">
              <w:rPr>
                <w:rFonts w:ascii="Times New Roman" w:hAnsi="Times New Roman"/>
                <w:color w:val="FF0000"/>
              </w:rPr>
              <w:t>=0.710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1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st</w:t>
            </w:r>
            <w:r w:rsidRPr="000336A2">
              <w:rPr>
                <w:rFonts w:ascii="Times New Roman" w:hAnsi="Times New Roman"/>
                <w:color w:val="FF0000"/>
              </w:rPr>
              <w:t xml:space="preserve"> (lowest)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Ref.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2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nd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0.0101 (-0.0035; 0.0237)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0.0083 (-0.0039; 0.0206)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0.0036 (-0.0126; 0.0198)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0.0058 (-0.0094; 0.0210)</w:t>
            </w:r>
          </w:p>
        </w:tc>
      </w:tr>
      <w:tr w:rsidR="00F16C77" w:rsidRPr="000336A2" w:rsidTr="001807C6">
        <w:tc>
          <w:tcPr>
            <w:tcW w:w="73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3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rd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0.0004 (-0.0131; 0.0140)</w:t>
            </w:r>
          </w:p>
        </w:tc>
        <w:tc>
          <w:tcPr>
            <w:tcW w:w="897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-0.0007 (-0.0130; 0.0115)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0.0069 (-0.0091; 0.0229)</w:t>
            </w:r>
          </w:p>
        </w:tc>
        <w:tc>
          <w:tcPr>
            <w:tcW w:w="925" w:type="pct"/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0.0084 (-0.0064; 0.0232)</w:t>
            </w:r>
          </w:p>
        </w:tc>
      </w:tr>
      <w:tr w:rsidR="00F16C77" w:rsidRPr="000336A2" w:rsidTr="001807C6"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 xml:space="preserve">    4</w:t>
            </w:r>
            <w:r w:rsidRPr="000336A2">
              <w:rPr>
                <w:rFonts w:ascii="Times New Roman" w:hAnsi="Times New Roman"/>
                <w:color w:val="FF0000"/>
                <w:vertAlign w:val="superscript"/>
              </w:rPr>
              <w:t>th</w:t>
            </w:r>
            <w:r w:rsidRPr="000336A2">
              <w:rPr>
                <w:rFonts w:ascii="Times New Roman" w:hAnsi="Times New Roman"/>
                <w:color w:val="FF0000"/>
              </w:rPr>
              <w:t xml:space="preserve"> (highest)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0.0000 (-0.0139; 0.0140)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0.0032 (-0.0094; 0.0158)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0.0034 (-0.0124; 0.0192)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</w:tcPr>
          <w:p w:rsidR="00F16C77" w:rsidRPr="000336A2" w:rsidRDefault="00F16C77" w:rsidP="00180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0336A2">
              <w:rPr>
                <w:rFonts w:ascii="Times New Roman" w:hAnsi="Times New Roman"/>
                <w:color w:val="FF0000"/>
              </w:rPr>
              <w:t>0.0065 (-0.0083; 0.0213)</w:t>
            </w:r>
          </w:p>
        </w:tc>
      </w:tr>
    </w:tbl>
    <w:p w:rsidR="00F16C77" w:rsidRPr="000336A2" w:rsidRDefault="00F16C77" w:rsidP="00F16C77">
      <w:pPr>
        <w:spacing w:line="240" w:lineRule="auto"/>
        <w:contextualSpacing/>
        <w:jc w:val="both"/>
        <w:rPr>
          <w:rFonts w:ascii="Times New Roman" w:hAnsi="Times New Roman"/>
          <w:color w:val="FF0000"/>
        </w:rPr>
      </w:pPr>
      <w:r w:rsidRPr="000336A2">
        <w:rPr>
          <w:rFonts w:ascii="Times New Roman" w:hAnsi="Times New Roman"/>
          <w:color w:val="FF0000"/>
        </w:rPr>
        <w:t xml:space="preserve">Adjusted for skin color, family income at birth, maternal schooling, birth weight, </w:t>
      </w:r>
      <w:proofErr w:type="gramStart"/>
      <w:r w:rsidRPr="000336A2">
        <w:rPr>
          <w:rFonts w:ascii="Times New Roman" w:hAnsi="Times New Roman"/>
          <w:color w:val="FF0000"/>
        </w:rPr>
        <w:t>maternal</w:t>
      </w:r>
      <w:proofErr w:type="gramEnd"/>
      <w:r w:rsidRPr="000336A2">
        <w:rPr>
          <w:rFonts w:ascii="Times New Roman" w:hAnsi="Times New Roman"/>
          <w:color w:val="FF0000"/>
        </w:rPr>
        <w:t xml:space="preserve"> smoking during the pregnancy, maternal age at birth, breastfeeding duration, current height and current consumption of dairy products.</w:t>
      </w:r>
    </w:p>
    <w:p w:rsidR="005B5975" w:rsidRDefault="00F16C77" w:rsidP="00F16C77">
      <w:r w:rsidRPr="000336A2">
        <w:rPr>
          <w:rFonts w:ascii="Times New Roman" w:hAnsi="Times New Roman"/>
          <w:color w:val="FF0000"/>
          <w:lang w:val="en-GB"/>
        </w:rPr>
        <w:t>Data are b-coefficients and 95% confidence intervals.</w:t>
      </w:r>
      <w:bookmarkStart w:id="0" w:name="_GoBack"/>
      <w:bookmarkEnd w:id="0"/>
    </w:p>
    <w:sectPr w:rsidR="005B5975" w:rsidSect="00F16C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32"/>
    <w:rsid w:val="00220549"/>
    <w:rsid w:val="005B5975"/>
    <w:rsid w:val="00D75332"/>
    <w:rsid w:val="00F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3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3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A6B51-0C4E-0544-8CB8-84846B9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Macintosh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Moraes Bielemann</dc:creator>
  <cp:keywords/>
  <dc:description/>
  <cp:lastModifiedBy>Renata Moraes Bielemann</cp:lastModifiedBy>
  <cp:revision>2</cp:revision>
  <dcterms:created xsi:type="dcterms:W3CDTF">2018-03-13T14:27:00Z</dcterms:created>
  <dcterms:modified xsi:type="dcterms:W3CDTF">2018-03-13T14:27:00Z</dcterms:modified>
</cp:coreProperties>
</file>