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F568" w14:textId="5ED6C61A" w:rsidR="00B04B87" w:rsidRPr="00DE59C2" w:rsidRDefault="00624EA0" w:rsidP="00624E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</w:t>
      </w:r>
      <w:r w:rsidR="00B04B87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ry</w:t>
      </w: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material</w:t>
      </w:r>
    </w:p>
    <w:p w14:paraId="4EC384D5" w14:textId="22DEB94D" w:rsidR="00624EA0" w:rsidRPr="00DE59C2" w:rsidRDefault="00B04B87" w:rsidP="00624EA0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Supplemental </w:t>
      </w:r>
      <w:r w:rsidR="00624EA0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S1. </w:t>
      </w:r>
      <w:r w:rsidR="00624EA0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Odds ratio (OR) of hypertension and changes in blood pressure by total 25(OH)D concentrations, using </w:t>
      </w:r>
      <w:r w:rsidR="00DA27B8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two categories</w:t>
      </w:r>
      <w:r w:rsidR="00624EA0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(sufficient or not), in pre- and postmenopausal women.</w:t>
      </w:r>
      <w:r w:rsidR="00624EA0" w:rsidRPr="00DE59C2" w:rsidDel="00A11F7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page" w:horzAnchor="margin" w:tblpY="2821"/>
        <w:tblW w:w="13391" w:type="dxa"/>
        <w:tblLayout w:type="fixed"/>
        <w:tblLook w:val="04A0" w:firstRow="1" w:lastRow="0" w:firstColumn="1" w:lastColumn="0" w:noHBand="0" w:noVBand="1"/>
      </w:tblPr>
      <w:tblGrid>
        <w:gridCol w:w="3009"/>
        <w:gridCol w:w="1812"/>
        <w:gridCol w:w="1070"/>
        <w:gridCol w:w="1607"/>
        <w:gridCol w:w="297"/>
        <w:gridCol w:w="1071"/>
        <w:gridCol w:w="1785"/>
        <w:gridCol w:w="1071"/>
        <w:gridCol w:w="1669"/>
      </w:tblGrid>
      <w:tr w:rsidR="00DE59C2" w:rsidRPr="00DE59C2" w14:paraId="0B4F51D9" w14:textId="77777777" w:rsidTr="005F6A4E">
        <w:trPr>
          <w:trHeight w:val="459"/>
        </w:trPr>
        <w:tc>
          <w:tcPr>
            <w:tcW w:w="30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CBB93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Variables</w:t>
            </w:r>
          </w:p>
        </w:tc>
        <w:tc>
          <w:tcPr>
            <w:tcW w:w="1038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8D6B0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Total 25(OH)D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</w:tr>
      <w:tr w:rsidR="00DE59C2" w:rsidRPr="00DE59C2" w14:paraId="5FA8ADB6" w14:textId="77777777" w:rsidTr="005F6A4E">
        <w:trPr>
          <w:trHeight w:val="459"/>
        </w:trPr>
        <w:tc>
          <w:tcPr>
            <w:tcW w:w="30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0399B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C0D6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4B0B8DE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07E97" w14:textId="77777777" w:rsidR="00624EA0" w:rsidRPr="00DE59C2" w:rsidRDefault="00624EA0" w:rsidP="005F6A4E">
            <w:pPr>
              <w:ind w:firstLineChars="150" w:firstLine="33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Fully adjusted OR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C1510E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5D0D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SBP (mmHg)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9DC6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DBP (mmHg)</w:t>
            </w:r>
          </w:p>
        </w:tc>
      </w:tr>
      <w:tr w:rsidR="00DE59C2" w:rsidRPr="00DE59C2" w14:paraId="67CEEE16" w14:textId="77777777" w:rsidTr="005F6A4E">
        <w:trPr>
          <w:trHeight w:val="459"/>
        </w:trPr>
        <w:tc>
          <w:tcPr>
            <w:tcW w:w="48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51D0099" w14:textId="77777777" w:rsidR="00624EA0" w:rsidRPr="00DE59C2" w:rsidRDefault="00624EA0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CD37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OR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A171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95 %CI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751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BF15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ß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7045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95 %CI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ED7C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ß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9848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95 %CI</w:t>
            </w:r>
          </w:p>
        </w:tc>
      </w:tr>
      <w:tr w:rsidR="00DE59C2" w:rsidRPr="00DE59C2" w14:paraId="0BA12D50" w14:textId="77777777" w:rsidTr="005F6A4E">
        <w:trPr>
          <w:trHeight w:val="45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AC2B" w14:textId="4A5EA57B" w:rsidR="00624EA0" w:rsidRPr="00DE59C2" w:rsidRDefault="00624EA0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Premenopausal women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AFD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544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9FAF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A10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9EC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F1B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CF21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DE59C2" w:rsidRPr="00DE59C2" w14:paraId="1CC848E3" w14:textId="77777777" w:rsidTr="005F6A4E">
        <w:trPr>
          <w:trHeight w:val="459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1A53" w14:textId="77777777" w:rsidR="00624EA0" w:rsidRPr="00DE59C2" w:rsidRDefault="00624EA0" w:rsidP="005F6A4E">
            <w:pPr>
              <w:ind w:leftChars="100" w:left="600" w:hangingChars="200" w:hanging="4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&lt;50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 xml:space="preserve"> &amp; deficient)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A7D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162/824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93B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68B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110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ACE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5194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245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E0F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</w:tr>
      <w:tr w:rsidR="00DE59C2" w:rsidRPr="00DE59C2" w14:paraId="49356176" w14:textId="77777777" w:rsidTr="005F6A4E">
        <w:trPr>
          <w:trHeight w:val="459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0E82F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240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166/1274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CE1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599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0.36, 0.79</w:t>
            </w:r>
            <w:r w:rsidRPr="00DE59C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A40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02D4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-2.26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47C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-4.03,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-0.48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A38B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-1.71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B0E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-3.34,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-0.09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</w:t>
            </w:r>
          </w:p>
        </w:tc>
      </w:tr>
      <w:tr w:rsidR="00DE59C2" w:rsidRPr="00DE59C2" w14:paraId="57841677" w14:textId="77777777" w:rsidTr="005F6A4E">
        <w:trPr>
          <w:trHeight w:val="45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DA04" w14:textId="2BFF3541" w:rsidR="00624EA0" w:rsidRPr="00DE59C2" w:rsidRDefault="00624EA0" w:rsidP="005F6A4E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Postmenopausal women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07F6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3815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671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877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BD3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D0C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4E6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57117016" w14:textId="77777777" w:rsidTr="005F6A4E">
        <w:trPr>
          <w:trHeight w:val="459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CAE5" w14:textId="77777777" w:rsidR="00624EA0" w:rsidRPr="00DE59C2" w:rsidRDefault="00624EA0" w:rsidP="005F6A4E">
            <w:pPr>
              <w:ind w:leftChars="100" w:left="600" w:hangingChars="200" w:hanging="4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&lt;50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 xml:space="preserve"> &amp; deficient)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69B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470/700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5A7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692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E95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79B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2EA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CBD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FEE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</w:tr>
      <w:tr w:rsidR="00DE59C2" w:rsidRPr="00DE59C2" w14:paraId="41C5F5FA" w14:textId="77777777" w:rsidTr="005F6A4E">
        <w:trPr>
          <w:trHeight w:val="459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F05B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B04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1003/1598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1F6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0.96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B88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0.75, 1.23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6538" w14:textId="77777777" w:rsidR="00624EA0" w:rsidRPr="00DE59C2" w:rsidRDefault="00624EA0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DC14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-1.70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B0B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-4.85,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1.44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91A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1.35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BBD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-0.39, 3.09</w:t>
            </w:r>
          </w:p>
        </w:tc>
      </w:tr>
      <w:tr w:rsidR="00DE59C2" w:rsidRPr="00DE59C2" w14:paraId="3065121D" w14:textId="77777777" w:rsidTr="005F6A4E">
        <w:trPr>
          <w:trHeight w:val="459"/>
        </w:trPr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A425F" w14:textId="1A00E521" w:rsidR="00624EA0" w:rsidRPr="00DE59C2" w:rsidRDefault="007D3CEA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-value for interaction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12C7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30DD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7F28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0596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0.728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259A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0.012</w:t>
            </w:r>
          </w:p>
        </w:tc>
      </w:tr>
    </w:tbl>
    <w:p w14:paraId="3074A4D9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p w14:paraId="05E4E929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p w14:paraId="39D17295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0.05, </w:t>
      </w:r>
      <w:r w:rsidRPr="00DE59C2">
        <w:rPr>
          <w:rFonts w:ascii="Times New Roman" w:eastAsia="맑은 고딕" w:hAnsi="Times New Roman" w:cs="Times New Roman"/>
          <w:color w:val="000000" w:themeColor="text1"/>
          <w:sz w:val="18"/>
          <w:szCs w:val="18"/>
          <w:vertAlign w:val="superscript"/>
        </w:rPr>
        <w:t>†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0.1 compared with reference group (vitamin concentrations &lt;50 nmol/L)</w:t>
      </w:r>
      <w:r w:rsidR="00AE2C48"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32589CF" w14:textId="484579CA" w:rsidR="00624EA0" w:rsidRPr="00DE59C2" w:rsidRDefault="00624EA0" w:rsidP="00624EA0">
      <w:pPr>
        <w:spacing w:after="0" w:line="240" w:lineRule="auto"/>
        <w:rPr>
          <w:rFonts w:ascii="Times New Roman"/>
          <w:color w:val="000000" w:themeColor="text1"/>
          <w:sz w:val="18"/>
          <w:szCs w:val="18"/>
        </w:rPr>
      </w:pPr>
      <w:r w:rsidRPr="00DE59C2">
        <w:rPr>
          <w:rFonts w:ascii="Times New Roman"/>
          <w:color w:val="000000" w:themeColor="text1"/>
          <w:sz w:val="18"/>
          <w:szCs w:val="18"/>
        </w:rPr>
        <w:t xml:space="preserve">Fully adjusted model was for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age, race/ethnicity, education, </w:t>
      </w:r>
      <w:r w:rsidRPr="00DE59C2">
        <w:rPr>
          <w:rFonts w:ascii="Times New Roman"/>
          <w:color w:val="000000" w:themeColor="text1"/>
          <w:sz w:val="18"/>
          <w:szCs w:val="18"/>
        </w:rPr>
        <w:t>season of examination, physical activity, alcohol consumption, smoking status, and dietary covariates (intakes of total energy, potassium, calcium, magnesium, and sodium)</w:t>
      </w:r>
      <w:r w:rsidR="00AE2C48" w:rsidRPr="00DE59C2">
        <w:rPr>
          <w:rFonts w:ascii="Times New Roman"/>
          <w:color w:val="000000" w:themeColor="text1"/>
          <w:sz w:val="18"/>
          <w:szCs w:val="18"/>
        </w:rPr>
        <w:t>.</w:t>
      </w:r>
    </w:p>
    <w:p w14:paraId="42248F35" w14:textId="77777777" w:rsidR="00E95577" w:rsidRPr="00DE59C2" w:rsidRDefault="00E95577" w:rsidP="007D58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96C943" w14:textId="77777777" w:rsidR="00883BDA" w:rsidRPr="00DE59C2" w:rsidRDefault="00883BDA" w:rsidP="007D58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B3BD1F" w14:textId="77777777" w:rsidR="00624EA0" w:rsidRPr="00DE59C2" w:rsidRDefault="00624EA0" w:rsidP="007D58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6B276D" w14:textId="77777777" w:rsidR="00624EA0" w:rsidRPr="00DE59C2" w:rsidRDefault="00624EA0" w:rsidP="007D58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D46049" w14:textId="0731B865" w:rsidR="00624EA0" w:rsidRPr="00DE59C2" w:rsidRDefault="00624EA0" w:rsidP="00624EA0">
      <w:pPr>
        <w:spacing w:line="360" w:lineRule="auto"/>
        <w:ind w:left="120" w:hangingChars="50" w:hanging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Table S2.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Odds ratio (OR) of hypertension by total 25(OH)D and 25(OH)D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concentrations, using the US </w:t>
      </w:r>
      <w:r w:rsidR="00B37D9A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Endocrine Society 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classification, in pre- and postmenopausal women.</w:t>
      </w:r>
    </w:p>
    <w:p w14:paraId="6B7E8245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F588248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2851"/>
        <w:tblW w:w="14034" w:type="dxa"/>
        <w:tblLayout w:type="fixed"/>
        <w:tblLook w:val="04A0" w:firstRow="1" w:lastRow="0" w:firstColumn="1" w:lastColumn="0" w:noHBand="0" w:noVBand="1"/>
      </w:tblPr>
      <w:tblGrid>
        <w:gridCol w:w="2389"/>
        <w:gridCol w:w="1439"/>
        <w:gridCol w:w="850"/>
        <w:gridCol w:w="1276"/>
        <w:gridCol w:w="709"/>
        <w:gridCol w:w="1348"/>
        <w:gridCol w:w="236"/>
        <w:gridCol w:w="1392"/>
        <w:gridCol w:w="851"/>
        <w:gridCol w:w="1417"/>
        <w:gridCol w:w="851"/>
        <w:gridCol w:w="1276"/>
      </w:tblGrid>
      <w:tr w:rsidR="00DE59C2" w:rsidRPr="00DE59C2" w14:paraId="38F8002B" w14:textId="77777777" w:rsidTr="005F6A4E">
        <w:trPr>
          <w:trHeight w:val="350"/>
        </w:trPr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8AEFA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Variables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19B2D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Total 25(OH)D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F9B2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0235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25(OH)D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bscript"/>
              </w:rPr>
              <w:t>3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</w:tr>
      <w:tr w:rsidR="00DE59C2" w:rsidRPr="00DE59C2" w14:paraId="0DDF2BDF" w14:textId="77777777" w:rsidTr="005F6A4E">
        <w:trPr>
          <w:trHeight w:val="350"/>
        </w:trPr>
        <w:tc>
          <w:tcPr>
            <w:tcW w:w="23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2B435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44D8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48DE3E5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A0F0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Model A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E882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Model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EB3F5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361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1129D46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5D77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Model 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810F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Model B</w:t>
            </w:r>
          </w:p>
        </w:tc>
      </w:tr>
      <w:tr w:rsidR="00DE59C2" w:rsidRPr="00DE59C2" w14:paraId="4AA5EAE0" w14:textId="77777777" w:rsidTr="005F6A4E">
        <w:trPr>
          <w:trHeight w:val="350"/>
        </w:trPr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5A2CB93" w14:textId="77777777" w:rsidR="00624EA0" w:rsidRPr="00DE59C2" w:rsidRDefault="00624EA0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89DC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9607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95 %CI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67D2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OR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761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95 %CI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3C502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36A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C08F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FFDC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95 %CI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8DC7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FB60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95 %CI</w:t>
            </w:r>
          </w:p>
        </w:tc>
      </w:tr>
      <w:tr w:rsidR="00DE59C2" w:rsidRPr="00DE59C2" w14:paraId="3076D960" w14:textId="77777777" w:rsidTr="005F6A4E">
        <w:trPr>
          <w:trHeight w:val="35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7B26" w14:textId="197BBD88" w:rsidR="00624EA0" w:rsidRPr="00DE59C2" w:rsidRDefault="00624EA0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Premenopausal women (n=2098)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1509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D7B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9B6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143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14119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1F3DF4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096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8C8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088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10D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DE59C2" w:rsidRPr="00DE59C2" w14:paraId="30321C78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FB3C" w14:textId="178CA619" w:rsidR="00624EA0" w:rsidRPr="00DE59C2" w:rsidRDefault="00624EA0" w:rsidP="00DE59C2">
            <w:pPr>
              <w:ind w:leftChars="100" w:left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&lt;50 (</w:t>
            </w:r>
            <w:r w:rsidR="00DA27B8"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="00DA27B8" w:rsidRPr="00DE59C2">
              <w:rPr>
                <w:rFonts w:ascii="Times New Roman" w:hAnsi="Times New Roman" w:cs="Times New Roman"/>
                <w:color w:val="000000" w:themeColor="text1"/>
              </w:rPr>
              <w:t xml:space="preserve"> &amp;</w:t>
            </w:r>
            <w:r w:rsidR="00DA27B8" w:rsidRPr="00DE5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deficient)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11F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162/824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795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18F5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036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577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944C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757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171/897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052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046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F63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FC6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</w:tr>
      <w:tr w:rsidR="00DE59C2" w:rsidRPr="00DE59C2" w14:paraId="367B9BFB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0209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50~74.99 (suboptimal)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CFF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95/715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EF2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7C6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0.40, 0.79</w:t>
            </w:r>
            <w:r w:rsidRPr="00DE59C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DE4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0.58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E405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0.40,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0.82</w:t>
            </w:r>
            <w:r w:rsidRPr="00DE59C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515D51" w14:textId="77777777" w:rsidR="00624EA0" w:rsidRPr="00DE59C2" w:rsidRDefault="00624EA0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F3E5" w14:textId="77777777" w:rsidR="00624EA0" w:rsidRPr="00DE59C2" w:rsidRDefault="00624EA0" w:rsidP="005F6A4E">
            <w:pPr>
              <w:ind w:firstLineChars="150" w:firstLine="33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95/694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819D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53A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0.41,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0.79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066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DFF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0.42, 0.83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**</w:t>
            </w:r>
          </w:p>
        </w:tc>
      </w:tr>
      <w:tr w:rsidR="00DE59C2" w:rsidRPr="00DE59C2" w14:paraId="20DF6CE5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C2F3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75 (sufficient)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CB2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71/559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801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F16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0.25, 0.80</w:t>
            </w:r>
            <w:r w:rsidRPr="00DE59C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AE57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0.48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F96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0.27, 0.87</w:t>
            </w:r>
            <w:r w:rsidRPr="00DE59C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39787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940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62/507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907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D61E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0.27, 0.90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F40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3E3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0.30, 0.96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</w:t>
            </w:r>
          </w:p>
        </w:tc>
      </w:tr>
      <w:tr w:rsidR="00DE59C2" w:rsidRPr="00DE59C2" w14:paraId="70E361A4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14769" w14:textId="0CDDC805" w:rsidR="00624EA0" w:rsidRPr="00DE59C2" w:rsidRDefault="007D3CEA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-value for trend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662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CC4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0.008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493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2A9E8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40FECE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D6D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0B96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0.040</w:t>
            </w:r>
          </w:p>
        </w:tc>
      </w:tr>
      <w:tr w:rsidR="00DE59C2" w:rsidRPr="00DE59C2" w14:paraId="4A29D581" w14:textId="77777777" w:rsidTr="005F6A4E">
        <w:trPr>
          <w:trHeight w:val="35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BCFF" w14:textId="3B22BEC8" w:rsidR="00624EA0" w:rsidRPr="00DE59C2" w:rsidRDefault="00624EA0" w:rsidP="005F6A4E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Postmenopausal women (n=2298)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07C8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CEA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43DE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0C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F63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A0F05E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724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6848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0E9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C7B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2BB3A7EC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92C6" w14:textId="1981FC3E" w:rsidR="00624EA0" w:rsidRPr="00DE59C2" w:rsidRDefault="00624EA0" w:rsidP="00DE59C2">
            <w:pPr>
              <w:ind w:leftChars="100" w:left="2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&lt;50</w:t>
            </w:r>
            <w:r w:rsidR="00DA27B8" w:rsidRPr="00DE5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27B8" w:rsidRPr="00DE59C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A27B8"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="00DA27B8" w:rsidRPr="00DE59C2">
              <w:rPr>
                <w:rFonts w:ascii="Times New Roman" w:hAnsi="Times New Roman" w:cs="Times New Roman"/>
                <w:color w:val="000000" w:themeColor="text1"/>
              </w:rPr>
              <w:t xml:space="preserve"> &amp; deficient)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8C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470/700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3AB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826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D8AC7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E5D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EA173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14E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588/871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3C3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36F4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0304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3D5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</w:tr>
      <w:tr w:rsidR="00DE59C2" w:rsidRPr="00DE59C2" w14:paraId="5F7B20AF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DD6BD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50~74.99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(suboptimal)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C78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501/776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9E9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007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0.75, 1.42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816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1.10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5FE0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0.80, 1.53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860033" w14:textId="77777777" w:rsidR="00624EA0" w:rsidRPr="00DE59C2" w:rsidRDefault="00624EA0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669E" w14:textId="77777777" w:rsidR="00624EA0" w:rsidRPr="00DE59C2" w:rsidRDefault="00624EA0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484/760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76D1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0B56" w14:textId="77777777" w:rsidR="00624EA0" w:rsidRPr="00DE59C2" w:rsidRDefault="00624EA0" w:rsidP="005F6A4E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0.76, 1.22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D32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9B7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0.79, 1.30</w:t>
            </w:r>
          </w:p>
        </w:tc>
      </w:tr>
      <w:tr w:rsidR="00DE59C2" w:rsidRPr="00DE59C2" w14:paraId="5D399DF9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CE77" w14:textId="77777777" w:rsidR="00624EA0" w:rsidRPr="00DE59C2" w:rsidRDefault="00624EA0" w:rsidP="005F6A4E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75 (sufficient)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6C7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502/822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0FFA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BA5E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0.62, 1.00</w:t>
            </w:r>
            <w:r w:rsidRPr="00DE59C2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228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0.85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1F3C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0.66, 1.09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FF1AC8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70A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401/667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A1A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0.76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B932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0.61, 0.97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518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D7B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0.64, 1.01</w:t>
            </w:r>
            <w:r w:rsidRPr="00DE59C2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DE59C2" w:rsidRPr="00DE59C2" w14:paraId="6947E6D3" w14:textId="77777777" w:rsidTr="005F6A4E"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3FD0" w14:textId="1E422744" w:rsidR="00624EA0" w:rsidRPr="00DE59C2" w:rsidRDefault="007D3CEA" w:rsidP="005F6A4E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-value for trend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C6A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0349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0.031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EDF3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5C427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36DC79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8E5A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F501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0.050</w:t>
            </w:r>
          </w:p>
        </w:tc>
      </w:tr>
      <w:tr w:rsidR="00DE59C2" w:rsidRPr="00DE59C2" w14:paraId="1100A3CD" w14:textId="77777777" w:rsidTr="005F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F2717" w14:textId="0267CFC1" w:rsidR="00624EA0" w:rsidRPr="00DE59C2" w:rsidRDefault="007D3CEA" w:rsidP="005F6A4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-value for interaction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B4930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39A3F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0.102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11445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0.132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3431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12FF4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98DBD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0.141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F6D4B" w14:textId="77777777" w:rsidR="00624EA0" w:rsidRPr="00DE59C2" w:rsidRDefault="00624EA0" w:rsidP="005F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0.193</w:t>
            </w:r>
          </w:p>
        </w:tc>
      </w:tr>
    </w:tbl>
    <w:p w14:paraId="6098A2DF" w14:textId="77777777" w:rsidR="00624EA0" w:rsidRPr="00DE59C2" w:rsidRDefault="00624EA0" w:rsidP="00624EA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0.05, </w:t>
      </w:r>
      <w:r w:rsidRPr="00DE59C2">
        <w:rPr>
          <w:rFonts w:ascii="Times New Roman" w:eastAsia="맑은 고딕" w:hAnsi="Times New Roman" w:cs="Times New Roman"/>
          <w:color w:val="000000" w:themeColor="text1"/>
          <w:sz w:val="18"/>
          <w:szCs w:val="18"/>
          <w:vertAlign w:val="superscript"/>
        </w:rPr>
        <w:t>†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0.1 compared with reference group (vitamin concentrations &lt;50 nmol/L)</w:t>
      </w:r>
      <w:r w:rsidR="00AE2C48"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AAD3614" w14:textId="2C5E09BC" w:rsidR="00624EA0" w:rsidRPr="00DE59C2" w:rsidRDefault="00624EA0" w:rsidP="00624EA0">
      <w:pPr>
        <w:spacing w:after="0" w:line="240" w:lineRule="auto"/>
        <w:rPr>
          <w:rFonts w:ascii="Times New Roman"/>
          <w:color w:val="000000" w:themeColor="text1"/>
          <w:sz w:val="18"/>
          <w:szCs w:val="18"/>
        </w:rPr>
      </w:pPr>
      <w:r w:rsidRPr="00DE59C2">
        <w:rPr>
          <w:rFonts w:ascii="Times New Roman"/>
          <w:color w:val="000000" w:themeColor="text1"/>
          <w:sz w:val="18"/>
          <w:szCs w:val="18"/>
        </w:rPr>
        <w:t xml:space="preserve">Model A was for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age, race/ethnicity, education, </w:t>
      </w:r>
      <w:r w:rsidRPr="00DE59C2">
        <w:rPr>
          <w:rFonts w:ascii="Times New Roman"/>
          <w:color w:val="000000" w:themeColor="text1"/>
          <w:sz w:val="18"/>
          <w:szCs w:val="18"/>
        </w:rPr>
        <w:t>season of examination, physical activity, alcohol consumption, smoking status</w:t>
      </w:r>
      <w:r w:rsidR="00AE2C48" w:rsidRPr="00DE59C2">
        <w:rPr>
          <w:rFonts w:ascii="Times New Roman"/>
          <w:color w:val="000000" w:themeColor="text1"/>
          <w:sz w:val="18"/>
          <w:szCs w:val="18"/>
        </w:rPr>
        <w:t>.</w:t>
      </w:r>
      <w:r w:rsidRPr="00DE59C2">
        <w:rPr>
          <w:rFonts w:ascii="Times New Roman"/>
          <w:color w:val="000000" w:themeColor="text1"/>
          <w:sz w:val="18"/>
          <w:szCs w:val="18"/>
        </w:rPr>
        <w:t xml:space="preserve"> </w:t>
      </w:r>
    </w:p>
    <w:p w14:paraId="42007AC7" w14:textId="717A62B1" w:rsidR="00624EA0" w:rsidRPr="00DE59C2" w:rsidRDefault="00624EA0" w:rsidP="00624EA0">
      <w:pPr>
        <w:spacing w:after="0" w:line="240" w:lineRule="auto"/>
        <w:rPr>
          <w:rFonts w:ascii="Times New Roman"/>
          <w:color w:val="000000" w:themeColor="text1"/>
          <w:sz w:val="18"/>
          <w:szCs w:val="18"/>
        </w:rPr>
      </w:pPr>
      <w:r w:rsidRPr="00DE59C2">
        <w:rPr>
          <w:rFonts w:ascii="Times New Roman"/>
          <w:color w:val="000000" w:themeColor="text1"/>
          <w:sz w:val="18"/>
          <w:szCs w:val="18"/>
        </w:rPr>
        <w:t>Model B: model A</w:t>
      </w:r>
      <w:r w:rsidR="00B37D9A" w:rsidRPr="00DE59C2">
        <w:rPr>
          <w:rFonts w:ascii="Times New Roman"/>
          <w:color w:val="000000" w:themeColor="text1"/>
          <w:sz w:val="18"/>
          <w:szCs w:val="18"/>
        </w:rPr>
        <w:t xml:space="preserve"> </w:t>
      </w:r>
      <w:r w:rsidRPr="00DE59C2">
        <w:rPr>
          <w:rFonts w:ascii="Times New Roman"/>
          <w:color w:val="000000" w:themeColor="text1"/>
          <w:sz w:val="18"/>
          <w:szCs w:val="18"/>
        </w:rPr>
        <w:t>+ further adjusted for dietary covariates (intakes of total energy, potassium, calcium, magnesium, and sodium)</w:t>
      </w:r>
      <w:r w:rsidR="00AE2C48" w:rsidRPr="00DE59C2">
        <w:rPr>
          <w:rFonts w:ascii="Times New Roman"/>
          <w:color w:val="000000" w:themeColor="text1"/>
          <w:sz w:val="18"/>
          <w:szCs w:val="18"/>
        </w:rPr>
        <w:t>.</w:t>
      </w:r>
    </w:p>
    <w:p w14:paraId="2772F225" w14:textId="77777777" w:rsidR="00624EA0" w:rsidRPr="00DE59C2" w:rsidRDefault="00624EA0" w:rsidP="00624EA0">
      <w:pPr>
        <w:rPr>
          <w:color w:val="000000" w:themeColor="text1"/>
        </w:rPr>
      </w:pPr>
    </w:p>
    <w:p w14:paraId="7FC044B6" w14:textId="77777777" w:rsidR="00624EA0" w:rsidRPr="00DE59C2" w:rsidRDefault="00624EA0" w:rsidP="007D02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190111" w14:textId="77777777" w:rsidR="00624EA0" w:rsidRPr="00DE59C2" w:rsidRDefault="00624EA0" w:rsidP="007D02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AA1E5" w14:textId="6F739470" w:rsidR="00883BDA" w:rsidRPr="00DE59C2" w:rsidRDefault="00AA0791" w:rsidP="007D0249">
      <w:pPr>
        <w:spacing w:line="360" w:lineRule="auto"/>
        <w:rPr>
          <w:rFonts w:ascii="Times New Roman"/>
          <w:color w:val="000000" w:themeColor="text1"/>
          <w:sz w:val="24"/>
        </w:rPr>
      </w:pP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</w:t>
      </w:r>
      <w:r w:rsidR="00AA6020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upplemental</w:t>
      </w:r>
      <w:r w:rsidR="00C73B57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AA6020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able</w:t>
      </w:r>
      <w:r w:rsidR="00890DDC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3B57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624EA0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E4F8D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1E75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Physical condition</w:t>
      </w:r>
      <w:r w:rsidR="004166A6" w:rsidRPr="00DE59C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CF1E75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djusted odds ratio (OR) of hypertension </w:t>
      </w:r>
      <w:r w:rsidR="007D58FC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D58FC" w:rsidRPr="00DE59C2">
        <w:rPr>
          <w:rFonts w:ascii="Times New Roman" w:hint="eastAsia"/>
          <w:color w:val="000000" w:themeColor="text1"/>
          <w:sz w:val="24"/>
        </w:rPr>
        <w:t xml:space="preserve"> </w:t>
      </w:r>
      <w:r w:rsidR="007D58FC" w:rsidRPr="00DE59C2">
        <w:rPr>
          <w:rFonts w:ascii="Times New Roman"/>
          <w:color w:val="000000" w:themeColor="text1"/>
          <w:sz w:val="24"/>
        </w:rPr>
        <w:t>pre- and postmenopausal women</w:t>
      </w:r>
      <w:r w:rsidR="007D0249" w:rsidRPr="00DE59C2">
        <w:rPr>
          <w:rFonts w:ascii="Times New Roman"/>
          <w:color w:val="000000" w:themeColor="text1"/>
          <w:sz w:val="24"/>
        </w:rPr>
        <w:t>.</w:t>
      </w:r>
    </w:p>
    <w:tbl>
      <w:tblPr>
        <w:tblStyle w:val="a3"/>
        <w:tblpPr w:leftFromText="142" w:rightFromText="142" w:vertAnchor="page" w:horzAnchor="margin" w:tblpY="2791"/>
        <w:tblW w:w="13368" w:type="dxa"/>
        <w:tblLayout w:type="fixed"/>
        <w:tblLook w:val="04A0" w:firstRow="1" w:lastRow="0" w:firstColumn="1" w:lastColumn="0" w:noHBand="0" w:noVBand="1"/>
      </w:tblPr>
      <w:tblGrid>
        <w:gridCol w:w="3009"/>
        <w:gridCol w:w="2615"/>
        <w:gridCol w:w="1038"/>
        <w:gridCol w:w="1428"/>
        <w:gridCol w:w="361"/>
        <w:gridCol w:w="2337"/>
        <w:gridCol w:w="1034"/>
        <w:gridCol w:w="1546"/>
      </w:tblGrid>
      <w:tr w:rsidR="00DE59C2" w:rsidRPr="00DE59C2" w14:paraId="253213B0" w14:textId="77777777" w:rsidTr="00564866">
        <w:trPr>
          <w:trHeight w:val="458"/>
        </w:trPr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1BB49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Variables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ACB57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2A87B122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327BD" w14:textId="77777777" w:rsidR="00D26FD5" w:rsidRPr="00DE59C2" w:rsidRDefault="00D26FD5" w:rsidP="00EA7F85">
            <w:pPr>
              <w:jc w:val="center"/>
              <w:rPr>
                <w:rFonts w:ascii="Times New Roman"/>
                <w:color w:val="000000" w:themeColor="text1"/>
                <w:sz w:val="24"/>
                <w:vertAlign w:val="superscript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Total 25(OH)D</w:t>
            </w:r>
          </w:p>
          <w:p w14:paraId="383854F4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FDF91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0B018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22004A35" w14:textId="77777777" w:rsidR="00D26FD5" w:rsidRPr="00DE59C2" w:rsidRDefault="00D26FD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A3A8" w14:textId="77777777" w:rsidR="00D26FD5" w:rsidRPr="00DE59C2" w:rsidRDefault="00EA7F85" w:rsidP="00EA7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25(OH)D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bscript"/>
              </w:rPr>
              <w:t>3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(nmol/L)</w:t>
            </w:r>
          </w:p>
        </w:tc>
      </w:tr>
      <w:tr w:rsidR="00DE59C2" w:rsidRPr="00DE59C2" w14:paraId="75A19325" w14:textId="77777777" w:rsidTr="00564866">
        <w:trPr>
          <w:trHeight w:val="458"/>
        </w:trPr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A0E80" w14:textId="0EE15AA3" w:rsidR="00D26FD5" w:rsidRPr="00DE59C2" w:rsidRDefault="00D26FD5" w:rsidP="00883BD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Premenopausal women (n=2098)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AF1E9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F2DF9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35104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80310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A32E9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FF407" w14:textId="77777777" w:rsidR="00D26FD5" w:rsidRPr="00DE59C2" w:rsidRDefault="00D26FD5" w:rsidP="00883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4B040E71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F424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&lt;30 (deficient)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F31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49/238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071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8EC5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EE0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B52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64/292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7A3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92C2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</w:tr>
      <w:tr w:rsidR="00DE59C2" w:rsidRPr="00DE59C2" w14:paraId="1A14A377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E974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30~49.99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F04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113/586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348C" w14:textId="77777777" w:rsidR="00624EA0" w:rsidRPr="00DE59C2" w:rsidRDefault="00624EA0" w:rsidP="00624EA0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1.43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C28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0.88, 1.48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0BC2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E81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107/605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B9A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1.15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532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0.77, 1.71</w:t>
            </w:r>
          </w:p>
        </w:tc>
      </w:tr>
      <w:tr w:rsidR="00DE59C2" w:rsidRPr="00DE59C2" w14:paraId="3326A736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D5F6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0E0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166/1274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8C84" w14:textId="77777777" w:rsidR="00624EA0" w:rsidRPr="00DE59C2" w:rsidRDefault="00624EA0" w:rsidP="00624EA0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0.91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6E5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0.56, 1.48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810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FAC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157/1201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BEC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606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0.47, 1.35</w:t>
            </w:r>
          </w:p>
        </w:tc>
      </w:tr>
      <w:tr w:rsidR="00DE59C2" w:rsidRPr="00DE59C2" w14:paraId="74FD184B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9A140" w14:textId="7E694BCF" w:rsidR="00624EA0" w:rsidRPr="00DE59C2" w:rsidRDefault="007D3CEA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-value for trend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BFDE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83EE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0.180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7E9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EE2C89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713B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0.205</w:t>
            </w:r>
          </w:p>
        </w:tc>
      </w:tr>
      <w:tr w:rsidR="00DE59C2" w:rsidRPr="00DE59C2" w14:paraId="2E85E837" w14:textId="77777777" w:rsidTr="00564866">
        <w:trPr>
          <w:trHeight w:val="458"/>
        </w:trPr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DEF9" w14:textId="765EDA1B" w:rsidR="00624EA0" w:rsidRPr="00DE59C2" w:rsidRDefault="00624EA0" w:rsidP="00624EA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Postmenopausal women (n=2298)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B55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F3D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4BE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A76E41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1913E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850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53AB48BC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4B10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&lt;30 (deficient)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90C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142/195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3F0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628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FE02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5D3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223/309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82D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0C3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</w:tr>
      <w:tr w:rsidR="00DE59C2" w:rsidRPr="00DE59C2" w14:paraId="23001012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3B52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30~49.99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AAF9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328/505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6A43" w14:textId="77777777" w:rsidR="00624EA0" w:rsidRPr="00DE59C2" w:rsidRDefault="00624EA0" w:rsidP="00624EA0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0.82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5DC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0.52, 1.31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FD2D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693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365/562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13C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0.94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02E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0.59, 1.49</w:t>
            </w:r>
          </w:p>
        </w:tc>
      </w:tr>
      <w:tr w:rsidR="00DE59C2" w:rsidRPr="00DE59C2" w14:paraId="0CD5F727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5170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19C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1003/1598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4DFF" w14:textId="77777777" w:rsidR="00624EA0" w:rsidRPr="00DE59C2" w:rsidRDefault="00624EA0" w:rsidP="00624EA0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1.00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113E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0.64, 1.5</w:t>
            </w: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ED0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8E8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885/1427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270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1.06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87B7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0.76, 1.46</w:t>
            </w:r>
          </w:p>
        </w:tc>
      </w:tr>
      <w:tr w:rsidR="00DE59C2" w:rsidRPr="00DE59C2" w14:paraId="0D1E4891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4200" w14:textId="74983886" w:rsidR="00624EA0" w:rsidRPr="00DE59C2" w:rsidRDefault="007D3CEA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-value for trend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C1A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303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0.456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184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A4D35A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134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0.447</w:t>
            </w:r>
          </w:p>
        </w:tc>
      </w:tr>
      <w:tr w:rsidR="00DE59C2" w:rsidRPr="00DE59C2" w14:paraId="3944E8CC" w14:textId="77777777" w:rsidTr="00564866">
        <w:trPr>
          <w:trHeight w:val="458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2A31D" w14:textId="13D04E3C" w:rsidR="00624EA0" w:rsidRPr="00DE59C2" w:rsidRDefault="007D3CEA" w:rsidP="00624EA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-value for interaction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8717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5CB9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FD59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1E01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FA5B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0.151</w:t>
            </w:r>
          </w:p>
        </w:tc>
      </w:tr>
    </w:tbl>
    <w:p w14:paraId="23A39DFF" w14:textId="77777777" w:rsidR="00883BDA" w:rsidRPr="00DE59C2" w:rsidRDefault="00883BDA" w:rsidP="00057AA1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6F108D7" w14:textId="77777777" w:rsidR="00EA7F85" w:rsidRPr="00DE59C2" w:rsidRDefault="00EA7F85" w:rsidP="00EA7F8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p w14:paraId="77ED0BB3" w14:textId="2FE2352C" w:rsidR="00D26FD5" w:rsidRPr="00DE59C2" w:rsidRDefault="00D26FD5" w:rsidP="00EA7F8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0.05, </w:t>
      </w:r>
      <w:r w:rsidRPr="00DE59C2">
        <w:rPr>
          <w:rFonts w:ascii="Times New Roman" w:eastAsia="맑은 고딕" w:hAnsi="Times New Roman" w:cs="Times New Roman"/>
          <w:color w:val="000000" w:themeColor="text1"/>
          <w:sz w:val="18"/>
          <w:szCs w:val="18"/>
          <w:vertAlign w:val="superscript"/>
        </w:rPr>
        <w:t>†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0.1 compared with reference group</w:t>
      </w:r>
      <w:r w:rsidR="00B37D9A"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(vitamin concentrations &lt;30 nmol/L).</w:t>
      </w:r>
      <w:r w:rsidRPr="00DE59C2" w:rsidDel="00D26F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5BE6CBEF" w14:textId="77777777" w:rsidR="004166A6" w:rsidRPr="00DE59C2" w:rsidRDefault="008A3794" w:rsidP="007D58FC">
      <w:pPr>
        <w:spacing w:after="0" w:line="240" w:lineRule="auto"/>
        <w:rPr>
          <w:rFonts w:ascii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These models were adjusted for age, race/ethnicity, education, </w:t>
      </w:r>
      <w:r w:rsidRPr="00DE59C2">
        <w:rPr>
          <w:rFonts w:ascii="Times New Roman"/>
          <w:color w:val="000000" w:themeColor="text1"/>
          <w:sz w:val="18"/>
          <w:szCs w:val="18"/>
        </w:rPr>
        <w:t>season of examination, physical activity, alcohol consumption, smoking status, dietary covariates</w:t>
      </w:r>
      <w:r w:rsidR="000B267B" w:rsidRPr="00DE59C2">
        <w:rPr>
          <w:rFonts w:ascii="Times New Roman"/>
          <w:color w:val="000000" w:themeColor="text1"/>
          <w:sz w:val="18"/>
          <w:szCs w:val="18"/>
        </w:rPr>
        <w:t xml:space="preserve">, </w:t>
      </w:r>
      <w:r w:rsidR="007D58FC" w:rsidRPr="00DE59C2">
        <w:rPr>
          <w:rFonts w:ascii="Times New Roman"/>
          <w:color w:val="000000" w:themeColor="text1"/>
          <w:sz w:val="18"/>
          <w:szCs w:val="18"/>
        </w:rPr>
        <w:t xml:space="preserve">height, weight, diabetes, hormone therapy, </w:t>
      </w:r>
      <w:r w:rsidRPr="00DE59C2">
        <w:rPr>
          <w:rFonts w:ascii="Times New Roman"/>
          <w:color w:val="000000" w:themeColor="text1"/>
          <w:sz w:val="18"/>
          <w:szCs w:val="18"/>
        </w:rPr>
        <w:t xml:space="preserve">and </w:t>
      </w:r>
      <w:r w:rsidR="007D58FC" w:rsidRPr="00DE59C2">
        <w:rPr>
          <w:rFonts w:ascii="Times New Roman"/>
          <w:color w:val="000000" w:themeColor="text1"/>
          <w:sz w:val="18"/>
          <w:szCs w:val="18"/>
        </w:rPr>
        <w:t>use of birth-control pills</w:t>
      </w:r>
      <w:r w:rsidR="00FB4ED7" w:rsidRPr="00DE59C2">
        <w:rPr>
          <w:rFonts w:ascii="Times New Roman"/>
          <w:color w:val="000000" w:themeColor="text1"/>
          <w:sz w:val="18"/>
          <w:szCs w:val="18"/>
        </w:rPr>
        <w:t>.</w:t>
      </w:r>
    </w:p>
    <w:p w14:paraId="402A7E0B" w14:textId="77777777" w:rsidR="00AD19B9" w:rsidRPr="00DE59C2" w:rsidRDefault="00AD19B9" w:rsidP="00896125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24D41" w14:textId="77777777" w:rsidR="00AD19B9" w:rsidRPr="00DE59C2" w:rsidRDefault="00AD19B9" w:rsidP="00896125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A879C" w14:textId="77777777" w:rsidR="007D58FC" w:rsidRPr="00DE59C2" w:rsidRDefault="007D58FC" w:rsidP="00896125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C15313" w14:textId="40128001" w:rsidR="00AD19B9" w:rsidRPr="00DE59C2" w:rsidRDefault="00AD19B9" w:rsidP="007D0249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Supplemental </w:t>
      </w:r>
      <w:r w:rsidR="00C73B57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</w:t>
      </w:r>
      <w:r w:rsidR="00624EA0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E4F8D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1E75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CRP</w:t>
      </w:r>
      <w:r w:rsidR="00CF1E75" w:rsidRPr="00DE5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F1E75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djusted odds ratio (OR) of hypertension </w:t>
      </w:r>
      <w:r w:rsidR="007D58FC" w:rsidRPr="00DE59C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D58FC" w:rsidRPr="00DE59C2">
        <w:rPr>
          <w:rFonts w:ascii="Times New Roman" w:hint="eastAsia"/>
          <w:color w:val="000000" w:themeColor="text1"/>
          <w:sz w:val="24"/>
        </w:rPr>
        <w:t xml:space="preserve"> </w:t>
      </w:r>
      <w:r w:rsidR="007D58FC" w:rsidRPr="00DE59C2">
        <w:rPr>
          <w:rFonts w:ascii="Times New Roman"/>
          <w:color w:val="000000" w:themeColor="text1"/>
          <w:sz w:val="24"/>
        </w:rPr>
        <w:t>pre- and postmenopausal wome</w:t>
      </w:r>
      <w:r w:rsidR="006E5EBC" w:rsidRPr="00DE59C2">
        <w:rPr>
          <w:rFonts w:ascii="Times New Roman"/>
          <w:color w:val="000000" w:themeColor="text1"/>
          <w:sz w:val="24"/>
        </w:rPr>
        <w:t>n</w:t>
      </w:r>
      <w:r w:rsidR="007D0249" w:rsidRPr="00DE59C2">
        <w:rPr>
          <w:rFonts w:ascii="Times New Roman"/>
          <w:color w:val="000000" w:themeColor="text1"/>
          <w:sz w:val="24"/>
        </w:rPr>
        <w:t>.</w:t>
      </w:r>
    </w:p>
    <w:p w14:paraId="189CCCDB" w14:textId="77777777" w:rsidR="003833DE" w:rsidRPr="00DE59C2" w:rsidRDefault="003833DE" w:rsidP="003833DE">
      <w:pPr>
        <w:spacing w:after="0" w:line="240" w:lineRule="auto"/>
        <w:ind w:firstLineChars="800" w:firstLine="1440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tbl>
      <w:tblPr>
        <w:tblStyle w:val="a3"/>
        <w:tblpPr w:leftFromText="142" w:rightFromText="142" w:vertAnchor="page" w:horzAnchor="margin" w:tblpY="2836"/>
        <w:tblW w:w="13481" w:type="dxa"/>
        <w:tblLook w:val="04A0" w:firstRow="1" w:lastRow="0" w:firstColumn="1" w:lastColumn="0" w:noHBand="0" w:noVBand="1"/>
      </w:tblPr>
      <w:tblGrid>
        <w:gridCol w:w="2560"/>
        <w:gridCol w:w="2182"/>
        <w:gridCol w:w="1490"/>
        <w:gridCol w:w="1660"/>
        <w:gridCol w:w="373"/>
        <w:gridCol w:w="2207"/>
        <w:gridCol w:w="1434"/>
        <w:gridCol w:w="1575"/>
      </w:tblGrid>
      <w:tr w:rsidR="00DE59C2" w:rsidRPr="00DE59C2" w14:paraId="2092BA9D" w14:textId="77777777" w:rsidTr="00564866">
        <w:trPr>
          <w:trHeight w:val="495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BB5F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Variables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FA3D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03AE097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CD159" w14:textId="77777777" w:rsidR="00624EA0" w:rsidRPr="00DE59C2" w:rsidRDefault="00624EA0" w:rsidP="00624EA0">
            <w:pPr>
              <w:jc w:val="center"/>
              <w:rPr>
                <w:rFonts w:ascii="Times New Roman"/>
                <w:color w:val="000000" w:themeColor="text1"/>
                <w:sz w:val="24"/>
                <w:vertAlign w:val="superscript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Total 25(OH)D</w:t>
            </w:r>
            <w:r w:rsidRPr="00DE59C2">
              <w:rPr>
                <w:rFonts w:ascii="Times New Roman"/>
                <w:color w:val="000000" w:themeColor="text1"/>
                <w:sz w:val="24"/>
                <w:vertAlign w:val="superscript"/>
              </w:rPr>
              <w:t>1</w:t>
            </w:r>
          </w:p>
          <w:p w14:paraId="6EE81DFE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3913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77D4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No. HTN</w:t>
            </w:r>
          </w:p>
          <w:p w14:paraId="170E7F9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/ No. participants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07E92" w14:textId="77777777" w:rsidR="00624EA0" w:rsidRPr="00DE59C2" w:rsidRDefault="00624EA0" w:rsidP="00624EA0">
            <w:pPr>
              <w:ind w:firstLineChars="400" w:firstLine="880"/>
              <w:rPr>
                <w:rFonts w:ascii="Times New Roman"/>
                <w:color w:val="000000" w:themeColor="text1"/>
                <w:sz w:val="24"/>
                <w:vertAlign w:val="superscript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25(OH)D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bscript"/>
              </w:rPr>
              <w:t>3</w:t>
            </w:r>
            <w:r w:rsidRPr="00DE59C2">
              <w:rPr>
                <w:rFonts w:ascii="Times New Roman"/>
                <w:color w:val="000000" w:themeColor="text1"/>
                <w:sz w:val="24"/>
                <w:vertAlign w:val="superscript"/>
              </w:rPr>
              <w:t>1</w:t>
            </w:r>
          </w:p>
          <w:p w14:paraId="1F4476EA" w14:textId="77777777" w:rsidR="00624EA0" w:rsidRPr="00DE59C2" w:rsidRDefault="00624EA0" w:rsidP="00624EA0">
            <w:pPr>
              <w:ind w:firstLineChars="400" w:firstLine="88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(nmol/L)</w:t>
            </w:r>
          </w:p>
        </w:tc>
      </w:tr>
      <w:tr w:rsidR="00DE59C2" w:rsidRPr="00DE59C2" w14:paraId="49509F4F" w14:textId="77777777" w:rsidTr="00564866">
        <w:trPr>
          <w:trHeight w:val="495"/>
        </w:trPr>
        <w:tc>
          <w:tcPr>
            <w:tcW w:w="4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DD714" w14:textId="2F9D3BA0" w:rsidR="00624EA0" w:rsidRPr="00DE59C2" w:rsidRDefault="00624EA0" w:rsidP="00624EA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Premenopausal women (n=2097)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0DD0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C295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9BEC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799A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F581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346D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45C0A44D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4E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&lt;30 (deficient)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997A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49/238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C8B6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DF505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968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D7D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64/291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42C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45E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</w:tr>
      <w:tr w:rsidR="00DE59C2" w:rsidRPr="00DE59C2" w14:paraId="6164E3EE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F677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30~49.99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AFA8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113/586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3D27" w14:textId="77777777" w:rsidR="00624EA0" w:rsidRPr="00DE59C2" w:rsidRDefault="00624EA0" w:rsidP="00624EA0">
            <w:pPr>
              <w:ind w:firstLineChars="150" w:firstLine="33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EF1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0.79, 2.06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0ACF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5B60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107/605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730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1.03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702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0.70, 1.51</w:t>
            </w:r>
          </w:p>
        </w:tc>
      </w:tr>
      <w:tr w:rsidR="00DE59C2" w:rsidRPr="00DE59C2" w14:paraId="3F12B940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1825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4452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166/1273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C173" w14:textId="77777777" w:rsidR="00624EA0" w:rsidRPr="00DE59C2" w:rsidRDefault="00624EA0" w:rsidP="00624EA0">
            <w:pPr>
              <w:ind w:firstLineChars="150" w:firstLine="33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0.71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337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0.45, 1.14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47A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7DB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157/1201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1AE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0.62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74C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0.37, 1.05</w:t>
            </w:r>
            <w:r w:rsidRPr="00DE59C2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DE59C2" w:rsidRPr="00DE59C2" w14:paraId="54E29A67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9B60" w14:textId="348CF82A" w:rsidR="00624EA0" w:rsidRPr="00DE59C2" w:rsidRDefault="007D3CEA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-value for trend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848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C99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0.019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A50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DAB5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3CAE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0.028</w:t>
            </w:r>
          </w:p>
        </w:tc>
      </w:tr>
      <w:tr w:rsidR="00DE59C2" w:rsidRPr="00DE59C2" w14:paraId="030CA369" w14:textId="77777777" w:rsidTr="00564866">
        <w:trPr>
          <w:trHeight w:val="495"/>
        </w:trPr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4E4B" w14:textId="3E052EE2" w:rsidR="00624EA0" w:rsidRPr="00DE59C2" w:rsidRDefault="00624EA0" w:rsidP="00624EA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Postmenopausal women (n=2297)</w:t>
            </w: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43CE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DDE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876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F8D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578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ABF5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E59C2" w:rsidRPr="00DE59C2" w14:paraId="0B7D011B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989D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&lt;30 (deficient)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C6BA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142/195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802A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971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F056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F1529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223/309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B072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C421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Ref.</w:t>
            </w:r>
          </w:p>
        </w:tc>
      </w:tr>
      <w:tr w:rsidR="00DE59C2" w:rsidRPr="00DE59C2" w14:paraId="253D3F74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177D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</w:rPr>
              <w:t>30~49.99 (</w:t>
            </w:r>
            <w:r w:rsidRPr="00DE59C2">
              <w:rPr>
                <w:rFonts w:ascii="Times New Roman" w:hAnsi="Times New Roman" w:cs="Times New Roman" w:hint="eastAsia"/>
                <w:color w:val="000000" w:themeColor="text1"/>
              </w:rPr>
              <w:t>insufficient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1F67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328/505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2E30" w14:textId="77777777" w:rsidR="00624EA0" w:rsidRPr="00DE59C2" w:rsidRDefault="00624EA0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C421" w14:textId="77777777" w:rsidR="00624EA0" w:rsidRPr="00DE59C2" w:rsidRDefault="00624EA0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0.45, 1.06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9CD8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707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365/562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A6D2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0.81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6EE5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0.52, 1.25</w:t>
            </w:r>
          </w:p>
        </w:tc>
      </w:tr>
      <w:tr w:rsidR="00DE59C2" w:rsidRPr="00DE59C2" w14:paraId="00827E9A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0D13" w14:textId="77777777" w:rsidR="00624EA0" w:rsidRPr="00DE59C2" w:rsidRDefault="00624EA0" w:rsidP="00624EA0">
            <w:pPr>
              <w:ind w:firstLineChars="100" w:firstLine="200"/>
              <w:rPr>
                <w:rFonts w:ascii="Times New Roman" w:hAnsi="Times New Roman" w:cs="Times New Roman"/>
                <w:color w:val="000000" w:themeColor="text1"/>
              </w:rPr>
            </w:pPr>
            <w:r w:rsidRPr="00DE59C2">
              <w:rPr>
                <w:rFonts w:ascii="Times New Roman" w:eastAsia="맑은 고딕" w:hAnsi="Times New Roman" w:cs="Times New Roman" w:hint="eastAsia"/>
                <w:color w:val="000000" w:themeColor="text1"/>
              </w:rPr>
              <w:t>≥</w:t>
            </w:r>
            <w:r w:rsidRPr="00DE59C2">
              <w:rPr>
                <w:rFonts w:ascii="Times New Roman" w:hAnsi="Times New Roman" w:cs="Times New Roman"/>
                <w:color w:val="000000" w:themeColor="text1"/>
              </w:rPr>
              <w:t>50 (sufficient)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53C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1002/1597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5315" w14:textId="77777777" w:rsidR="00624EA0" w:rsidRPr="00DE59C2" w:rsidRDefault="00624EA0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0E0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0.48, 1.12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856E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80B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884/1426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99D8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0.80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BC61" w14:textId="77777777" w:rsidR="00624EA0" w:rsidRPr="00DE59C2" w:rsidRDefault="00624EA0" w:rsidP="00624EA0">
            <w:pPr>
              <w:ind w:firstLineChars="50" w:firstLine="1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0.58, 1.11</w:t>
            </w:r>
          </w:p>
        </w:tc>
      </w:tr>
      <w:tr w:rsidR="00DE59C2" w:rsidRPr="00DE59C2" w14:paraId="045F9B00" w14:textId="77777777" w:rsidTr="00564866">
        <w:trPr>
          <w:trHeight w:val="4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979D" w14:textId="22B4C303" w:rsidR="00624EA0" w:rsidRPr="00DE59C2" w:rsidRDefault="007D3CEA" w:rsidP="00624EA0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-value for trend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2853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F9F4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0.449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3670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203C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6474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0.201</w:t>
            </w:r>
          </w:p>
        </w:tc>
      </w:tr>
      <w:tr w:rsidR="00DE59C2" w:rsidRPr="00DE59C2" w14:paraId="3B884E2B" w14:textId="77777777" w:rsidTr="00564866">
        <w:trPr>
          <w:trHeight w:val="495"/>
        </w:trPr>
        <w:tc>
          <w:tcPr>
            <w:tcW w:w="4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9EEFE" w14:textId="14EA0469" w:rsidR="00624EA0" w:rsidRPr="00DE59C2" w:rsidRDefault="007D3CEA" w:rsidP="00624EA0"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</w:t>
            </w:r>
            <w:r w:rsidR="00624EA0" w:rsidRPr="00DE59C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-value for interaction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2759D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70517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2356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278E3B" w14:textId="77777777" w:rsidR="00624EA0" w:rsidRPr="00DE59C2" w:rsidRDefault="00624EA0" w:rsidP="00624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E59C2">
              <w:rPr>
                <w:rFonts w:ascii="Times New Roman" w:hAnsi="Times New Roman" w:cs="Times New Roman"/>
                <w:color w:val="000000" w:themeColor="text1"/>
                <w:sz w:val="22"/>
              </w:rPr>
              <w:t>0.126</w:t>
            </w:r>
          </w:p>
        </w:tc>
      </w:tr>
    </w:tbl>
    <w:p w14:paraId="772B8E33" w14:textId="77777777" w:rsidR="00624EA0" w:rsidRPr="00DE59C2" w:rsidRDefault="00624EA0" w:rsidP="007D024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p w14:paraId="5CFB3EC6" w14:textId="67E4720F" w:rsidR="00D26FD5" w:rsidRPr="00DE59C2" w:rsidRDefault="00D26FD5" w:rsidP="007D024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0.01, 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0.05, </w:t>
      </w:r>
      <w:r w:rsidRPr="00DE59C2">
        <w:rPr>
          <w:rFonts w:ascii="Times New Roman" w:eastAsia="맑은 고딕" w:hAnsi="Times New Roman" w:cs="Times New Roman"/>
          <w:color w:val="000000" w:themeColor="text1"/>
          <w:sz w:val="18"/>
          <w:szCs w:val="18"/>
          <w:vertAlign w:val="superscript"/>
        </w:rPr>
        <w:t>†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P&lt; 0.1 compared with reference group</w:t>
      </w:r>
      <w:r w:rsidR="00B37D9A"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(vitamin concentrations &lt;30 nmol/L).</w:t>
      </w:r>
      <w:r w:rsidRPr="00DE59C2" w:rsidDel="00D26F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DA422B3" w14:textId="77777777" w:rsidR="008A3794" w:rsidRPr="00DE59C2" w:rsidRDefault="008A3794" w:rsidP="008A379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59C2">
        <w:rPr>
          <w:rFonts w:ascii="Times New Roman" w:hAnsi="Times New Roman" w:cs="Times New Roman"/>
          <w:b/>
          <w:color w:val="000000" w:themeColor="text1"/>
          <w:sz w:val="18"/>
          <w:szCs w:val="18"/>
          <w:vertAlign w:val="superscript"/>
        </w:rPr>
        <w:t>1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These models were adjusted for age, race/ethnicity, education, </w:t>
      </w:r>
      <w:r w:rsidRPr="00DE59C2">
        <w:rPr>
          <w:rFonts w:ascii="Times New Roman"/>
          <w:color w:val="000000" w:themeColor="text1"/>
          <w:sz w:val="18"/>
          <w:szCs w:val="18"/>
        </w:rPr>
        <w:t>season of examination, physical activity, alcohol consumption, smoking status, dietary covariates</w:t>
      </w:r>
      <w:r w:rsidR="006E5EBC" w:rsidRPr="00DE59C2">
        <w:rPr>
          <w:rFonts w:ascii="Times New Roman"/>
          <w:color w:val="000000" w:themeColor="text1"/>
          <w:sz w:val="18"/>
          <w:szCs w:val="18"/>
        </w:rPr>
        <w:t>,</w:t>
      </w:r>
      <w:r w:rsidRPr="00DE59C2">
        <w:rPr>
          <w:rFonts w:ascii="Times New Roman"/>
          <w:color w:val="000000" w:themeColor="text1"/>
          <w:sz w:val="18"/>
          <w:szCs w:val="18"/>
        </w:rPr>
        <w:t xml:space="preserve"> and serum CRP concentra</w:t>
      </w:r>
      <w:r w:rsidR="003833DE" w:rsidRPr="00DE59C2">
        <w:rPr>
          <w:rFonts w:ascii="Times New Roman"/>
          <w:color w:val="000000" w:themeColor="text1"/>
          <w:sz w:val="18"/>
          <w:szCs w:val="18"/>
        </w:rPr>
        <w:t>t</w:t>
      </w:r>
      <w:r w:rsidRPr="00DE59C2">
        <w:rPr>
          <w:rFonts w:ascii="Times New Roman"/>
          <w:color w:val="000000" w:themeColor="text1"/>
          <w:sz w:val="18"/>
          <w:szCs w:val="18"/>
        </w:rPr>
        <w:t>ions.</w:t>
      </w:r>
    </w:p>
    <w:p w14:paraId="0CD3EEAB" w14:textId="77777777" w:rsidR="00624EA0" w:rsidRPr="00DE59C2" w:rsidRDefault="000B267B" w:rsidP="00896125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9C2">
        <w:rPr>
          <w:rFonts w:ascii="Times New Roman" w:hAnsi="Times New Roman" w:cs="Times New Roman"/>
          <w:b/>
          <w:color w:val="000000" w:themeColor="text1"/>
          <w:sz w:val="18"/>
          <w:szCs w:val="18"/>
          <w:vertAlign w:val="superscript"/>
        </w:rPr>
        <w:t>2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>Data for these analyses (n=4394) excluded women who with missing information on serum CRP concentra</w:t>
      </w:r>
      <w:r w:rsidR="00A907FE"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Pr="00DE59C2">
        <w:rPr>
          <w:rFonts w:ascii="Times New Roman" w:hAnsi="Times New Roman" w:cs="Times New Roman"/>
          <w:color w:val="000000" w:themeColor="text1"/>
          <w:sz w:val="18"/>
          <w:szCs w:val="18"/>
        </w:rPr>
        <w:t>ions.</w:t>
      </w:r>
      <w:r w:rsidR="00EC0947" w:rsidRPr="00DE59C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bookmarkEnd w:id="0"/>
    </w:p>
    <w:sectPr w:rsidR="00624EA0" w:rsidRPr="00DE59C2" w:rsidSect="00FA128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1917E" w14:textId="77777777" w:rsidR="007B647E" w:rsidRDefault="007B647E" w:rsidP="00E22ABB">
      <w:pPr>
        <w:spacing w:after="0" w:line="240" w:lineRule="auto"/>
      </w:pPr>
      <w:r>
        <w:separator/>
      </w:r>
    </w:p>
  </w:endnote>
  <w:endnote w:type="continuationSeparator" w:id="0">
    <w:p w14:paraId="5F1B8856" w14:textId="77777777" w:rsidR="007B647E" w:rsidRDefault="007B647E" w:rsidP="00E2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2E3E6" w14:textId="77777777" w:rsidR="007B647E" w:rsidRDefault="007B647E" w:rsidP="00E22ABB">
      <w:pPr>
        <w:spacing w:after="0" w:line="240" w:lineRule="auto"/>
      </w:pPr>
      <w:r>
        <w:separator/>
      </w:r>
    </w:p>
  </w:footnote>
  <w:footnote w:type="continuationSeparator" w:id="0">
    <w:p w14:paraId="0DF9E305" w14:textId="77777777" w:rsidR="007B647E" w:rsidRDefault="007B647E" w:rsidP="00E2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562"/>
    <w:multiLevelType w:val="multilevel"/>
    <w:tmpl w:val="25882A32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A00348"/>
    <w:multiLevelType w:val="hybridMultilevel"/>
    <w:tmpl w:val="C2B88C6C"/>
    <w:lvl w:ilvl="0" w:tplc="D52EC61C">
      <w:start w:val="1"/>
      <w:numFmt w:val="bullet"/>
      <w:lvlText w:val=""/>
      <w:lvlJc w:val="left"/>
      <w:pPr>
        <w:ind w:left="468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2" w15:restartNumberingAfterBreak="0">
    <w:nsid w:val="1BF6557F"/>
    <w:multiLevelType w:val="hybridMultilevel"/>
    <w:tmpl w:val="18B2C7A4"/>
    <w:lvl w:ilvl="0" w:tplc="BD3ACAF0">
      <w:numFmt w:val="bullet"/>
      <w:lvlText w:val=""/>
      <w:lvlJc w:val="left"/>
      <w:pPr>
        <w:ind w:left="153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00"/>
      </w:pPr>
      <w:rPr>
        <w:rFonts w:ascii="Wingdings" w:hAnsi="Wingdings" w:hint="default"/>
      </w:rPr>
    </w:lvl>
  </w:abstractNum>
  <w:abstractNum w:abstractNumId="3" w15:restartNumberingAfterBreak="0">
    <w:nsid w:val="1D1F6E79"/>
    <w:multiLevelType w:val="hybridMultilevel"/>
    <w:tmpl w:val="204098D6"/>
    <w:lvl w:ilvl="0" w:tplc="02F826E8">
      <w:start w:val="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7819E2"/>
    <w:multiLevelType w:val="hybridMultilevel"/>
    <w:tmpl w:val="389C46C4"/>
    <w:lvl w:ilvl="0" w:tplc="4A121E3C">
      <w:numFmt w:val="bullet"/>
      <w:lvlText w:val=""/>
      <w:lvlJc w:val="left"/>
      <w:pPr>
        <w:ind w:left="468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 w15:restartNumberingAfterBreak="0">
    <w:nsid w:val="37545011"/>
    <w:multiLevelType w:val="multilevel"/>
    <w:tmpl w:val="C6E6D752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C637C1E"/>
    <w:multiLevelType w:val="hybridMultilevel"/>
    <w:tmpl w:val="6D54C004"/>
    <w:lvl w:ilvl="0" w:tplc="3DA2EF5E">
      <w:start w:val="1"/>
      <w:numFmt w:val="bullet"/>
      <w:lvlText w:val=""/>
      <w:lvlJc w:val="left"/>
      <w:pPr>
        <w:ind w:left="468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7" w15:restartNumberingAfterBreak="0">
    <w:nsid w:val="767B0CA9"/>
    <w:multiLevelType w:val="multilevel"/>
    <w:tmpl w:val="A9EA06B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5"/>
    <w:rsid w:val="0000029F"/>
    <w:rsid w:val="00001208"/>
    <w:rsid w:val="00001759"/>
    <w:rsid w:val="0001681A"/>
    <w:rsid w:val="000228B2"/>
    <w:rsid w:val="00036792"/>
    <w:rsid w:val="000450F2"/>
    <w:rsid w:val="00045E5A"/>
    <w:rsid w:val="00057AA1"/>
    <w:rsid w:val="000652B0"/>
    <w:rsid w:val="000728EA"/>
    <w:rsid w:val="00072A25"/>
    <w:rsid w:val="00072EAB"/>
    <w:rsid w:val="000825C6"/>
    <w:rsid w:val="00090C9F"/>
    <w:rsid w:val="00092756"/>
    <w:rsid w:val="000978E8"/>
    <w:rsid w:val="000A4637"/>
    <w:rsid w:val="000A5246"/>
    <w:rsid w:val="000B267B"/>
    <w:rsid w:val="000B578F"/>
    <w:rsid w:val="000D6080"/>
    <w:rsid w:val="000E2C59"/>
    <w:rsid w:val="000E422E"/>
    <w:rsid w:val="000F01A9"/>
    <w:rsid w:val="000F252F"/>
    <w:rsid w:val="000F3D76"/>
    <w:rsid w:val="00103614"/>
    <w:rsid w:val="00103CBE"/>
    <w:rsid w:val="001209C3"/>
    <w:rsid w:val="00124D7A"/>
    <w:rsid w:val="0012502E"/>
    <w:rsid w:val="00132DD5"/>
    <w:rsid w:val="00136D6E"/>
    <w:rsid w:val="00137AA1"/>
    <w:rsid w:val="00146825"/>
    <w:rsid w:val="00147A50"/>
    <w:rsid w:val="001619F5"/>
    <w:rsid w:val="0016212A"/>
    <w:rsid w:val="00165CAC"/>
    <w:rsid w:val="001809FF"/>
    <w:rsid w:val="001A3B15"/>
    <w:rsid w:val="001A3B2A"/>
    <w:rsid w:val="001C442C"/>
    <w:rsid w:val="001C5393"/>
    <w:rsid w:val="001D06E2"/>
    <w:rsid w:val="001D4B20"/>
    <w:rsid w:val="001E5EBC"/>
    <w:rsid w:val="001E6FF0"/>
    <w:rsid w:val="001F0FB5"/>
    <w:rsid w:val="001F5345"/>
    <w:rsid w:val="001F5C7C"/>
    <w:rsid w:val="002314E6"/>
    <w:rsid w:val="0023301E"/>
    <w:rsid w:val="00237717"/>
    <w:rsid w:val="0024077E"/>
    <w:rsid w:val="002474D9"/>
    <w:rsid w:val="002578C1"/>
    <w:rsid w:val="00265199"/>
    <w:rsid w:val="00293BEF"/>
    <w:rsid w:val="002A4692"/>
    <w:rsid w:val="002B311E"/>
    <w:rsid w:val="002B42FC"/>
    <w:rsid w:val="002C4FA1"/>
    <w:rsid w:val="002D0C81"/>
    <w:rsid w:val="002D3C0B"/>
    <w:rsid w:val="002D417E"/>
    <w:rsid w:val="002D77A5"/>
    <w:rsid w:val="002E0C36"/>
    <w:rsid w:val="002F7178"/>
    <w:rsid w:val="00305ACC"/>
    <w:rsid w:val="00306CF9"/>
    <w:rsid w:val="00307E35"/>
    <w:rsid w:val="003125F1"/>
    <w:rsid w:val="00312C65"/>
    <w:rsid w:val="003300BA"/>
    <w:rsid w:val="00330FD3"/>
    <w:rsid w:val="003374BF"/>
    <w:rsid w:val="003501DD"/>
    <w:rsid w:val="00350915"/>
    <w:rsid w:val="00352128"/>
    <w:rsid w:val="003570C0"/>
    <w:rsid w:val="00357E24"/>
    <w:rsid w:val="00366B15"/>
    <w:rsid w:val="00370CCF"/>
    <w:rsid w:val="00374E22"/>
    <w:rsid w:val="00382F59"/>
    <w:rsid w:val="003833DE"/>
    <w:rsid w:val="003872C2"/>
    <w:rsid w:val="00391C05"/>
    <w:rsid w:val="00394197"/>
    <w:rsid w:val="003B16E1"/>
    <w:rsid w:val="003B7AA6"/>
    <w:rsid w:val="003C09FF"/>
    <w:rsid w:val="003C4905"/>
    <w:rsid w:val="003D4797"/>
    <w:rsid w:val="003E3F60"/>
    <w:rsid w:val="003E42A6"/>
    <w:rsid w:val="003E5060"/>
    <w:rsid w:val="003E774F"/>
    <w:rsid w:val="003F6D12"/>
    <w:rsid w:val="00402636"/>
    <w:rsid w:val="0040729C"/>
    <w:rsid w:val="00407789"/>
    <w:rsid w:val="004166A6"/>
    <w:rsid w:val="00417556"/>
    <w:rsid w:val="004201A6"/>
    <w:rsid w:val="00421888"/>
    <w:rsid w:val="00423CA9"/>
    <w:rsid w:val="00430ACA"/>
    <w:rsid w:val="00433DC7"/>
    <w:rsid w:val="00440808"/>
    <w:rsid w:val="0045450D"/>
    <w:rsid w:val="004612F5"/>
    <w:rsid w:val="00463F0A"/>
    <w:rsid w:val="0047017B"/>
    <w:rsid w:val="00476FDA"/>
    <w:rsid w:val="00486982"/>
    <w:rsid w:val="00487EA2"/>
    <w:rsid w:val="004A0389"/>
    <w:rsid w:val="004A0F72"/>
    <w:rsid w:val="004A1F51"/>
    <w:rsid w:val="004A300E"/>
    <w:rsid w:val="004A3734"/>
    <w:rsid w:val="004A4F4F"/>
    <w:rsid w:val="004A5B03"/>
    <w:rsid w:val="004B0453"/>
    <w:rsid w:val="004B2097"/>
    <w:rsid w:val="004B27ED"/>
    <w:rsid w:val="004B4142"/>
    <w:rsid w:val="004C5F45"/>
    <w:rsid w:val="004C77BF"/>
    <w:rsid w:val="004D139B"/>
    <w:rsid w:val="004D2211"/>
    <w:rsid w:val="004F5634"/>
    <w:rsid w:val="005018FB"/>
    <w:rsid w:val="005145A6"/>
    <w:rsid w:val="0052456F"/>
    <w:rsid w:val="00531E26"/>
    <w:rsid w:val="005352D3"/>
    <w:rsid w:val="00535E9D"/>
    <w:rsid w:val="00540FE2"/>
    <w:rsid w:val="00553620"/>
    <w:rsid w:val="005570D5"/>
    <w:rsid w:val="00564866"/>
    <w:rsid w:val="00564D90"/>
    <w:rsid w:val="00575343"/>
    <w:rsid w:val="00576ADF"/>
    <w:rsid w:val="00584D1F"/>
    <w:rsid w:val="005928D1"/>
    <w:rsid w:val="00597C29"/>
    <w:rsid w:val="00597D1D"/>
    <w:rsid w:val="005D0FE4"/>
    <w:rsid w:val="005E45EB"/>
    <w:rsid w:val="005E46CF"/>
    <w:rsid w:val="005F6C15"/>
    <w:rsid w:val="005F7E72"/>
    <w:rsid w:val="005F7FC7"/>
    <w:rsid w:val="00605F3D"/>
    <w:rsid w:val="0061019D"/>
    <w:rsid w:val="00615CD9"/>
    <w:rsid w:val="00622347"/>
    <w:rsid w:val="00623C1E"/>
    <w:rsid w:val="00624EA0"/>
    <w:rsid w:val="00631CAB"/>
    <w:rsid w:val="0063348F"/>
    <w:rsid w:val="006342CA"/>
    <w:rsid w:val="00636E70"/>
    <w:rsid w:val="0064211A"/>
    <w:rsid w:val="006428D5"/>
    <w:rsid w:val="006469D5"/>
    <w:rsid w:val="00653A74"/>
    <w:rsid w:val="006656E9"/>
    <w:rsid w:val="006666D9"/>
    <w:rsid w:val="00672EA0"/>
    <w:rsid w:val="006730EA"/>
    <w:rsid w:val="0067537C"/>
    <w:rsid w:val="0067544C"/>
    <w:rsid w:val="00675BE1"/>
    <w:rsid w:val="00676205"/>
    <w:rsid w:val="006838B8"/>
    <w:rsid w:val="00690AF9"/>
    <w:rsid w:val="00693556"/>
    <w:rsid w:val="006A6441"/>
    <w:rsid w:val="006B0D75"/>
    <w:rsid w:val="006B54E7"/>
    <w:rsid w:val="006B6C83"/>
    <w:rsid w:val="006C16D4"/>
    <w:rsid w:val="006C474E"/>
    <w:rsid w:val="006D5CB0"/>
    <w:rsid w:val="006E02FF"/>
    <w:rsid w:val="006E2B4B"/>
    <w:rsid w:val="006E5EBC"/>
    <w:rsid w:val="006E7D6D"/>
    <w:rsid w:val="006F18EC"/>
    <w:rsid w:val="006F63A8"/>
    <w:rsid w:val="00717D69"/>
    <w:rsid w:val="00720084"/>
    <w:rsid w:val="00733633"/>
    <w:rsid w:val="00733707"/>
    <w:rsid w:val="0074329C"/>
    <w:rsid w:val="00750520"/>
    <w:rsid w:val="007512AD"/>
    <w:rsid w:val="00756D52"/>
    <w:rsid w:val="0076633A"/>
    <w:rsid w:val="007665D2"/>
    <w:rsid w:val="00777307"/>
    <w:rsid w:val="00790AA4"/>
    <w:rsid w:val="00793E96"/>
    <w:rsid w:val="007B082D"/>
    <w:rsid w:val="007B2213"/>
    <w:rsid w:val="007B3BA4"/>
    <w:rsid w:val="007B647E"/>
    <w:rsid w:val="007C3374"/>
    <w:rsid w:val="007C5E36"/>
    <w:rsid w:val="007D0249"/>
    <w:rsid w:val="007D04A3"/>
    <w:rsid w:val="007D27A4"/>
    <w:rsid w:val="007D3CEA"/>
    <w:rsid w:val="007D58FC"/>
    <w:rsid w:val="007E7815"/>
    <w:rsid w:val="007F6E7C"/>
    <w:rsid w:val="008105A4"/>
    <w:rsid w:val="00817DC3"/>
    <w:rsid w:val="00821107"/>
    <w:rsid w:val="0082415A"/>
    <w:rsid w:val="00826FAF"/>
    <w:rsid w:val="008325FE"/>
    <w:rsid w:val="00835969"/>
    <w:rsid w:val="00842338"/>
    <w:rsid w:val="00847C16"/>
    <w:rsid w:val="008534AB"/>
    <w:rsid w:val="00857504"/>
    <w:rsid w:val="008707B8"/>
    <w:rsid w:val="00873F41"/>
    <w:rsid w:val="00883BDA"/>
    <w:rsid w:val="0088426A"/>
    <w:rsid w:val="00890DDC"/>
    <w:rsid w:val="00896125"/>
    <w:rsid w:val="008974C3"/>
    <w:rsid w:val="008A2792"/>
    <w:rsid w:val="008A2DB3"/>
    <w:rsid w:val="008A3794"/>
    <w:rsid w:val="008B3B85"/>
    <w:rsid w:val="008B6D9B"/>
    <w:rsid w:val="008E4F8D"/>
    <w:rsid w:val="008E7DB1"/>
    <w:rsid w:val="008F3FDC"/>
    <w:rsid w:val="008F713C"/>
    <w:rsid w:val="008F7A64"/>
    <w:rsid w:val="009045B8"/>
    <w:rsid w:val="009053F3"/>
    <w:rsid w:val="009062BA"/>
    <w:rsid w:val="00912833"/>
    <w:rsid w:val="00920284"/>
    <w:rsid w:val="0092071A"/>
    <w:rsid w:val="00920994"/>
    <w:rsid w:val="0092254B"/>
    <w:rsid w:val="009316DD"/>
    <w:rsid w:val="00943121"/>
    <w:rsid w:val="0095781B"/>
    <w:rsid w:val="009672B1"/>
    <w:rsid w:val="00967E4B"/>
    <w:rsid w:val="009803C4"/>
    <w:rsid w:val="0099022F"/>
    <w:rsid w:val="00997F51"/>
    <w:rsid w:val="009D0F9D"/>
    <w:rsid w:val="009D4D47"/>
    <w:rsid w:val="009E03F8"/>
    <w:rsid w:val="009E2735"/>
    <w:rsid w:val="009E57ED"/>
    <w:rsid w:val="009F2DFC"/>
    <w:rsid w:val="009F4AF9"/>
    <w:rsid w:val="009F64C3"/>
    <w:rsid w:val="00A01BBC"/>
    <w:rsid w:val="00A134BB"/>
    <w:rsid w:val="00A260A4"/>
    <w:rsid w:val="00A40BBF"/>
    <w:rsid w:val="00A415EB"/>
    <w:rsid w:val="00A41E1D"/>
    <w:rsid w:val="00A54E14"/>
    <w:rsid w:val="00A63C7C"/>
    <w:rsid w:val="00A666DF"/>
    <w:rsid w:val="00A67D48"/>
    <w:rsid w:val="00A904C8"/>
    <w:rsid w:val="00A907FE"/>
    <w:rsid w:val="00AA0791"/>
    <w:rsid w:val="00AA6020"/>
    <w:rsid w:val="00AB3646"/>
    <w:rsid w:val="00AB3E1F"/>
    <w:rsid w:val="00AB661E"/>
    <w:rsid w:val="00AC0DAE"/>
    <w:rsid w:val="00AC2899"/>
    <w:rsid w:val="00AC3F70"/>
    <w:rsid w:val="00AC7630"/>
    <w:rsid w:val="00AD0DA9"/>
    <w:rsid w:val="00AD19B9"/>
    <w:rsid w:val="00AD70C2"/>
    <w:rsid w:val="00AD7BA3"/>
    <w:rsid w:val="00AE2C48"/>
    <w:rsid w:val="00B00005"/>
    <w:rsid w:val="00B04B87"/>
    <w:rsid w:val="00B25A94"/>
    <w:rsid w:val="00B25D86"/>
    <w:rsid w:val="00B34C75"/>
    <w:rsid w:val="00B37D9A"/>
    <w:rsid w:val="00B44105"/>
    <w:rsid w:val="00B452C4"/>
    <w:rsid w:val="00B5510A"/>
    <w:rsid w:val="00B56C5E"/>
    <w:rsid w:val="00B776D5"/>
    <w:rsid w:val="00B80152"/>
    <w:rsid w:val="00B8184A"/>
    <w:rsid w:val="00B91317"/>
    <w:rsid w:val="00B92742"/>
    <w:rsid w:val="00B9403C"/>
    <w:rsid w:val="00B96B44"/>
    <w:rsid w:val="00B96E22"/>
    <w:rsid w:val="00BA2576"/>
    <w:rsid w:val="00BB6CC5"/>
    <w:rsid w:val="00BC4FB0"/>
    <w:rsid w:val="00BD7AB1"/>
    <w:rsid w:val="00BE17FA"/>
    <w:rsid w:val="00BE5D91"/>
    <w:rsid w:val="00BE6A54"/>
    <w:rsid w:val="00BE6D8D"/>
    <w:rsid w:val="00BE76C0"/>
    <w:rsid w:val="00BF2A63"/>
    <w:rsid w:val="00BF2F08"/>
    <w:rsid w:val="00BF5309"/>
    <w:rsid w:val="00BF685F"/>
    <w:rsid w:val="00C040B0"/>
    <w:rsid w:val="00C06411"/>
    <w:rsid w:val="00C17C2B"/>
    <w:rsid w:val="00C325EC"/>
    <w:rsid w:val="00C3385D"/>
    <w:rsid w:val="00C35647"/>
    <w:rsid w:val="00C4361D"/>
    <w:rsid w:val="00C54B6C"/>
    <w:rsid w:val="00C643B5"/>
    <w:rsid w:val="00C73B57"/>
    <w:rsid w:val="00C8030E"/>
    <w:rsid w:val="00C97CBF"/>
    <w:rsid w:val="00CA2760"/>
    <w:rsid w:val="00CB22D8"/>
    <w:rsid w:val="00CB7126"/>
    <w:rsid w:val="00CC058F"/>
    <w:rsid w:val="00CC3EC6"/>
    <w:rsid w:val="00CD12DC"/>
    <w:rsid w:val="00CD7121"/>
    <w:rsid w:val="00CE74C0"/>
    <w:rsid w:val="00CE76AF"/>
    <w:rsid w:val="00CF1E75"/>
    <w:rsid w:val="00CF2676"/>
    <w:rsid w:val="00D01654"/>
    <w:rsid w:val="00D01A78"/>
    <w:rsid w:val="00D14D83"/>
    <w:rsid w:val="00D26FD5"/>
    <w:rsid w:val="00D30A7F"/>
    <w:rsid w:val="00D345F2"/>
    <w:rsid w:val="00D36CD6"/>
    <w:rsid w:val="00D4342C"/>
    <w:rsid w:val="00D472A2"/>
    <w:rsid w:val="00D54159"/>
    <w:rsid w:val="00D56499"/>
    <w:rsid w:val="00D60BD0"/>
    <w:rsid w:val="00D615D4"/>
    <w:rsid w:val="00D67A6D"/>
    <w:rsid w:val="00D70B83"/>
    <w:rsid w:val="00D71679"/>
    <w:rsid w:val="00D74310"/>
    <w:rsid w:val="00D81174"/>
    <w:rsid w:val="00D8201A"/>
    <w:rsid w:val="00D9217F"/>
    <w:rsid w:val="00D94875"/>
    <w:rsid w:val="00D97105"/>
    <w:rsid w:val="00DA27B8"/>
    <w:rsid w:val="00DB3D41"/>
    <w:rsid w:val="00DC43BA"/>
    <w:rsid w:val="00DC5912"/>
    <w:rsid w:val="00DC75AD"/>
    <w:rsid w:val="00DD1DD5"/>
    <w:rsid w:val="00DE4C94"/>
    <w:rsid w:val="00DE59C2"/>
    <w:rsid w:val="00E06ACC"/>
    <w:rsid w:val="00E105B0"/>
    <w:rsid w:val="00E11C24"/>
    <w:rsid w:val="00E22ABB"/>
    <w:rsid w:val="00E24644"/>
    <w:rsid w:val="00E30211"/>
    <w:rsid w:val="00E34F26"/>
    <w:rsid w:val="00E419C4"/>
    <w:rsid w:val="00E420D5"/>
    <w:rsid w:val="00E43348"/>
    <w:rsid w:val="00E51DB8"/>
    <w:rsid w:val="00E61767"/>
    <w:rsid w:val="00E62545"/>
    <w:rsid w:val="00E64DB9"/>
    <w:rsid w:val="00E70D8A"/>
    <w:rsid w:val="00E7152B"/>
    <w:rsid w:val="00E725E1"/>
    <w:rsid w:val="00E73CC4"/>
    <w:rsid w:val="00E74BEE"/>
    <w:rsid w:val="00E8157E"/>
    <w:rsid w:val="00E83670"/>
    <w:rsid w:val="00E84451"/>
    <w:rsid w:val="00E85CEA"/>
    <w:rsid w:val="00E95577"/>
    <w:rsid w:val="00EA5718"/>
    <w:rsid w:val="00EA7F85"/>
    <w:rsid w:val="00EB70A6"/>
    <w:rsid w:val="00EC0947"/>
    <w:rsid w:val="00ED14E3"/>
    <w:rsid w:val="00ED59DA"/>
    <w:rsid w:val="00EE228E"/>
    <w:rsid w:val="00EE54AF"/>
    <w:rsid w:val="00EE5628"/>
    <w:rsid w:val="00EF2579"/>
    <w:rsid w:val="00F0006E"/>
    <w:rsid w:val="00F003F8"/>
    <w:rsid w:val="00F10FE7"/>
    <w:rsid w:val="00F1416B"/>
    <w:rsid w:val="00F15721"/>
    <w:rsid w:val="00F200C5"/>
    <w:rsid w:val="00F20377"/>
    <w:rsid w:val="00F24003"/>
    <w:rsid w:val="00F26707"/>
    <w:rsid w:val="00F30AD0"/>
    <w:rsid w:val="00F33EF5"/>
    <w:rsid w:val="00F4037F"/>
    <w:rsid w:val="00F5036F"/>
    <w:rsid w:val="00F55A35"/>
    <w:rsid w:val="00F63FF6"/>
    <w:rsid w:val="00F6494C"/>
    <w:rsid w:val="00F6773E"/>
    <w:rsid w:val="00F728EB"/>
    <w:rsid w:val="00F83B23"/>
    <w:rsid w:val="00F86FDB"/>
    <w:rsid w:val="00F8747A"/>
    <w:rsid w:val="00F87A48"/>
    <w:rsid w:val="00F943D9"/>
    <w:rsid w:val="00FA1286"/>
    <w:rsid w:val="00FA4370"/>
    <w:rsid w:val="00FB2F66"/>
    <w:rsid w:val="00FB4ED7"/>
    <w:rsid w:val="00FC2955"/>
    <w:rsid w:val="00FD7306"/>
    <w:rsid w:val="00FE3DE2"/>
    <w:rsid w:val="00FE4E4A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4F1E7"/>
  <w15:docId w15:val="{3B0FB815-1907-41E3-9BA5-2265C59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2A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22ABB"/>
  </w:style>
  <w:style w:type="paragraph" w:styleId="a5">
    <w:name w:val="footer"/>
    <w:basedOn w:val="a"/>
    <w:link w:val="Char0"/>
    <w:uiPriority w:val="99"/>
    <w:unhideWhenUsed/>
    <w:rsid w:val="00E22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22ABB"/>
  </w:style>
  <w:style w:type="table" w:customStyle="1" w:styleId="11">
    <w:name w:val="일반 표 11"/>
    <w:basedOn w:val="a1"/>
    <w:uiPriority w:val="41"/>
    <w:rsid w:val="00F874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FA12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A12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045B8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1A3B2A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A3B2A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A3B2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A3B2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A3B2A"/>
    <w:rPr>
      <w:b/>
      <w:bCs/>
    </w:rPr>
  </w:style>
  <w:style w:type="paragraph" w:styleId="ab">
    <w:name w:val="Revision"/>
    <w:hidden/>
    <w:uiPriority w:val="99"/>
    <w:semiHidden/>
    <w:rsid w:val="007C337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05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0296701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22FF-DA7A-4CBE-BD0A-DD3C728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9JP</dc:creator>
  <cp:lastModifiedBy>Yoon Choi</cp:lastModifiedBy>
  <cp:revision>4</cp:revision>
  <cp:lastPrinted>2020-01-10T06:51:00Z</cp:lastPrinted>
  <dcterms:created xsi:type="dcterms:W3CDTF">2020-01-10T07:00:00Z</dcterms:created>
  <dcterms:modified xsi:type="dcterms:W3CDTF">2020-01-15T07:51:00Z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C:\Users\광민\Desktop\Kwak_Table_Figure_vitamin_D+HBP_180308.docx</vt:lpwstr>
  </property>
</Properties>
</file>