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5BBCB" w14:textId="77777777" w:rsidR="00B945E9" w:rsidRPr="001B0771" w:rsidRDefault="00B945E9" w:rsidP="00B945E9">
      <w:pPr>
        <w:pStyle w:val="MDPI21heading1"/>
        <w:spacing w:before="0" w:after="0" w:line="360" w:lineRule="auto"/>
        <w:rPr>
          <w:rFonts w:ascii="Times New Roman" w:hAnsi="Times New Roman"/>
          <w:color w:val="auto"/>
          <w:sz w:val="24"/>
          <w:szCs w:val="24"/>
        </w:rPr>
      </w:pPr>
      <w:r w:rsidRPr="001B0771">
        <w:rPr>
          <w:rFonts w:ascii="Times New Roman" w:hAnsi="Times New Roman"/>
          <w:color w:val="auto"/>
          <w:sz w:val="24"/>
          <w:szCs w:val="24"/>
        </w:rPr>
        <w:t>Appendix A: Diet quality scores</w:t>
      </w:r>
    </w:p>
    <w:p w14:paraId="13C22DC5" w14:textId="77777777" w:rsidR="00B945E9" w:rsidRPr="001B0771" w:rsidRDefault="00B945E9" w:rsidP="00B945E9">
      <w:pPr>
        <w:pStyle w:val="MDPI31text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14:paraId="1B629BEF" w14:textId="03257390" w:rsidR="00B945E9" w:rsidRPr="001B0771" w:rsidRDefault="00B945E9" w:rsidP="00B945E9">
      <w:pPr>
        <w:pStyle w:val="MDPI31text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B0771">
        <w:rPr>
          <w:rFonts w:ascii="Times New Roman" w:hAnsi="Times New Roman"/>
          <w:color w:val="auto"/>
          <w:sz w:val="24"/>
          <w:szCs w:val="24"/>
        </w:rPr>
        <w:t xml:space="preserve">Table A1. Original and modified Mediterranean Diet Score (MDS) and its scoring </w:t>
      </w:r>
      <w:proofErr w:type="gramStart"/>
      <w:r w:rsidRPr="001B0771">
        <w:rPr>
          <w:rFonts w:ascii="Times New Roman" w:hAnsi="Times New Roman"/>
          <w:color w:val="auto"/>
          <w:sz w:val="24"/>
          <w:szCs w:val="24"/>
        </w:rPr>
        <w:t>system</w:t>
      </w:r>
      <w:r w:rsidR="00A37E7B" w:rsidRPr="00DB2F33">
        <w:rPr>
          <w:rFonts w:ascii="Times New Roman" w:hAnsi="Times New Roman"/>
          <w:color w:val="auto"/>
          <w:sz w:val="24"/>
          <w:szCs w:val="24"/>
          <w:vertAlign w:val="superscript"/>
        </w:rPr>
        <w:t>(</w:t>
      </w:r>
      <w:proofErr w:type="gramEnd"/>
      <w:r w:rsidR="00A37E7B" w:rsidRPr="00DB2F33">
        <w:rPr>
          <w:rFonts w:ascii="Times New Roman" w:hAnsi="Times New Roman"/>
          <w:color w:val="auto"/>
          <w:sz w:val="24"/>
          <w:szCs w:val="24"/>
          <w:vertAlign w:val="superscript"/>
        </w:rPr>
        <w:t>24)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718"/>
        <w:gridCol w:w="2700"/>
        <w:gridCol w:w="2160"/>
        <w:gridCol w:w="1482"/>
      </w:tblGrid>
      <w:tr w:rsidR="00B945E9" w:rsidRPr="001B0771" w14:paraId="779D0894" w14:textId="77777777" w:rsidTr="009B01DB">
        <w:tc>
          <w:tcPr>
            <w:tcW w:w="5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4F09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Food group</w:t>
            </w:r>
          </w:p>
        </w:tc>
        <w:tc>
          <w:tcPr>
            <w:tcW w:w="3642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58EF014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Scoring*</w:t>
            </w:r>
          </w:p>
        </w:tc>
      </w:tr>
      <w:tr w:rsidR="00B945E9" w:rsidRPr="001B0771" w14:paraId="6EF32132" w14:textId="77777777" w:rsidTr="009B01DB">
        <w:tc>
          <w:tcPr>
            <w:tcW w:w="27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5F036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Original MDS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11BCE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Modified MDS</w:t>
            </w:r>
          </w:p>
        </w:tc>
        <w:tc>
          <w:tcPr>
            <w:tcW w:w="364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892F95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45E9" w:rsidRPr="001B0771" w14:paraId="7836F1D7" w14:textId="77777777" w:rsidTr="009B01DB">
        <w:tc>
          <w:tcPr>
            <w:tcW w:w="2718" w:type="dxa"/>
            <w:tcBorders>
              <w:left w:val="nil"/>
              <w:bottom w:val="nil"/>
              <w:right w:val="nil"/>
            </w:tcBorders>
          </w:tcPr>
          <w:p w14:paraId="004D729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Cereals</w:t>
            </w: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3632461A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Cereals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vAlign w:val="center"/>
          </w:tcPr>
          <w:p w14:paraId="41B82A3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&gt;median</w:t>
            </w:r>
          </w:p>
        </w:tc>
        <w:tc>
          <w:tcPr>
            <w:tcW w:w="1482" w:type="dxa"/>
            <w:tcBorders>
              <w:left w:val="nil"/>
              <w:bottom w:val="nil"/>
              <w:right w:val="nil"/>
            </w:tcBorders>
            <w:vAlign w:val="center"/>
          </w:tcPr>
          <w:p w14:paraId="51384EE1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 (else: 0)</w:t>
            </w:r>
          </w:p>
        </w:tc>
      </w:tr>
      <w:tr w:rsidR="00B945E9" w:rsidRPr="001B0771" w14:paraId="2528712B" w14:textId="77777777" w:rsidTr="009B01DB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6EE8B8B8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Vegetables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1034F2C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Vegetables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12D38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&gt;median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75E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 (else: 0)</w:t>
            </w:r>
          </w:p>
        </w:tc>
      </w:tr>
      <w:tr w:rsidR="00B945E9" w:rsidRPr="001B0771" w14:paraId="7B1765FE" w14:textId="77777777" w:rsidTr="009B01DB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1B8A4C7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Fruits and Nuts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3A48D3C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Fruits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AF103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&gt;median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D0576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 (else: 0)</w:t>
            </w:r>
          </w:p>
        </w:tc>
      </w:tr>
      <w:tr w:rsidR="00B945E9" w:rsidRPr="001B0771" w14:paraId="4DFC6AA2" w14:textId="77777777" w:rsidTr="009B01DB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4BB0B13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Legumes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8B7334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Legumes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F852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&gt;median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32AC4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 (else: 0)</w:t>
            </w:r>
          </w:p>
        </w:tc>
      </w:tr>
      <w:tr w:rsidR="00B945E9" w:rsidRPr="001B0771" w14:paraId="7774B5AD" w14:textId="77777777" w:rsidTr="009B01DB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6793A2FD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Fish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5E0B175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Fish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49E6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&gt;median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DF1DF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 (else: 0)</w:t>
            </w:r>
          </w:p>
        </w:tc>
      </w:tr>
      <w:tr w:rsidR="00B945E9" w:rsidRPr="001B0771" w14:paraId="6B30AF68" w14:textId="77777777" w:rsidTr="009B01DB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536A9A7E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Meat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BB5BC4D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Meat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5985C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&lt;median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2D8B6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 (else: 0)</w:t>
            </w:r>
          </w:p>
        </w:tc>
      </w:tr>
      <w:tr w:rsidR="00B945E9" w:rsidRPr="001B0771" w14:paraId="4ECAACBD" w14:textId="77777777" w:rsidTr="009B01DB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45C61B3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Dairy products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C0E351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Dairy products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78AB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&lt;median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1AD1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 (else: 0)</w:t>
            </w:r>
          </w:p>
        </w:tc>
      </w:tr>
      <w:tr w:rsidR="00B945E9" w:rsidRPr="001B0771" w14:paraId="566BE60B" w14:textId="77777777" w:rsidTr="009B01DB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1B6E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Ratio of unsaturated to saturated fats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EF5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Ratio of unsaturated to saturated fats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7C46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&gt;median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5AD0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 (else: 0)</w:t>
            </w:r>
          </w:p>
        </w:tc>
      </w:tr>
      <w:tr w:rsidR="00B945E9" w:rsidRPr="001B0771" w14:paraId="6462F674" w14:textId="77777777" w:rsidTr="009B01DB">
        <w:tc>
          <w:tcPr>
            <w:tcW w:w="271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65218C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Alcohol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C49A6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Alcohol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43125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10-50 g/d for men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161C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 (else: 0)</w:t>
            </w:r>
          </w:p>
        </w:tc>
      </w:tr>
      <w:tr w:rsidR="00B945E9" w:rsidRPr="001B0771" w14:paraId="492E3733" w14:textId="77777777" w:rsidTr="009B01DB">
        <w:tc>
          <w:tcPr>
            <w:tcW w:w="27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95A884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6EAAC4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9A00BD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5-25 g/d for women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1B1CD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 (else: 0)</w:t>
            </w:r>
          </w:p>
        </w:tc>
      </w:tr>
    </w:tbl>
    <w:p w14:paraId="0D088A3B" w14:textId="77777777" w:rsidR="00B945E9" w:rsidRPr="001B0771" w:rsidRDefault="00B945E9" w:rsidP="00B945E9">
      <w:pPr>
        <w:pStyle w:val="MDPI31text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B0771">
        <w:rPr>
          <w:rFonts w:ascii="Times New Roman" w:hAnsi="Times New Roman"/>
          <w:color w:val="auto"/>
          <w:sz w:val="24"/>
          <w:szCs w:val="24"/>
        </w:rPr>
        <w:t>*Except alcohol, scoring of each food group is based on population and sex-specific median.</w:t>
      </w:r>
    </w:p>
    <w:p w14:paraId="1BAB9FB9" w14:textId="77777777" w:rsidR="00B945E9" w:rsidRPr="001B0771" w:rsidRDefault="00B945E9" w:rsidP="00B945E9">
      <w:pPr>
        <w:pStyle w:val="MDPI31text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14:paraId="221B4F14" w14:textId="77777777" w:rsidR="00B945E9" w:rsidRPr="001B0771" w:rsidRDefault="00B945E9" w:rsidP="00B945E9">
      <w:pPr>
        <w:pStyle w:val="MDPI31text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14:paraId="0CB58810" w14:textId="4ECF1292" w:rsidR="00B945E9" w:rsidRPr="001B0771" w:rsidRDefault="00B945E9" w:rsidP="00B945E9">
      <w:pPr>
        <w:pStyle w:val="MDPI31text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1B0771">
        <w:rPr>
          <w:rFonts w:ascii="Times New Roman" w:hAnsi="Times New Roman"/>
          <w:color w:val="auto"/>
          <w:sz w:val="24"/>
          <w:szCs w:val="24"/>
        </w:rPr>
        <w:t xml:space="preserve">Table A2. Original and modified Healthy Diet Score (HDS) and the cut-off values for </w:t>
      </w:r>
      <w:proofErr w:type="gramStart"/>
      <w:r w:rsidRPr="001B0771">
        <w:rPr>
          <w:rFonts w:ascii="Times New Roman" w:hAnsi="Times New Roman"/>
          <w:color w:val="auto"/>
          <w:sz w:val="24"/>
          <w:szCs w:val="24"/>
        </w:rPr>
        <w:t>scoring</w:t>
      </w:r>
      <w:r w:rsidR="00A37E7B" w:rsidRPr="00DB2F33">
        <w:rPr>
          <w:rFonts w:ascii="Times New Roman" w:hAnsi="Times New Roman"/>
          <w:color w:val="auto"/>
          <w:sz w:val="24"/>
          <w:szCs w:val="24"/>
          <w:vertAlign w:val="superscript"/>
        </w:rPr>
        <w:t>(</w:t>
      </w:r>
      <w:proofErr w:type="gramEnd"/>
      <w:r w:rsidR="00A37E7B" w:rsidRPr="00DB2F33">
        <w:rPr>
          <w:rFonts w:ascii="Times New Roman" w:hAnsi="Times New Roman"/>
          <w:color w:val="auto"/>
          <w:sz w:val="24"/>
          <w:szCs w:val="24"/>
          <w:vertAlign w:val="superscript"/>
        </w:rPr>
        <w:t>25)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628"/>
        <w:gridCol w:w="990"/>
        <w:gridCol w:w="1350"/>
        <w:gridCol w:w="270"/>
        <w:gridCol w:w="2610"/>
        <w:gridCol w:w="990"/>
        <w:gridCol w:w="1350"/>
      </w:tblGrid>
      <w:tr w:rsidR="00B945E9" w:rsidRPr="001B0771" w14:paraId="3EDD1FD1" w14:textId="77777777" w:rsidTr="009B01DB">
        <w:tc>
          <w:tcPr>
            <w:tcW w:w="4968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B31807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HDS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1A26F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7756252D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HDS – modified based on current UK recommendations</w:t>
            </w:r>
          </w:p>
        </w:tc>
      </w:tr>
      <w:tr w:rsidR="00B945E9" w:rsidRPr="001B0771" w14:paraId="67B0DF8F" w14:textId="77777777" w:rsidTr="009B01DB">
        <w:tc>
          <w:tcPr>
            <w:tcW w:w="2628" w:type="dxa"/>
            <w:vMerge w:val="restar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41A6121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Index item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CFE6A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Cut-off values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88F0A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4858086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Index item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A07B8E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Cut-off values</w:t>
            </w:r>
          </w:p>
        </w:tc>
      </w:tr>
      <w:tr w:rsidR="00B945E9" w:rsidRPr="001B0771" w14:paraId="46DA2314" w14:textId="77777777" w:rsidTr="009B01DB">
        <w:tc>
          <w:tcPr>
            <w:tcW w:w="262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77D5D26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B395E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Score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4BEAF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Score 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44360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CE980D5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150045BF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Score 1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4680661C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Score 0</w:t>
            </w:r>
          </w:p>
        </w:tc>
      </w:tr>
      <w:tr w:rsidR="00B945E9" w:rsidRPr="001B0771" w14:paraId="10D5E0E3" w14:textId="77777777" w:rsidTr="009B01DB"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0871D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Saturated fatty acids</w:t>
            </w:r>
          </w:p>
          <w:p w14:paraId="12CC3D01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(% energy intake)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4CFE3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0-10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08BC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&gt;10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FDD76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FD53A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Saturated fatty acids</w:t>
            </w:r>
          </w:p>
          <w:p w14:paraId="6EC3F858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(% energy intake)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B45D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0-11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375A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&gt;11</w:t>
            </w:r>
          </w:p>
        </w:tc>
      </w:tr>
      <w:tr w:rsidR="00B945E9" w:rsidRPr="001B0771" w14:paraId="44010A66" w14:textId="77777777" w:rsidTr="009B01D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78212E0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Polyunsaturated fatty acids (% energy </w:t>
            </w:r>
            <w:proofErr w:type="gramStart"/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intake)*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4413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6-10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04BE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&lt;6 or &gt;10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1D46FE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4396933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Polyunsaturated fatty acids (% energy intake)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584B8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b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-10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73B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&lt;6 or &gt;10</w:t>
            </w:r>
          </w:p>
        </w:tc>
      </w:tr>
      <w:tr w:rsidR="00B945E9" w:rsidRPr="001B0771" w14:paraId="0018D8B2" w14:textId="77777777" w:rsidTr="009B01D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8B980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Protein (% energy intake)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16A85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10-15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05671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&lt;10 or &gt;15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511CFF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2245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Protein (% energy intake)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94FA3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c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-15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0E9DF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&lt;9 or &gt;15</w:t>
            </w:r>
          </w:p>
        </w:tc>
      </w:tr>
      <w:tr w:rsidR="00B945E9" w:rsidRPr="001B0771" w14:paraId="087B74DA" w14:textId="77777777" w:rsidTr="009B01D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43DDF7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Total carbohydrate</w:t>
            </w:r>
          </w:p>
          <w:p w14:paraId="64B36213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(% energy </w:t>
            </w:r>
            <w:proofErr w:type="gramStart"/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intake)*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66C10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50-70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C70A3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&lt;50 or &gt;70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E9FA5A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1362011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Total carbohydrate</w:t>
            </w:r>
          </w:p>
          <w:p w14:paraId="7479100D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(% energy intake)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C7C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d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-70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2A75C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&lt;50 or &gt;70</w:t>
            </w:r>
          </w:p>
        </w:tc>
      </w:tr>
      <w:tr w:rsidR="00B945E9" w:rsidRPr="001B0771" w14:paraId="2F1ABEC6" w14:textId="77777777" w:rsidTr="009B01D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8F90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Dietary </w:t>
            </w:r>
            <w:proofErr w:type="spellStart"/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fibre</w:t>
            </w:r>
            <w:proofErr w:type="spellEnd"/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(g)*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3BEA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18-32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5471D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&lt;18 or &gt;32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8622D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35CF6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Dietary </w:t>
            </w:r>
            <w:proofErr w:type="spellStart"/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fibre</w:t>
            </w:r>
            <w:proofErr w:type="spellEnd"/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(g)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20E74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d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-32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3DC0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&lt;18 or &gt;32</w:t>
            </w:r>
          </w:p>
        </w:tc>
      </w:tr>
      <w:tr w:rsidR="00B945E9" w:rsidRPr="001B0771" w14:paraId="235E25C4" w14:textId="77777777" w:rsidTr="009B01D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0158B78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Fruits and vegetables (g)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456C1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≥400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13FC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&lt;400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F89DA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5C4500E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Fruits and vegetables (g)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FFAD6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≥400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9DBD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&lt;400</w:t>
            </w:r>
          </w:p>
        </w:tc>
      </w:tr>
      <w:tr w:rsidR="00B945E9" w:rsidRPr="001B0771" w14:paraId="0F202B4B" w14:textId="77777777" w:rsidTr="009B01D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DDB9C54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Pulses and nuts (g)*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D093156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≥30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4B67C9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D6B094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241040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Pulses (g)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44F184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≥30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F20E6D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&lt;30</w:t>
            </w:r>
          </w:p>
        </w:tc>
      </w:tr>
      <w:tr w:rsidR="00B945E9" w:rsidRPr="001B0771" w14:paraId="5ED188C3" w14:textId="77777777" w:rsidTr="009B01D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0298F7C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Total non-milk extrinsic sugar (% total energy </w:t>
            </w:r>
            <w:proofErr w:type="gramStart"/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intake)*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2824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0-10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D4B2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3974E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B45C7C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Total non-milk extrinsic sugar (% total energy intake)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E4103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0-5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0E58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&gt;5</w:t>
            </w:r>
          </w:p>
        </w:tc>
      </w:tr>
      <w:tr w:rsidR="00B945E9" w:rsidRPr="001B0771" w14:paraId="056AA418" w14:textId="77777777" w:rsidTr="009B01D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8873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Cholesterol (mg)*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7414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0-245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0693C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&gt;245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91E2DD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2B8F760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Trans-fatty acids</w:t>
            </w:r>
          </w:p>
          <w:p w14:paraId="2CF6F578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(% energy intake)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BD0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≤2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BDD6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&gt;2</w:t>
            </w:r>
          </w:p>
        </w:tc>
      </w:tr>
      <w:tr w:rsidR="00B945E9" w:rsidRPr="001B0771" w14:paraId="3F7A1821" w14:textId="77777777" w:rsidTr="009B01D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725EF2E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Fish (g)*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595F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≥32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73844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E6552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05CB75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Fish (g)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18095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≥40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EAC04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&lt;40</w:t>
            </w:r>
          </w:p>
        </w:tc>
      </w:tr>
      <w:tr w:rsidR="00B945E9" w:rsidRPr="001B0771" w14:paraId="661D79B9" w14:textId="77777777" w:rsidTr="009B01D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9FC7B6F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Red meat and meat processed products (g)*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83C2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≤90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93E93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72581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AE151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Oily fish (g)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2D4A3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≥20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66EE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&lt;20</w:t>
            </w:r>
          </w:p>
        </w:tc>
      </w:tr>
      <w:tr w:rsidR="00B945E9" w:rsidRPr="001B0771" w14:paraId="12D3512A" w14:textId="77777777" w:rsidTr="009B01D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39011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Calcium (mg)*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A983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≥700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D7C98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&lt;700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61C98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87D38FA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Red meat and meat processed products (g)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AF1A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≤70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D61F2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&gt;70</w:t>
            </w:r>
          </w:p>
        </w:tc>
      </w:tr>
      <w:tr w:rsidR="00B945E9" w:rsidRPr="001B0771" w14:paraId="5732A98D" w14:textId="77777777" w:rsidTr="009B01D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FDD805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F91596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1FAF6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995E0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EB941A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Calcium (mg)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8A153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≥700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1B82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&lt;700</w:t>
            </w:r>
          </w:p>
        </w:tc>
      </w:tr>
      <w:tr w:rsidR="00B945E9" w:rsidRPr="001B0771" w14:paraId="395DFFF0" w14:textId="77777777" w:rsidTr="009B01DB">
        <w:tc>
          <w:tcPr>
            <w:tcW w:w="26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9F69F4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B08669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216301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DFF6C0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0A1857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Sodium (mg)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548D5B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≤2400</w:t>
            </w:r>
            <w:r w:rsidRPr="001B077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BFCE66" w14:textId="77777777" w:rsidR="00B945E9" w:rsidRPr="001B0771" w:rsidRDefault="00B945E9" w:rsidP="009B01DB">
            <w:pPr>
              <w:pStyle w:val="MDPI31text"/>
              <w:spacing w:line="36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0771">
              <w:rPr>
                <w:rFonts w:ascii="Times New Roman" w:hAnsi="Times New Roman"/>
                <w:color w:val="auto"/>
                <w:sz w:val="24"/>
                <w:szCs w:val="24"/>
              </w:rPr>
              <w:t>&gt;2400</w:t>
            </w:r>
          </w:p>
        </w:tc>
      </w:tr>
    </w:tbl>
    <w:p w14:paraId="66306EB4" w14:textId="6F59EBA4" w:rsidR="00B945E9" w:rsidRPr="001B0771" w:rsidRDefault="00B945E9" w:rsidP="00B945E9">
      <w:pPr>
        <w:spacing w:line="360" w:lineRule="auto"/>
        <w:rPr>
          <w:szCs w:val="24"/>
        </w:rPr>
      </w:pPr>
      <w:r w:rsidRPr="001B0771">
        <w:rPr>
          <w:szCs w:val="24"/>
        </w:rPr>
        <w:t>* Items based on advice on healthy eating as recommended by the UK Committee on Medical Aspects of Food Policy (COMA</w:t>
      </w:r>
      <w:proofErr w:type="gramStart"/>
      <w:r w:rsidRPr="001B0771">
        <w:rPr>
          <w:szCs w:val="24"/>
        </w:rPr>
        <w:t>)</w:t>
      </w:r>
      <w:r w:rsidR="00A37E7B" w:rsidRPr="00DB2F33">
        <w:rPr>
          <w:szCs w:val="24"/>
          <w:vertAlign w:val="superscript"/>
        </w:rPr>
        <w:t>(</w:t>
      </w:r>
      <w:proofErr w:type="gramEnd"/>
      <w:r w:rsidR="00A37E7B" w:rsidRPr="00DB2F33">
        <w:rPr>
          <w:szCs w:val="24"/>
          <w:vertAlign w:val="superscript"/>
        </w:rPr>
        <w:t>25)</w:t>
      </w:r>
    </w:p>
    <w:p w14:paraId="6B13EB65" w14:textId="1BD8A981" w:rsidR="00B945E9" w:rsidRPr="001B0771" w:rsidRDefault="00B945E9" w:rsidP="00B945E9">
      <w:pPr>
        <w:spacing w:line="360" w:lineRule="auto"/>
        <w:rPr>
          <w:szCs w:val="24"/>
        </w:rPr>
      </w:pPr>
      <w:r w:rsidRPr="001B0771">
        <w:rPr>
          <w:i/>
          <w:szCs w:val="24"/>
        </w:rPr>
        <w:t>a</w:t>
      </w:r>
      <w:r w:rsidRPr="001B0771">
        <w:rPr>
          <w:szCs w:val="24"/>
        </w:rPr>
        <w:t xml:space="preserve"> Based on NDNS Results from Years 5 and 6 (combined) of the Rolling </w:t>
      </w:r>
      <w:proofErr w:type="spellStart"/>
      <w:r w:rsidRPr="001B0771">
        <w:rPr>
          <w:szCs w:val="24"/>
        </w:rPr>
        <w:t>Programme</w:t>
      </w:r>
      <w:proofErr w:type="spellEnd"/>
      <w:r w:rsidRPr="001B0771">
        <w:rPr>
          <w:szCs w:val="24"/>
        </w:rPr>
        <w:t xml:space="preserve"> (2012/2013 – 2013/2014)</w:t>
      </w:r>
      <w:r w:rsidR="00865279" w:rsidRPr="00DB2F33">
        <w:rPr>
          <w:szCs w:val="24"/>
          <w:vertAlign w:val="superscript"/>
        </w:rPr>
        <w:fldChar w:fldCharType="begin"/>
      </w:r>
      <w:r w:rsidRPr="00DB2F33">
        <w:rPr>
          <w:szCs w:val="24"/>
          <w:vertAlign w:val="superscript"/>
        </w:rPr>
        <w:instrText xml:space="preserve"> ADDIN EN.CITE &lt;EndNote&gt;&lt;Cite&gt;&lt;Author&gt;Bates&lt;/Author&gt;&lt;Year&gt;2014&lt;/Year&gt;&lt;RecNum&gt;56&lt;/RecNum&gt;&lt;DisplayText&gt;[21, 22]&lt;/DisplayText&gt;&lt;record&gt;&lt;rec-number&gt;56&lt;/rec-number&gt;&lt;foreign-keys&gt;&lt;key app="EN" db-id="tff2dw0t6x0esoext2iv90t0pdwsapspzdza" timestamp="1526923109"&gt;56&lt;/key&gt;&lt;/foreign-keys&gt;&lt;ref-type name="Journal Article"&gt;17&lt;/ref-type&gt;&lt;contributors&gt;&lt;authors&gt;&lt;author&gt;Bates, B&lt;/author&gt;&lt;author&gt;Lennox, A&lt;/author&gt;&lt;author&gt;Prentice, A&lt;/author&gt;&lt;author&gt;Bates, C&lt;/author&gt;&lt;author&gt;Page, P&lt;/author&gt;&lt;author&gt;Nicholson, S&lt;/author&gt;&lt;author&gt;Swan, G&lt;/author&gt;&lt;/authors&gt;&lt;/contributors&gt;&lt;titles&gt;&lt;title&gt;National Diet and Nutrition Survey Results from Years 1, 2 3 and 4 (combined) of the Rolling Programme (2008/2009-2011/2012). London: Public Health England&lt;/title&gt;&lt;secondary-title&gt;Food Standards Agency&lt;/secondary-title&gt;&lt;/titles&gt;&lt;periodical&gt;&lt;full-title&gt;Food Standards Agency&lt;/full-title&gt;&lt;/periodical&gt;&lt;dates&gt;&lt;year&gt;2014&lt;/year&gt;&lt;/dates&gt;&lt;urls&gt;&lt;/urls&gt;&lt;/record&gt;&lt;/Cite&gt;&lt;Cite&gt;&lt;Author&gt;ENGLAND.&lt;/Author&gt;&lt;Year&gt;2017&lt;/Year&gt;&lt;RecNum&gt;63&lt;/RecNum&gt;&lt;record&gt;&lt;rec-number&gt;63&lt;/rec-number&gt;&lt;foreign-keys&gt;&lt;key app="EN" db-id="tff2dw0t6x0esoext2iv90t0pdwsapspzdza" timestamp="1526924297"&gt;63&lt;/key&gt;&lt;/foreign-keys&gt;&lt;ref-type name="Book"&gt;6&lt;/ref-type&gt;&lt;contributors&gt;&lt;authors&gt;&lt;author&gt;PUBLIC HEALTH ENGLAND.&lt;/author&gt;&lt;/authors&gt;&lt;/contributors&gt;&lt;titles&gt;&lt;title&gt;NATIONAL DIET AND NUTRITION SURVEY. RESULTS FROM YEARS 5 AND 6 (COMBINED) OF THE ROLLING... PROGRAMME (2012/2013-2013/2014)&lt;/title&gt;&lt;/titles&gt;&lt;dates&gt;&lt;year&gt;2017&lt;/year&gt;&lt;/dates&gt;&lt;publisher&gt;DANDY BOOKSELLERS Limited&lt;/publisher&gt;&lt;isbn&gt;1787320391&lt;/isbn&gt;&lt;urls&gt;&lt;/urls&gt;&lt;/record&gt;&lt;/Cite&gt;&lt;/EndNote&gt;</w:instrText>
      </w:r>
      <w:r w:rsidR="00865279" w:rsidRPr="00DB2F33">
        <w:rPr>
          <w:szCs w:val="24"/>
          <w:vertAlign w:val="superscript"/>
        </w:rPr>
        <w:fldChar w:fldCharType="separate"/>
      </w:r>
      <w:r w:rsidR="00A37E7B" w:rsidRPr="00DB2F33">
        <w:rPr>
          <w:noProof/>
          <w:szCs w:val="24"/>
          <w:vertAlign w:val="superscript"/>
        </w:rPr>
        <w:t>(</w:t>
      </w:r>
      <w:r w:rsidRPr="00DB2F33">
        <w:rPr>
          <w:noProof/>
          <w:szCs w:val="24"/>
          <w:vertAlign w:val="superscript"/>
        </w:rPr>
        <w:t>2</w:t>
      </w:r>
      <w:r w:rsidR="00152F49" w:rsidRPr="00DB2F33">
        <w:rPr>
          <w:noProof/>
          <w:szCs w:val="24"/>
          <w:vertAlign w:val="superscript"/>
        </w:rPr>
        <w:t>2</w:t>
      </w:r>
      <w:r w:rsidRPr="00DB2F33">
        <w:rPr>
          <w:noProof/>
          <w:szCs w:val="24"/>
          <w:vertAlign w:val="superscript"/>
        </w:rPr>
        <w:t>,2</w:t>
      </w:r>
      <w:r w:rsidR="00152F49" w:rsidRPr="00DB2F33">
        <w:rPr>
          <w:noProof/>
          <w:szCs w:val="24"/>
          <w:vertAlign w:val="superscript"/>
        </w:rPr>
        <w:t>3</w:t>
      </w:r>
      <w:r w:rsidR="00A37E7B" w:rsidRPr="00DB2F33">
        <w:rPr>
          <w:noProof/>
          <w:szCs w:val="24"/>
          <w:vertAlign w:val="superscript"/>
        </w:rPr>
        <w:t>)</w:t>
      </w:r>
      <w:r w:rsidR="00865279" w:rsidRPr="00DB2F33">
        <w:rPr>
          <w:szCs w:val="24"/>
          <w:vertAlign w:val="superscript"/>
        </w:rPr>
        <w:fldChar w:fldCharType="end"/>
      </w:r>
      <w:r w:rsidRPr="001B0771">
        <w:rPr>
          <w:szCs w:val="24"/>
        </w:rPr>
        <w:t>, UK Government Dietary Recommendations by</w:t>
      </w:r>
      <w:r w:rsidR="00152F49">
        <w:rPr>
          <w:szCs w:val="24"/>
        </w:rPr>
        <w:t xml:space="preserve"> </w:t>
      </w:r>
      <w:r w:rsidRPr="001B0771">
        <w:rPr>
          <w:szCs w:val="24"/>
        </w:rPr>
        <w:t>Public Health England (2016)</w:t>
      </w:r>
      <w:r w:rsidR="00A37E7B" w:rsidRPr="00DB2F33">
        <w:rPr>
          <w:szCs w:val="24"/>
          <w:vertAlign w:val="superscript"/>
        </w:rPr>
        <w:t>(26)</w:t>
      </w:r>
      <w:r>
        <w:rPr>
          <w:szCs w:val="24"/>
        </w:rPr>
        <w:t>,</w:t>
      </w:r>
      <w:r w:rsidRPr="001B0771">
        <w:rPr>
          <w:szCs w:val="24"/>
        </w:rPr>
        <w:t xml:space="preserve"> Cardiovascular Disease Outcomes Strategy by UK Department of Health (2013)</w:t>
      </w:r>
      <w:r w:rsidR="00A37E7B" w:rsidRPr="00DB2F33">
        <w:rPr>
          <w:szCs w:val="24"/>
          <w:vertAlign w:val="superscript"/>
        </w:rPr>
        <w:t>(27)</w:t>
      </w:r>
      <w:r>
        <w:rPr>
          <w:szCs w:val="24"/>
        </w:rPr>
        <w:t xml:space="preserve"> and Draft report: Saturated fats and health by Scientific Advisory Committee on Nutrition (SACN) 2018</w:t>
      </w:r>
      <w:r w:rsidR="00A37E7B" w:rsidRPr="00DB2F33">
        <w:rPr>
          <w:szCs w:val="24"/>
          <w:vertAlign w:val="superscript"/>
        </w:rPr>
        <w:t>(29)</w:t>
      </w:r>
    </w:p>
    <w:p w14:paraId="763A7321" w14:textId="580D0772" w:rsidR="00B945E9" w:rsidRPr="001B0771" w:rsidRDefault="00B945E9" w:rsidP="00B945E9">
      <w:pPr>
        <w:spacing w:line="360" w:lineRule="auto"/>
        <w:rPr>
          <w:szCs w:val="24"/>
        </w:rPr>
      </w:pPr>
      <w:r w:rsidRPr="001B0771">
        <w:rPr>
          <w:i/>
          <w:szCs w:val="24"/>
        </w:rPr>
        <w:t>b</w:t>
      </w:r>
      <w:r w:rsidRPr="001B0771">
        <w:rPr>
          <w:szCs w:val="24"/>
        </w:rPr>
        <w:t xml:space="preserve"> Based on UK Government Dietary Recommendations by Public Health England (</w:t>
      </w:r>
      <w:proofErr w:type="gramStart"/>
      <w:r w:rsidRPr="001B0771">
        <w:rPr>
          <w:szCs w:val="24"/>
        </w:rPr>
        <w:t>2016)</w:t>
      </w:r>
      <w:r w:rsidR="00A37E7B" w:rsidRPr="00DB2F33">
        <w:rPr>
          <w:szCs w:val="24"/>
          <w:vertAlign w:val="superscript"/>
        </w:rPr>
        <w:t>(</w:t>
      </w:r>
      <w:proofErr w:type="gramEnd"/>
      <w:r w:rsidR="00A37E7B" w:rsidRPr="00DB2F33">
        <w:rPr>
          <w:szCs w:val="24"/>
          <w:vertAlign w:val="superscript"/>
        </w:rPr>
        <w:t>26)</w:t>
      </w:r>
    </w:p>
    <w:p w14:paraId="3B5FB97E" w14:textId="06E394A2" w:rsidR="00B945E9" w:rsidRPr="001B0771" w:rsidRDefault="00B945E9" w:rsidP="00B945E9">
      <w:pPr>
        <w:spacing w:line="360" w:lineRule="auto"/>
        <w:rPr>
          <w:szCs w:val="24"/>
        </w:rPr>
      </w:pPr>
      <w:r w:rsidRPr="001B0771">
        <w:rPr>
          <w:i/>
          <w:szCs w:val="24"/>
        </w:rPr>
        <w:t>c</w:t>
      </w:r>
      <w:r w:rsidRPr="001B0771">
        <w:rPr>
          <w:szCs w:val="24"/>
        </w:rPr>
        <w:t xml:space="preserve"> Based on UK Government Dietary Recommendations by Public Health England (</w:t>
      </w:r>
      <w:proofErr w:type="gramStart"/>
      <w:r w:rsidRPr="001B0771">
        <w:rPr>
          <w:szCs w:val="24"/>
        </w:rPr>
        <w:t>2016)</w:t>
      </w:r>
      <w:r w:rsidR="00A37E7B" w:rsidRPr="00DB2F33">
        <w:rPr>
          <w:szCs w:val="24"/>
          <w:vertAlign w:val="superscript"/>
        </w:rPr>
        <w:t>(</w:t>
      </w:r>
      <w:proofErr w:type="gramEnd"/>
      <w:r w:rsidR="00A37E7B" w:rsidRPr="00DB2F33">
        <w:rPr>
          <w:szCs w:val="24"/>
          <w:vertAlign w:val="superscript"/>
        </w:rPr>
        <w:t>26)</w:t>
      </w:r>
    </w:p>
    <w:p w14:paraId="625BDE07" w14:textId="4C02206C" w:rsidR="00B945E9" w:rsidRPr="001B0771" w:rsidRDefault="00B945E9" w:rsidP="00B945E9">
      <w:pPr>
        <w:spacing w:line="360" w:lineRule="auto"/>
        <w:rPr>
          <w:szCs w:val="24"/>
        </w:rPr>
      </w:pPr>
      <w:r w:rsidRPr="001B0771">
        <w:rPr>
          <w:i/>
          <w:szCs w:val="24"/>
        </w:rPr>
        <w:t>d</w:t>
      </w:r>
      <w:r w:rsidR="008501F1">
        <w:rPr>
          <w:i/>
          <w:szCs w:val="24"/>
        </w:rPr>
        <w:t xml:space="preserve"> </w:t>
      </w:r>
      <w:r w:rsidRPr="001B0771">
        <w:rPr>
          <w:szCs w:val="24"/>
        </w:rPr>
        <w:t>Based on UK Government Dietary Recommendations by Public Health England (</w:t>
      </w:r>
      <w:proofErr w:type="gramStart"/>
      <w:r w:rsidRPr="001B0771">
        <w:rPr>
          <w:szCs w:val="24"/>
        </w:rPr>
        <w:t>2016)</w:t>
      </w:r>
      <w:r w:rsidR="00A37E7B" w:rsidRPr="00DB2F33">
        <w:rPr>
          <w:szCs w:val="24"/>
          <w:vertAlign w:val="superscript"/>
        </w:rPr>
        <w:t>(</w:t>
      </w:r>
      <w:proofErr w:type="gramEnd"/>
      <w:r w:rsidR="00A37E7B" w:rsidRPr="00DB2F33">
        <w:rPr>
          <w:szCs w:val="24"/>
          <w:vertAlign w:val="superscript"/>
        </w:rPr>
        <w:t>26)</w:t>
      </w:r>
      <w:r w:rsidR="00A37E7B">
        <w:rPr>
          <w:szCs w:val="24"/>
        </w:rPr>
        <w:t xml:space="preserve"> </w:t>
      </w:r>
      <w:r w:rsidRPr="001B0771">
        <w:rPr>
          <w:szCs w:val="24"/>
        </w:rPr>
        <w:t>and Scientific Advisory Committee on Nutrition (SACN) Report 2015 on Carbohydrates and Health</w:t>
      </w:r>
      <w:r w:rsidR="00A37E7B" w:rsidRPr="00DB2F33">
        <w:rPr>
          <w:szCs w:val="24"/>
          <w:vertAlign w:val="superscript"/>
        </w:rPr>
        <w:t>(30)</w:t>
      </w:r>
    </w:p>
    <w:p w14:paraId="7961A8C7" w14:textId="34D99FEA" w:rsidR="00B945E9" w:rsidRPr="001B0771" w:rsidRDefault="00B945E9" w:rsidP="00B945E9">
      <w:pPr>
        <w:spacing w:line="360" w:lineRule="auto"/>
        <w:rPr>
          <w:szCs w:val="24"/>
        </w:rPr>
      </w:pPr>
      <w:r w:rsidRPr="001B0771">
        <w:rPr>
          <w:i/>
          <w:szCs w:val="24"/>
        </w:rPr>
        <w:t>e</w:t>
      </w:r>
      <w:r w:rsidRPr="001B0771">
        <w:rPr>
          <w:szCs w:val="24"/>
        </w:rPr>
        <w:t xml:space="preserve"> Based on NDNS Results from Years 5 and 6 (combined) of the Rolling </w:t>
      </w:r>
      <w:proofErr w:type="spellStart"/>
      <w:r w:rsidRPr="001B0771">
        <w:rPr>
          <w:szCs w:val="24"/>
        </w:rPr>
        <w:t>Programme</w:t>
      </w:r>
      <w:proofErr w:type="spellEnd"/>
      <w:r w:rsidRPr="001B0771">
        <w:rPr>
          <w:szCs w:val="24"/>
        </w:rPr>
        <w:t xml:space="preserve"> (2012/2013 – 2013/</w:t>
      </w:r>
      <w:proofErr w:type="gramStart"/>
      <w:r w:rsidRPr="001B0771">
        <w:rPr>
          <w:szCs w:val="24"/>
        </w:rPr>
        <w:t>2014)</w:t>
      </w:r>
      <w:r w:rsidR="00A37E7B" w:rsidRPr="00DB2F33">
        <w:rPr>
          <w:szCs w:val="24"/>
          <w:vertAlign w:val="superscript"/>
        </w:rPr>
        <w:t>(</w:t>
      </w:r>
      <w:proofErr w:type="gramEnd"/>
      <w:r w:rsidR="00A37E7B" w:rsidRPr="00DB2F33">
        <w:rPr>
          <w:szCs w:val="24"/>
          <w:vertAlign w:val="superscript"/>
        </w:rPr>
        <w:t>22,</w:t>
      </w:r>
      <w:bookmarkStart w:id="0" w:name="_GoBack"/>
      <w:bookmarkEnd w:id="0"/>
      <w:r w:rsidR="00A37E7B" w:rsidRPr="00DB2F33">
        <w:rPr>
          <w:szCs w:val="24"/>
          <w:vertAlign w:val="superscript"/>
        </w:rPr>
        <w:t>23)</w:t>
      </w:r>
      <w:r w:rsidR="00A37E7B">
        <w:rPr>
          <w:szCs w:val="24"/>
        </w:rPr>
        <w:t xml:space="preserve"> </w:t>
      </w:r>
      <w:r w:rsidRPr="001B0771">
        <w:rPr>
          <w:szCs w:val="24"/>
        </w:rPr>
        <w:t>and The Eatwell Guide by Public Health England (2016)</w:t>
      </w:r>
      <w:r w:rsidR="00A37E7B" w:rsidRPr="00DB2F33">
        <w:rPr>
          <w:szCs w:val="24"/>
          <w:vertAlign w:val="superscript"/>
        </w:rPr>
        <w:t>(28)</w:t>
      </w:r>
    </w:p>
    <w:p w14:paraId="3294CC43" w14:textId="77777777" w:rsidR="00B945E9" w:rsidRPr="001B0771" w:rsidRDefault="00B945E9" w:rsidP="00B945E9">
      <w:pPr>
        <w:spacing w:line="360" w:lineRule="auto"/>
        <w:rPr>
          <w:szCs w:val="24"/>
        </w:rPr>
      </w:pPr>
    </w:p>
    <w:p w14:paraId="116CE475" w14:textId="77777777" w:rsidR="00B945E9" w:rsidRPr="001B0771" w:rsidRDefault="00B945E9" w:rsidP="00B945E9">
      <w:pPr>
        <w:spacing w:line="360" w:lineRule="auto"/>
        <w:rPr>
          <w:szCs w:val="24"/>
        </w:rPr>
      </w:pPr>
    </w:p>
    <w:p w14:paraId="1985263C" w14:textId="77777777" w:rsidR="00B945E9" w:rsidRPr="001B0771" w:rsidRDefault="00B945E9" w:rsidP="00B945E9">
      <w:pPr>
        <w:spacing w:line="360" w:lineRule="auto"/>
        <w:rPr>
          <w:szCs w:val="24"/>
        </w:rPr>
      </w:pPr>
    </w:p>
    <w:p w14:paraId="24189B73" w14:textId="77777777" w:rsidR="00B945E9" w:rsidRPr="001B0771" w:rsidRDefault="00B945E9" w:rsidP="00B945E9">
      <w:pPr>
        <w:spacing w:line="360" w:lineRule="auto"/>
        <w:rPr>
          <w:szCs w:val="24"/>
        </w:rPr>
      </w:pPr>
    </w:p>
    <w:p w14:paraId="5F104179" w14:textId="77777777" w:rsidR="00B945E9" w:rsidRPr="001B0771" w:rsidRDefault="00B945E9" w:rsidP="00B945E9">
      <w:pPr>
        <w:spacing w:line="360" w:lineRule="auto"/>
        <w:rPr>
          <w:szCs w:val="24"/>
        </w:rPr>
      </w:pPr>
    </w:p>
    <w:p w14:paraId="0DACAFBA" w14:textId="77777777" w:rsidR="00B945E9" w:rsidRPr="001B0771" w:rsidRDefault="00B945E9" w:rsidP="00B945E9">
      <w:pPr>
        <w:spacing w:line="360" w:lineRule="auto"/>
        <w:rPr>
          <w:szCs w:val="24"/>
        </w:rPr>
      </w:pPr>
    </w:p>
    <w:p w14:paraId="34DE3435" w14:textId="77777777" w:rsidR="00446F16" w:rsidRDefault="00446F16" w:rsidP="00B945E9">
      <w:pPr>
        <w:spacing w:line="360" w:lineRule="auto"/>
        <w:rPr>
          <w:szCs w:val="24"/>
        </w:rPr>
      </w:pPr>
    </w:p>
    <w:p w14:paraId="4B85B397" w14:textId="77777777" w:rsidR="00446F16" w:rsidRDefault="00446F16" w:rsidP="00B945E9">
      <w:pPr>
        <w:spacing w:line="360" w:lineRule="auto"/>
        <w:rPr>
          <w:szCs w:val="24"/>
        </w:rPr>
      </w:pPr>
    </w:p>
    <w:p w14:paraId="1A06AC42" w14:textId="77777777" w:rsidR="004E2344" w:rsidRDefault="004E2344" w:rsidP="004E2344">
      <w:pPr>
        <w:spacing w:after="200" w:line="276" w:lineRule="auto"/>
        <w:jc w:val="left"/>
        <w:rPr>
          <w:color w:val="FF0000"/>
          <w:szCs w:val="24"/>
        </w:rPr>
      </w:pPr>
    </w:p>
    <w:p w14:paraId="7E074587" w14:textId="77777777" w:rsidR="00F16ACA" w:rsidRDefault="00F16ACA" w:rsidP="004E2344">
      <w:pPr>
        <w:spacing w:after="200" w:line="276" w:lineRule="auto"/>
        <w:jc w:val="left"/>
        <w:rPr>
          <w:color w:val="FF0000"/>
          <w:szCs w:val="24"/>
        </w:rPr>
      </w:pPr>
    </w:p>
    <w:p w14:paraId="634775A1" w14:textId="0D0B1A94" w:rsidR="00F16ACA" w:rsidRDefault="00F16ACA" w:rsidP="004E2344">
      <w:pPr>
        <w:spacing w:after="200" w:line="276" w:lineRule="auto"/>
        <w:jc w:val="left"/>
        <w:rPr>
          <w:color w:val="FF0000"/>
          <w:szCs w:val="24"/>
        </w:rPr>
        <w:sectPr w:rsidR="00F16ACA" w:rsidSect="00C67996">
          <w:type w:val="continuous"/>
          <w:pgSz w:w="11907" w:h="16839" w:code="9"/>
          <w:pgMar w:top="1138" w:right="1138" w:bottom="1138" w:left="1138" w:header="720" w:footer="720" w:gutter="0"/>
          <w:cols w:space="720"/>
          <w:docGrid w:linePitch="360"/>
        </w:sectPr>
      </w:pPr>
    </w:p>
    <w:p w14:paraId="3DD75ECE" w14:textId="507205D3" w:rsidR="00F93E24" w:rsidRDefault="00F93E24" w:rsidP="00C67996">
      <w:pPr>
        <w:spacing w:line="360" w:lineRule="auto"/>
        <w:jc w:val="left"/>
        <w:rPr>
          <w:b/>
          <w:color w:val="FF0000"/>
          <w:szCs w:val="24"/>
          <w:lang w:eastAsia="en-US"/>
        </w:rPr>
      </w:pPr>
      <w:r w:rsidRPr="00C67996">
        <w:rPr>
          <w:b/>
          <w:color w:val="FF0000"/>
          <w:szCs w:val="24"/>
        </w:rPr>
        <w:lastRenderedPageBreak/>
        <w:t>Appendix B: Associations between tree nut consumption</w:t>
      </w:r>
      <w:r w:rsidR="00C67996" w:rsidRPr="00C67996">
        <w:rPr>
          <w:b/>
          <w:color w:val="FF0000"/>
          <w:szCs w:val="24"/>
        </w:rPr>
        <w:t xml:space="preserve"> </w:t>
      </w:r>
      <w:r w:rsidR="00C67996" w:rsidRPr="00C67996">
        <w:rPr>
          <w:b/>
          <w:color w:val="FF0000"/>
          <w:szCs w:val="24"/>
          <w:lang w:eastAsia="en-US"/>
        </w:rPr>
        <w:t>(</w:t>
      </w:r>
      <w:r w:rsidR="00C67996" w:rsidRPr="00C67996">
        <w:rPr>
          <w:b/>
          <w:color w:val="FF0000"/>
          <w:szCs w:val="24"/>
        </w:rPr>
        <w:t>≥7.08 g</w:t>
      </w:r>
      <w:r w:rsidR="00C67996" w:rsidRPr="00C67996">
        <w:rPr>
          <w:b/>
          <w:color w:val="FF0000"/>
          <w:szCs w:val="24"/>
          <w:lang w:eastAsia="en-US"/>
        </w:rPr>
        <w:t>) and CVD risk markers</w:t>
      </w:r>
    </w:p>
    <w:p w14:paraId="41565568" w14:textId="77777777" w:rsidR="00C67996" w:rsidRPr="00C67996" w:rsidRDefault="00C67996" w:rsidP="00C67996">
      <w:pPr>
        <w:spacing w:line="360" w:lineRule="auto"/>
        <w:jc w:val="left"/>
        <w:rPr>
          <w:b/>
          <w:color w:val="FF0000"/>
          <w:szCs w:val="24"/>
        </w:rPr>
      </w:pPr>
    </w:p>
    <w:p w14:paraId="47789028" w14:textId="4BAA0FF8" w:rsidR="004E2344" w:rsidRPr="008C6643" w:rsidRDefault="004E2344" w:rsidP="00C67996">
      <w:pPr>
        <w:spacing w:line="360" w:lineRule="auto"/>
        <w:jc w:val="left"/>
        <w:rPr>
          <w:i/>
          <w:color w:val="FF0000"/>
          <w:szCs w:val="24"/>
        </w:rPr>
      </w:pPr>
      <w:r w:rsidRPr="004D2F68">
        <w:rPr>
          <w:color w:val="FF0000"/>
          <w:szCs w:val="24"/>
        </w:rPr>
        <w:t xml:space="preserve">Table </w:t>
      </w:r>
      <w:r w:rsidR="00C67996">
        <w:rPr>
          <w:color w:val="FF0000"/>
          <w:szCs w:val="24"/>
        </w:rPr>
        <w:t>B1</w:t>
      </w:r>
      <w:r w:rsidRPr="004D2F68">
        <w:rPr>
          <w:color w:val="FF0000"/>
          <w:szCs w:val="24"/>
        </w:rPr>
        <w:t xml:space="preserve">. Cardiovascular disease risk marker values in UK adults (≥19 y) based on NDNS 2008-2014, n = 4,738, in consumers of </w:t>
      </w:r>
      <w:r w:rsidR="002C1873">
        <w:rPr>
          <w:color w:val="FF0000"/>
          <w:szCs w:val="24"/>
        </w:rPr>
        <w:t xml:space="preserve">≥7.08 g </w:t>
      </w:r>
      <w:r w:rsidRPr="004D2F68">
        <w:rPr>
          <w:color w:val="FF0000"/>
          <w:szCs w:val="24"/>
        </w:rPr>
        <w:t>of tree nut snack and non-consumers.</w:t>
      </w:r>
    </w:p>
    <w:tbl>
      <w:tblPr>
        <w:tblW w:w="9265" w:type="dxa"/>
        <w:tblInd w:w="9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36"/>
        <w:gridCol w:w="2977"/>
        <w:gridCol w:w="2693"/>
        <w:gridCol w:w="1559"/>
      </w:tblGrid>
      <w:tr w:rsidR="00DB2F33" w:rsidRPr="008C6643" w14:paraId="525B02F4" w14:textId="77777777" w:rsidTr="00DB2F33">
        <w:trPr>
          <w:trHeight w:val="300"/>
        </w:trPr>
        <w:tc>
          <w:tcPr>
            <w:tcW w:w="2036" w:type="dxa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3F333B" w14:textId="77777777" w:rsidR="00DB2F33" w:rsidRPr="008C6643" w:rsidRDefault="00DB2F33" w:rsidP="00443A9D">
            <w:pPr>
              <w:spacing w:line="360" w:lineRule="auto"/>
              <w:jc w:val="left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CVD risk marker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9D636E" w14:textId="5188134E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proofErr w:type="spellStart"/>
            <w:r w:rsidRPr="004D2F68">
              <w:rPr>
                <w:color w:val="FF0000"/>
                <w:szCs w:val="24"/>
                <w:lang w:eastAsia="en-US"/>
              </w:rPr>
              <w:t>Value</w:t>
            </w:r>
            <w:r w:rsidRPr="00F16ACA">
              <w:rPr>
                <w:color w:val="FF0000"/>
                <w:szCs w:val="24"/>
                <w:vertAlign w:val="superscript"/>
                <w:lang w:eastAsia="en-US"/>
              </w:rPr>
              <w:t>a</w:t>
            </w:r>
            <w:proofErr w:type="spellEnd"/>
          </w:p>
          <w:p w14:paraId="06FC5CB0" w14:textId="15A80279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(</w:t>
            </w:r>
            <w:r>
              <w:rPr>
                <w:color w:val="FF0000"/>
                <w:szCs w:val="24"/>
                <w:lang w:eastAsia="en-US"/>
              </w:rPr>
              <w:t>E</w:t>
            </w:r>
            <w:r w:rsidRPr="004D2F68">
              <w:rPr>
                <w:color w:val="FF0000"/>
                <w:szCs w:val="24"/>
                <w:lang w:eastAsia="en-US"/>
              </w:rPr>
              <w:t>stimated marginal mean (95% CI))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7C8ABB" w14:textId="77777777" w:rsidR="00DB2F33" w:rsidRPr="008C6643" w:rsidRDefault="00DB2F33" w:rsidP="00443A9D">
            <w:pPr>
              <w:spacing w:line="360" w:lineRule="auto"/>
              <w:jc w:val="center"/>
              <w:rPr>
                <w:i/>
                <w:color w:val="FF0000"/>
                <w:szCs w:val="24"/>
                <w:lang w:eastAsia="en-US"/>
              </w:rPr>
            </w:pPr>
            <w:r w:rsidRPr="004D2F68">
              <w:rPr>
                <w:i/>
                <w:color w:val="FF0000"/>
                <w:szCs w:val="24"/>
                <w:lang w:eastAsia="en-US"/>
              </w:rPr>
              <w:t>P-</w:t>
            </w:r>
            <w:r w:rsidRPr="004D2F68">
              <w:rPr>
                <w:color w:val="FF0000"/>
                <w:szCs w:val="24"/>
                <w:lang w:eastAsia="en-US"/>
              </w:rPr>
              <w:t>value</w:t>
            </w:r>
          </w:p>
        </w:tc>
      </w:tr>
      <w:tr w:rsidR="00DB2F33" w:rsidRPr="008C6643" w14:paraId="2E9AEA6E" w14:textId="77777777" w:rsidTr="00DB2F33">
        <w:trPr>
          <w:trHeight w:val="729"/>
        </w:trPr>
        <w:tc>
          <w:tcPr>
            <w:tcW w:w="2036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8D3904" w14:textId="77777777" w:rsidR="00DB2F33" w:rsidRPr="008C6643" w:rsidRDefault="00DB2F33" w:rsidP="00443A9D">
            <w:pPr>
              <w:spacing w:before="240" w:line="360" w:lineRule="auto"/>
              <w:jc w:val="left"/>
              <w:outlineLvl w:val="0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CD0F0EC" w14:textId="58CB1515" w:rsidR="00DB2F3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Consumers,</w:t>
            </w:r>
          </w:p>
          <w:p w14:paraId="01F4B022" w14:textId="60EBD42C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n=224</w:t>
            </w:r>
          </w:p>
          <w:p w14:paraId="66B7567D" w14:textId="4CF7AEBE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27DE190" w14:textId="52378841" w:rsidR="00DB2F3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Non-consumer,</w:t>
            </w:r>
          </w:p>
          <w:p w14:paraId="37731183" w14:textId="6B5ADD9D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n=4,514</w:t>
            </w:r>
          </w:p>
          <w:p w14:paraId="52431738" w14:textId="4F47324F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DEAB3D" w14:textId="77777777" w:rsidR="00DB2F33" w:rsidRPr="008C6643" w:rsidRDefault="00DB2F33" w:rsidP="00DB2F33">
            <w:pPr>
              <w:spacing w:before="240" w:line="360" w:lineRule="auto"/>
              <w:outlineLvl w:val="0"/>
              <w:rPr>
                <w:color w:val="FF0000"/>
                <w:szCs w:val="24"/>
                <w:lang w:eastAsia="en-US"/>
              </w:rPr>
            </w:pPr>
          </w:p>
        </w:tc>
      </w:tr>
      <w:tr w:rsidR="00DB2F33" w:rsidRPr="008C6643" w14:paraId="46833F48" w14:textId="77777777" w:rsidTr="00DB2F33">
        <w:trPr>
          <w:trHeight w:val="33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8204CA4" w14:textId="3BE86700" w:rsidR="00DB2F33" w:rsidRPr="008C6643" w:rsidRDefault="00DB2F33" w:rsidP="00443A9D">
            <w:pPr>
              <w:spacing w:line="360" w:lineRule="auto"/>
              <w:jc w:val="left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BMI (kg/m</w:t>
            </w:r>
            <w:proofErr w:type="gramStart"/>
            <w:r w:rsidRPr="004D2F68">
              <w:rPr>
                <w:color w:val="FF0000"/>
                <w:szCs w:val="24"/>
                <w:vertAlign w:val="superscript"/>
                <w:lang w:eastAsia="en-US"/>
              </w:rPr>
              <w:t>2</w:t>
            </w:r>
            <w:r w:rsidRPr="004D2F68">
              <w:rPr>
                <w:color w:val="FF0000"/>
                <w:szCs w:val="24"/>
                <w:lang w:eastAsia="en-US"/>
              </w:rPr>
              <w:t>)</w:t>
            </w:r>
            <w:r w:rsidRPr="00F16ACA">
              <w:rPr>
                <w:color w:val="FF0000"/>
                <w:szCs w:val="24"/>
                <w:vertAlign w:val="superscript"/>
                <w:lang w:eastAsia="en-US"/>
              </w:rPr>
              <w:t>b</w:t>
            </w:r>
            <w:proofErr w:type="gramEnd"/>
            <w:r>
              <w:rPr>
                <w:color w:val="FF0000"/>
                <w:szCs w:val="24"/>
                <w:vertAlign w:val="superscript"/>
                <w:lang w:eastAsia="en-US"/>
              </w:rPr>
              <w:t>, ϯ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28D86A" w14:textId="66A72D7C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26.0 (24.4, 27.6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03341F" w14:textId="6C8A1583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26.1</w:t>
            </w:r>
            <w:r w:rsidRPr="003277A4">
              <w:rPr>
                <w:color w:val="FF0000"/>
                <w:szCs w:val="24"/>
                <w:lang w:eastAsia="en-US"/>
              </w:rPr>
              <w:t xml:space="preserve"> (24.</w:t>
            </w:r>
            <w:r>
              <w:rPr>
                <w:color w:val="FF0000"/>
                <w:szCs w:val="24"/>
                <w:lang w:eastAsia="en-US"/>
              </w:rPr>
              <w:t>8</w:t>
            </w:r>
            <w:r w:rsidRPr="003277A4">
              <w:rPr>
                <w:color w:val="FF0000"/>
                <w:szCs w:val="24"/>
                <w:lang w:eastAsia="en-US"/>
              </w:rPr>
              <w:t>, 27.</w:t>
            </w:r>
            <w:r>
              <w:rPr>
                <w:color w:val="FF0000"/>
                <w:szCs w:val="24"/>
                <w:lang w:eastAsia="en-US"/>
              </w:rPr>
              <w:t>5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F36C64" w14:textId="08684139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 w:rsidRPr="00B61052">
              <w:rPr>
                <w:color w:val="FF0000"/>
                <w:szCs w:val="24"/>
                <w:lang w:eastAsia="en-US"/>
              </w:rPr>
              <w:t>0.70</w:t>
            </w:r>
            <w:r>
              <w:rPr>
                <w:color w:val="FF0000"/>
                <w:szCs w:val="24"/>
                <w:lang w:eastAsia="en-US"/>
              </w:rPr>
              <w:t>5</w:t>
            </w:r>
          </w:p>
        </w:tc>
      </w:tr>
      <w:tr w:rsidR="00DB2F33" w:rsidRPr="008C6643" w14:paraId="55013CA4" w14:textId="77777777" w:rsidTr="00DB2F33">
        <w:trPr>
          <w:trHeight w:val="33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41F7DB5" w14:textId="4F94F2F8" w:rsidR="00DB2F33" w:rsidRPr="008C6643" w:rsidRDefault="00DB2F33" w:rsidP="00443A9D">
            <w:pPr>
              <w:spacing w:line="360" w:lineRule="auto"/>
              <w:jc w:val="left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WC (cm)</w:t>
            </w:r>
            <w:r w:rsidRPr="00F16ACA">
              <w:rPr>
                <w:color w:val="FF0000"/>
                <w:szCs w:val="24"/>
                <w:vertAlign w:val="superscript"/>
                <w:lang w:eastAsia="en-US"/>
              </w:rPr>
              <w:t>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264659" w14:textId="23D640A4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91.6 (88.3, 94.9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6583A5" w14:textId="16B93E57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94.0 (91.2, 96.8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783D71" w14:textId="5B9947E0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 w:rsidRPr="00B61052">
              <w:rPr>
                <w:color w:val="FF0000"/>
                <w:szCs w:val="24"/>
                <w:lang w:eastAsia="en-US"/>
              </w:rPr>
              <w:t>0.</w:t>
            </w:r>
            <w:r>
              <w:rPr>
                <w:color w:val="FF0000"/>
                <w:szCs w:val="24"/>
                <w:lang w:eastAsia="en-US"/>
              </w:rPr>
              <w:t>01</w:t>
            </w:r>
            <w:r w:rsidRPr="00B61052">
              <w:rPr>
                <w:color w:val="FF0000"/>
                <w:szCs w:val="24"/>
                <w:lang w:eastAsia="en-US"/>
              </w:rPr>
              <w:t>5</w:t>
            </w:r>
            <w:r>
              <w:rPr>
                <w:color w:val="FF0000"/>
                <w:szCs w:val="24"/>
                <w:lang w:eastAsia="en-US"/>
              </w:rPr>
              <w:t>*</w:t>
            </w:r>
          </w:p>
        </w:tc>
      </w:tr>
      <w:tr w:rsidR="00DB2F33" w:rsidRPr="008C6643" w14:paraId="440438F1" w14:textId="77777777" w:rsidTr="00DB2F33">
        <w:trPr>
          <w:trHeight w:val="33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B804868" w14:textId="2039E34C" w:rsidR="00DB2F33" w:rsidRPr="008C6643" w:rsidRDefault="00DB2F33" w:rsidP="00443A9D">
            <w:pPr>
              <w:spacing w:line="360" w:lineRule="auto"/>
              <w:jc w:val="left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SBP (mmHg)</w:t>
            </w:r>
            <w:r w:rsidRPr="00F16ACA">
              <w:rPr>
                <w:color w:val="FF0000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6675AD" w14:textId="75F6FFFC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118.3 (114.5, 122.2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BD5B05" w14:textId="51DA6FF8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123.7</w:t>
            </w:r>
            <w:r w:rsidRPr="003277A4">
              <w:rPr>
                <w:color w:val="FF0000"/>
                <w:szCs w:val="24"/>
                <w:lang w:eastAsia="en-US"/>
              </w:rPr>
              <w:t xml:space="preserve"> (1</w:t>
            </w:r>
            <w:r>
              <w:rPr>
                <w:color w:val="FF0000"/>
                <w:szCs w:val="24"/>
                <w:lang w:eastAsia="en-US"/>
              </w:rPr>
              <w:t>20</w:t>
            </w:r>
            <w:r w:rsidRPr="003277A4">
              <w:rPr>
                <w:color w:val="FF0000"/>
                <w:szCs w:val="24"/>
                <w:lang w:eastAsia="en-US"/>
              </w:rPr>
              <w:t>.</w:t>
            </w:r>
            <w:r>
              <w:rPr>
                <w:color w:val="FF0000"/>
                <w:szCs w:val="24"/>
                <w:lang w:eastAsia="en-US"/>
              </w:rPr>
              <w:t>5, 126.9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599B51" w14:textId="77777777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&lt;0.001*</w:t>
            </w:r>
          </w:p>
        </w:tc>
      </w:tr>
      <w:tr w:rsidR="00DB2F33" w:rsidRPr="008C6643" w14:paraId="00AA78D8" w14:textId="77777777" w:rsidTr="00DB2F33">
        <w:trPr>
          <w:trHeight w:val="33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1094ABE" w14:textId="67D18DDC" w:rsidR="00DB2F33" w:rsidRPr="008C6643" w:rsidRDefault="00DB2F33" w:rsidP="00443A9D">
            <w:pPr>
              <w:spacing w:line="360" w:lineRule="auto"/>
              <w:jc w:val="left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DBP (mmHg)</w:t>
            </w:r>
            <w:r w:rsidRPr="00F16ACA">
              <w:rPr>
                <w:color w:val="FF0000"/>
                <w:szCs w:val="24"/>
                <w:vertAlign w:val="superscript"/>
                <w:lang w:eastAsia="en-US"/>
              </w:rPr>
              <w:t>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C854906" w14:textId="2695988A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69.3 (66.5</w:t>
            </w:r>
            <w:r w:rsidRPr="003277A4">
              <w:rPr>
                <w:color w:val="FF0000"/>
                <w:szCs w:val="24"/>
                <w:lang w:eastAsia="en-US"/>
              </w:rPr>
              <w:t>, 72.</w:t>
            </w:r>
            <w:r>
              <w:rPr>
                <w:color w:val="FF0000"/>
                <w:szCs w:val="24"/>
                <w:lang w:eastAsia="en-US"/>
              </w:rPr>
              <w:t>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4F112A" w14:textId="55F18FB0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71.7 (69.4</w:t>
            </w:r>
            <w:r w:rsidRPr="003277A4">
              <w:rPr>
                <w:color w:val="FF0000"/>
                <w:szCs w:val="24"/>
                <w:lang w:eastAsia="en-US"/>
              </w:rPr>
              <w:t>, 74.</w:t>
            </w:r>
            <w:r>
              <w:rPr>
                <w:color w:val="FF0000"/>
                <w:szCs w:val="24"/>
                <w:lang w:eastAsia="en-US"/>
              </w:rPr>
              <w:t>0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527BFC" w14:textId="2F223804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0.005</w:t>
            </w:r>
            <w:r w:rsidRPr="004D2F68">
              <w:rPr>
                <w:color w:val="FF0000"/>
                <w:szCs w:val="24"/>
                <w:lang w:eastAsia="en-US"/>
              </w:rPr>
              <w:t>*</w:t>
            </w:r>
          </w:p>
        </w:tc>
      </w:tr>
      <w:tr w:rsidR="00DB2F33" w:rsidRPr="008C6643" w14:paraId="51331787" w14:textId="77777777" w:rsidTr="00DB2F33">
        <w:trPr>
          <w:trHeight w:val="33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6EAB8C8" w14:textId="465B44E6" w:rsidR="00DB2F33" w:rsidRPr="008C6643" w:rsidRDefault="00DB2F33" w:rsidP="00443A9D">
            <w:pPr>
              <w:spacing w:line="360" w:lineRule="auto"/>
              <w:jc w:val="left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TC (mmol/</w:t>
            </w:r>
            <w:proofErr w:type="gramStart"/>
            <w:r w:rsidRPr="004D2F68">
              <w:rPr>
                <w:color w:val="FF0000"/>
                <w:szCs w:val="24"/>
                <w:lang w:eastAsia="en-US"/>
              </w:rPr>
              <w:t>l)</w:t>
            </w:r>
            <w:r w:rsidRPr="000D4272">
              <w:rPr>
                <w:color w:val="FF0000"/>
                <w:szCs w:val="24"/>
                <w:vertAlign w:val="superscript"/>
                <w:lang w:eastAsia="en-US"/>
              </w:rPr>
              <w:t>e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BFA0FC" w14:textId="4ECBCC91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5.0 (4.6, 5.4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8F97BB" w14:textId="77777777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4.9 (4.5</w:t>
            </w:r>
            <w:r w:rsidRPr="003277A4">
              <w:rPr>
                <w:color w:val="FF0000"/>
                <w:szCs w:val="24"/>
                <w:lang w:eastAsia="en-US"/>
              </w:rPr>
              <w:t>, 5.3)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BCE19F" w14:textId="7B73ABB7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0.</w:t>
            </w:r>
            <w:r>
              <w:rPr>
                <w:color w:val="FF0000"/>
                <w:szCs w:val="24"/>
                <w:lang w:eastAsia="en-US"/>
              </w:rPr>
              <w:t>299</w:t>
            </w:r>
          </w:p>
        </w:tc>
      </w:tr>
      <w:tr w:rsidR="00DB2F33" w:rsidRPr="008C6643" w14:paraId="6DC98E84" w14:textId="77777777" w:rsidTr="00DB2F33">
        <w:trPr>
          <w:trHeight w:val="33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01A6518" w14:textId="2830E17B" w:rsidR="00DB2F33" w:rsidRPr="008C6643" w:rsidRDefault="00DB2F33" w:rsidP="00443A9D">
            <w:pPr>
              <w:spacing w:line="360" w:lineRule="auto"/>
              <w:jc w:val="left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TAG (mmol/</w:t>
            </w:r>
            <w:proofErr w:type="gramStart"/>
            <w:r w:rsidRPr="004D2F68">
              <w:rPr>
                <w:color w:val="FF0000"/>
                <w:szCs w:val="24"/>
                <w:lang w:eastAsia="en-US"/>
              </w:rPr>
              <w:t>l)</w:t>
            </w:r>
            <w:r w:rsidRPr="000D4272">
              <w:rPr>
                <w:color w:val="FF0000"/>
                <w:szCs w:val="24"/>
                <w:vertAlign w:val="superscript"/>
                <w:lang w:eastAsia="en-US"/>
              </w:rPr>
              <w:t>f</w:t>
            </w:r>
            <w:proofErr w:type="gramEnd"/>
            <w:r>
              <w:rPr>
                <w:color w:val="FF0000"/>
                <w:szCs w:val="24"/>
                <w:vertAlign w:val="superscript"/>
                <w:lang w:eastAsia="en-US"/>
              </w:rPr>
              <w:t>, ϯ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A51565" w14:textId="77777777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1.1</w:t>
            </w:r>
            <w:r w:rsidRPr="003277A4">
              <w:rPr>
                <w:color w:val="FF0000"/>
                <w:szCs w:val="24"/>
                <w:lang w:eastAsia="en-US"/>
              </w:rPr>
              <w:t xml:space="preserve"> (0.8, 1.</w:t>
            </w:r>
            <w:r>
              <w:rPr>
                <w:color w:val="FF0000"/>
                <w:szCs w:val="24"/>
                <w:lang w:eastAsia="en-US"/>
              </w:rPr>
              <w:t>4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32AF0F" w14:textId="77777777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1.1</w:t>
            </w:r>
            <w:r w:rsidRPr="003277A4">
              <w:rPr>
                <w:color w:val="FF0000"/>
                <w:szCs w:val="24"/>
                <w:lang w:eastAsia="en-US"/>
              </w:rPr>
              <w:t xml:space="preserve"> (0.9, 1.4)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72DDE4" w14:textId="61DD1FA9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0.424</w:t>
            </w:r>
          </w:p>
        </w:tc>
      </w:tr>
      <w:tr w:rsidR="00DB2F33" w:rsidRPr="008C6643" w14:paraId="4D7C55E4" w14:textId="77777777" w:rsidTr="00DB2F33">
        <w:trPr>
          <w:trHeight w:val="33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86D60ED" w14:textId="366F1308" w:rsidR="00DB2F33" w:rsidRPr="008C6643" w:rsidRDefault="00DB2F33" w:rsidP="00443A9D">
            <w:pPr>
              <w:spacing w:line="360" w:lineRule="auto"/>
              <w:jc w:val="left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HDL-C (mmol/</w:t>
            </w:r>
            <w:proofErr w:type="gramStart"/>
            <w:r w:rsidRPr="004D2F68">
              <w:rPr>
                <w:color w:val="FF0000"/>
                <w:szCs w:val="24"/>
                <w:lang w:eastAsia="en-US"/>
              </w:rPr>
              <w:t>l)</w:t>
            </w:r>
            <w:r w:rsidRPr="000D4272">
              <w:rPr>
                <w:color w:val="FF0000"/>
                <w:szCs w:val="24"/>
                <w:vertAlign w:val="superscript"/>
                <w:lang w:eastAsia="en-US"/>
              </w:rPr>
              <w:t>e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2C516B" w14:textId="5CA382A1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1.5 (1.4</w:t>
            </w:r>
            <w:r w:rsidRPr="003277A4">
              <w:rPr>
                <w:color w:val="FF0000"/>
                <w:szCs w:val="24"/>
                <w:lang w:eastAsia="en-US"/>
              </w:rPr>
              <w:t>, 1.</w:t>
            </w:r>
            <w:r>
              <w:rPr>
                <w:color w:val="FF0000"/>
                <w:szCs w:val="24"/>
                <w:lang w:eastAsia="en-US"/>
              </w:rPr>
              <w:t>7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3C503D" w14:textId="07D735AE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1.5 (1.3, 1.6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DEE9E2" w14:textId="663309DC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0.</w:t>
            </w:r>
            <w:r>
              <w:rPr>
                <w:color w:val="FF0000"/>
                <w:szCs w:val="24"/>
                <w:lang w:eastAsia="en-US"/>
              </w:rPr>
              <w:t>053</w:t>
            </w:r>
          </w:p>
        </w:tc>
      </w:tr>
      <w:tr w:rsidR="00DB2F33" w:rsidRPr="008C6643" w14:paraId="02445AD5" w14:textId="77777777" w:rsidTr="00DB2F33">
        <w:trPr>
          <w:trHeight w:val="33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5F7F46E" w14:textId="4C9F2C91" w:rsidR="00DB2F33" w:rsidRPr="008C6643" w:rsidRDefault="00DB2F33" w:rsidP="00443A9D">
            <w:pPr>
              <w:spacing w:line="360" w:lineRule="auto"/>
              <w:jc w:val="left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LDL-C (mmol/</w:t>
            </w:r>
            <w:proofErr w:type="gramStart"/>
            <w:r w:rsidRPr="004D2F68">
              <w:rPr>
                <w:color w:val="FF0000"/>
                <w:szCs w:val="24"/>
                <w:lang w:eastAsia="en-US"/>
              </w:rPr>
              <w:t>l)</w:t>
            </w:r>
            <w:r w:rsidRPr="000D4272">
              <w:rPr>
                <w:color w:val="FF0000"/>
                <w:szCs w:val="24"/>
                <w:vertAlign w:val="superscript"/>
                <w:lang w:eastAsia="en-US"/>
              </w:rPr>
              <w:t>g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68E952" w14:textId="6ADC84E3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2.9</w:t>
            </w:r>
            <w:r w:rsidRPr="003277A4">
              <w:rPr>
                <w:color w:val="FF0000"/>
                <w:szCs w:val="24"/>
                <w:lang w:eastAsia="en-US"/>
              </w:rPr>
              <w:t xml:space="preserve"> (2.</w:t>
            </w:r>
            <w:r>
              <w:rPr>
                <w:color w:val="FF0000"/>
                <w:szCs w:val="24"/>
                <w:lang w:eastAsia="en-US"/>
              </w:rPr>
              <w:t>6</w:t>
            </w:r>
            <w:r w:rsidRPr="003277A4">
              <w:rPr>
                <w:color w:val="FF0000"/>
                <w:szCs w:val="24"/>
                <w:lang w:eastAsia="en-US"/>
              </w:rPr>
              <w:t>, 3.</w:t>
            </w:r>
            <w:r>
              <w:rPr>
                <w:color w:val="FF0000"/>
                <w:szCs w:val="24"/>
                <w:lang w:eastAsia="en-US"/>
              </w:rPr>
              <w:t>3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CB9B99" w14:textId="264DCB2A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2.9</w:t>
            </w:r>
            <w:r w:rsidRPr="003277A4">
              <w:rPr>
                <w:color w:val="FF0000"/>
                <w:szCs w:val="24"/>
                <w:lang w:eastAsia="en-US"/>
              </w:rPr>
              <w:t xml:space="preserve"> (2.</w:t>
            </w:r>
            <w:r>
              <w:rPr>
                <w:color w:val="FF0000"/>
                <w:szCs w:val="24"/>
                <w:lang w:eastAsia="en-US"/>
              </w:rPr>
              <w:t>6</w:t>
            </w:r>
            <w:r w:rsidRPr="003277A4">
              <w:rPr>
                <w:color w:val="FF0000"/>
                <w:szCs w:val="24"/>
                <w:lang w:eastAsia="en-US"/>
              </w:rPr>
              <w:t>, 3.2)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1D07E2" w14:textId="1177C71A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0.</w:t>
            </w:r>
            <w:r>
              <w:rPr>
                <w:color w:val="FF0000"/>
                <w:szCs w:val="24"/>
                <w:lang w:eastAsia="en-US"/>
              </w:rPr>
              <w:t>531</w:t>
            </w:r>
          </w:p>
        </w:tc>
      </w:tr>
      <w:tr w:rsidR="00DB2F33" w:rsidRPr="008C6643" w14:paraId="558F16C4" w14:textId="77777777" w:rsidTr="00DB2F33">
        <w:trPr>
          <w:trHeight w:val="330"/>
        </w:trPr>
        <w:tc>
          <w:tcPr>
            <w:tcW w:w="203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35D4D30" w14:textId="5E39EDD3" w:rsidR="00DB2F33" w:rsidRPr="008C6643" w:rsidRDefault="00DB2F33" w:rsidP="00443A9D">
            <w:pPr>
              <w:spacing w:line="360" w:lineRule="auto"/>
              <w:jc w:val="left"/>
              <w:rPr>
                <w:color w:val="FF0000"/>
                <w:szCs w:val="24"/>
                <w:lang w:eastAsia="en-US"/>
              </w:rPr>
            </w:pPr>
            <w:proofErr w:type="gramStart"/>
            <w:r w:rsidRPr="004D2F68">
              <w:rPr>
                <w:color w:val="FF0000"/>
                <w:szCs w:val="24"/>
                <w:lang w:eastAsia="en-US"/>
              </w:rPr>
              <w:t>TC:HDL</w:t>
            </w:r>
            <w:proofErr w:type="gramEnd"/>
            <w:r w:rsidRPr="004D2F68">
              <w:rPr>
                <w:color w:val="FF0000"/>
                <w:szCs w:val="24"/>
                <w:lang w:eastAsia="en-US"/>
              </w:rPr>
              <w:t>-C</w:t>
            </w:r>
            <w:r w:rsidRPr="000D4272">
              <w:rPr>
                <w:color w:val="FF0000"/>
                <w:szCs w:val="24"/>
                <w:vertAlign w:val="superscript"/>
                <w:lang w:eastAsia="en-US"/>
              </w:rPr>
              <w:t>e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66D991" w14:textId="079205D2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3.6 (3.1, 4.0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B58A2E" w14:textId="0443575C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3.6 (3.2, 4.0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8830650" w14:textId="267B22EB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0</w:t>
            </w:r>
            <w:r>
              <w:rPr>
                <w:color w:val="FF0000"/>
                <w:szCs w:val="24"/>
                <w:lang w:eastAsia="en-US"/>
              </w:rPr>
              <w:t>.924</w:t>
            </w:r>
          </w:p>
        </w:tc>
      </w:tr>
      <w:tr w:rsidR="00DB2F33" w:rsidRPr="008C6643" w14:paraId="6822D326" w14:textId="77777777" w:rsidTr="00DB2F33">
        <w:trPr>
          <w:trHeight w:val="345"/>
        </w:trPr>
        <w:tc>
          <w:tcPr>
            <w:tcW w:w="20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D694D5E" w14:textId="76184471" w:rsidR="00DB2F33" w:rsidRPr="008C6643" w:rsidRDefault="00DB2F33" w:rsidP="00443A9D">
            <w:pPr>
              <w:spacing w:line="360" w:lineRule="auto"/>
              <w:jc w:val="left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CRP (mg/</w:t>
            </w:r>
            <w:proofErr w:type="gramStart"/>
            <w:r w:rsidRPr="004D2F68">
              <w:rPr>
                <w:color w:val="FF0000"/>
                <w:szCs w:val="24"/>
                <w:lang w:eastAsia="en-US"/>
              </w:rPr>
              <w:t>l)</w:t>
            </w:r>
            <w:r w:rsidRPr="00B70750">
              <w:rPr>
                <w:color w:val="FF0000"/>
                <w:szCs w:val="24"/>
                <w:vertAlign w:val="superscript"/>
                <w:lang w:eastAsia="en-US"/>
              </w:rPr>
              <w:t>h</w:t>
            </w:r>
            <w:proofErr w:type="gramEnd"/>
            <w:r>
              <w:rPr>
                <w:color w:val="FF0000"/>
                <w:szCs w:val="24"/>
                <w:vertAlign w:val="superscript"/>
                <w:lang w:eastAsia="en-US"/>
              </w:rPr>
              <w:t>, 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CA0C20" w14:textId="514CFC0B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2.0</w:t>
            </w:r>
            <w:r w:rsidRPr="003277A4">
              <w:rPr>
                <w:color w:val="FF0000"/>
                <w:szCs w:val="24"/>
                <w:lang w:eastAsia="en-US"/>
              </w:rPr>
              <w:t xml:space="preserve"> (1.</w:t>
            </w:r>
            <w:r>
              <w:rPr>
                <w:color w:val="FF0000"/>
                <w:szCs w:val="24"/>
                <w:lang w:eastAsia="en-US"/>
              </w:rPr>
              <w:t>4, 2.8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4026EE" w14:textId="453EE89F" w:rsidR="00DB2F33" w:rsidRPr="008C6643" w:rsidRDefault="00DB2F33" w:rsidP="00187317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>
              <w:rPr>
                <w:color w:val="FF0000"/>
                <w:szCs w:val="24"/>
                <w:lang w:eastAsia="en-US"/>
              </w:rPr>
              <w:t>2.0</w:t>
            </w:r>
            <w:r w:rsidRPr="003277A4">
              <w:rPr>
                <w:color w:val="FF0000"/>
                <w:szCs w:val="24"/>
                <w:lang w:eastAsia="en-US"/>
              </w:rPr>
              <w:t xml:space="preserve"> (1.</w:t>
            </w:r>
            <w:r>
              <w:rPr>
                <w:color w:val="FF0000"/>
                <w:szCs w:val="24"/>
                <w:lang w:eastAsia="en-US"/>
              </w:rPr>
              <w:t>5</w:t>
            </w:r>
            <w:r w:rsidRPr="003277A4">
              <w:rPr>
                <w:color w:val="FF0000"/>
                <w:szCs w:val="24"/>
                <w:lang w:eastAsia="en-US"/>
              </w:rPr>
              <w:t>, 2.</w:t>
            </w:r>
            <w:r>
              <w:rPr>
                <w:color w:val="FF0000"/>
                <w:szCs w:val="24"/>
                <w:lang w:eastAsia="en-US"/>
              </w:rPr>
              <w:t>8</w:t>
            </w:r>
            <w:r w:rsidRPr="003277A4">
              <w:rPr>
                <w:color w:val="FF0000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224350" w14:textId="196EFB26" w:rsidR="00DB2F33" w:rsidRPr="008C6643" w:rsidRDefault="00DB2F33" w:rsidP="00443A9D">
            <w:pPr>
              <w:spacing w:line="360" w:lineRule="auto"/>
              <w:jc w:val="center"/>
              <w:rPr>
                <w:color w:val="FF0000"/>
                <w:szCs w:val="24"/>
                <w:lang w:eastAsia="en-US"/>
              </w:rPr>
            </w:pPr>
            <w:r w:rsidRPr="004D2F68">
              <w:rPr>
                <w:color w:val="FF0000"/>
                <w:szCs w:val="24"/>
                <w:lang w:eastAsia="en-US"/>
              </w:rPr>
              <w:t>0.</w:t>
            </w:r>
            <w:r>
              <w:rPr>
                <w:color w:val="FF0000"/>
                <w:szCs w:val="24"/>
                <w:lang w:eastAsia="en-US"/>
              </w:rPr>
              <w:t>685</w:t>
            </w:r>
          </w:p>
        </w:tc>
      </w:tr>
    </w:tbl>
    <w:p w14:paraId="46FD382D" w14:textId="0254B0D3" w:rsidR="00456F87" w:rsidRDefault="00F16ACA" w:rsidP="00055AF3">
      <w:pPr>
        <w:spacing w:line="360" w:lineRule="auto"/>
        <w:ind w:left="284" w:hanging="284"/>
        <w:rPr>
          <w:color w:val="FF0000"/>
          <w:szCs w:val="24"/>
        </w:rPr>
      </w:pPr>
      <w:r w:rsidRPr="009C53EA">
        <w:rPr>
          <w:i/>
          <w:color w:val="FF0000"/>
          <w:szCs w:val="24"/>
        </w:rPr>
        <w:t>a</w:t>
      </w:r>
      <w:r>
        <w:rPr>
          <w:color w:val="FF0000"/>
          <w:szCs w:val="24"/>
        </w:rPr>
        <w:t xml:space="preserve"> </w:t>
      </w:r>
      <w:r w:rsidR="00456F87">
        <w:rPr>
          <w:color w:val="FF0000"/>
          <w:szCs w:val="24"/>
        </w:rPr>
        <w:t>Survey-adjusted GLM with a linear link function and predictors: age,</w:t>
      </w:r>
      <w:r w:rsidR="00456F87" w:rsidRPr="004D2F68">
        <w:rPr>
          <w:color w:val="FF0000"/>
          <w:szCs w:val="24"/>
        </w:rPr>
        <w:t xml:space="preserve"> sex, ethnicity, socio-economic and smoking status, alcohol and energy intakes</w:t>
      </w:r>
      <w:r w:rsidR="00456F87">
        <w:rPr>
          <w:color w:val="FF0000"/>
          <w:szCs w:val="24"/>
        </w:rPr>
        <w:t xml:space="preserve"> was used.</w:t>
      </w:r>
    </w:p>
    <w:p w14:paraId="456149FB" w14:textId="5847226F" w:rsidR="00055AF3" w:rsidRPr="00055AF3" w:rsidRDefault="00055AF3" w:rsidP="00055AF3">
      <w:pPr>
        <w:spacing w:line="360" w:lineRule="auto"/>
        <w:ind w:left="284" w:hanging="284"/>
        <w:rPr>
          <w:iCs/>
          <w:color w:val="FF0000"/>
          <w:szCs w:val="24"/>
        </w:rPr>
      </w:pPr>
      <w:proofErr w:type="spellStart"/>
      <w:r w:rsidRPr="00055AF3">
        <w:rPr>
          <w:iCs/>
          <w:color w:val="FF0000"/>
          <w:szCs w:val="24"/>
          <w:vertAlign w:val="superscript"/>
        </w:rPr>
        <w:t>ϯ</w:t>
      </w:r>
      <w:r>
        <w:rPr>
          <w:iCs/>
          <w:color w:val="FF0000"/>
          <w:szCs w:val="24"/>
        </w:rPr>
        <w:t>Geometric</w:t>
      </w:r>
      <w:proofErr w:type="spellEnd"/>
      <w:r>
        <w:rPr>
          <w:iCs/>
          <w:color w:val="FF0000"/>
          <w:szCs w:val="24"/>
        </w:rPr>
        <w:t xml:space="preserve"> marginal means were presented due to non-normally distributed residual data.</w:t>
      </w:r>
    </w:p>
    <w:p w14:paraId="1C28E5FC" w14:textId="1B63415A" w:rsidR="00913745" w:rsidRDefault="00913745" w:rsidP="00F16ACA">
      <w:pPr>
        <w:spacing w:line="360" w:lineRule="auto"/>
        <w:rPr>
          <w:color w:val="FF0000"/>
          <w:szCs w:val="24"/>
        </w:rPr>
      </w:pPr>
      <w:r>
        <w:rPr>
          <w:color w:val="FF0000"/>
          <w:szCs w:val="24"/>
        </w:rPr>
        <w:t>Due to missing data, sample sizes were as follows:</w:t>
      </w:r>
      <w:r w:rsidR="00CE70B5">
        <w:rPr>
          <w:color w:val="FF0000"/>
          <w:szCs w:val="24"/>
        </w:rPr>
        <w:t xml:space="preserve"> TNS-</w:t>
      </w:r>
      <w:r w:rsidR="00B70750">
        <w:rPr>
          <w:color w:val="FF0000"/>
          <w:szCs w:val="24"/>
        </w:rPr>
        <w:t>B</w:t>
      </w:r>
      <w:r w:rsidR="00CE70B5">
        <w:rPr>
          <w:color w:val="FF0000"/>
          <w:szCs w:val="24"/>
        </w:rPr>
        <w:t xml:space="preserve"> consumer 110</w:t>
      </w:r>
      <w:r w:rsidR="00CE70B5" w:rsidRPr="00CE70B5">
        <w:rPr>
          <w:color w:val="FF0000"/>
          <w:szCs w:val="24"/>
          <w:vertAlign w:val="superscript"/>
        </w:rPr>
        <w:t>b</w:t>
      </w:r>
      <w:r w:rsidR="00CE70B5">
        <w:rPr>
          <w:color w:val="FF0000"/>
          <w:szCs w:val="24"/>
        </w:rPr>
        <w:t>, 1</w:t>
      </w:r>
      <w:r w:rsidR="00F03EAD">
        <w:rPr>
          <w:color w:val="FF0000"/>
          <w:szCs w:val="24"/>
        </w:rPr>
        <w:t>86</w:t>
      </w:r>
      <w:r w:rsidR="00CE70B5" w:rsidRPr="00CE70B5">
        <w:rPr>
          <w:color w:val="FF0000"/>
          <w:szCs w:val="24"/>
          <w:vertAlign w:val="superscript"/>
        </w:rPr>
        <w:t>c</w:t>
      </w:r>
      <w:r w:rsidR="00CE70B5">
        <w:rPr>
          <w:color w:val="FF0000"/>
          <w:szCs w:val="24"/>
        </w:rPr>
        <w:t>, 1</w:t>
      </w:r>
      <w:r w:rsidR="00F03EAD">
        <w:rPr>
          <w:color w:val="FF0000"/>
          <w:szCs w:val="24"/>
        </w:rPr>
        <w:t>62</w:t>
      </w:r>
      <w:r w:rsidR="00CE70B5" w:rsidRPr="00CE70B5">
        <w:rPr>
          <w:color w:val="FF0000"/>
          <w:szCs w:val="24"/>
          <w:vertAlign w:val="superscript"/>
        </w:rPr>
        <w:t>d</w:t>
      </w:r>
      <w:r w:rsidR="00CE70B5">
        <w:rPr>
          <w:color w:val="FF0000"/>
          <w:szCs w:val="24"/>
        </w:rPr>
        <w:t xml:space="preserve">, and </w:t>
      </w:r>
      <w:r w:rsidR="00F03EAD" w:rsidRPr="00B70750">
        <w:rPr>
          <w:color w:val="FF0000"/>
          <w:szCs w:val="24"/>
        </w:rPr>
        <w:t>138</w:t>
      </w:r>
      <w:proofErr w:type="gramStart"/>
      <w:r w:rsidR="00CE70B5" w:rsidRPr="00B70750">
        <w:rPr>
          <w:color w:val="FF0000"/>
          <w:szCs w:val="24"/>
          <w:vertAlign w:val="superscript"/>
        </w:rPr>
        <w:t>e</w:t>
      </w:r>
      <w:r w:rsidR="00B70750">
        <w:rPr>
          <w:color w:val="FF0000"/>
          <w:szCs w:val="24"/>
          <w:vertAlign w:val="superscript"/>
        </w:rPr>
        <w:t>,g</w:t>
      </w:r>
      <w:proofErr w:type="gramEnd"/>
      <w:r w:rsidR="00B70750">
        <w:rPr>
          <w:color w:val="FF0000"/>
          <w:szCs w:val="24"/>
        </w:rPr>
        <w:t>, 86</w:t>
      </w:r>
      <w:r w:rsidR="00CE70B5" w:rsidRPr="00B70750">
        <w:rPr>
          <w:color w:val="FF0000"/>
          <w:szCs w:val="24"/>
          <w:vertAlign w:val="superscript"/>
        </w:rPr>
        <w:t>f</w:t>
      </w:r>
      <w:r w:rsidR="00B70750">
        <w:rPr>
          <w:color w:val="FF0000"/>
          <w:szCs w:val="24"/>
          <w:vertAlign w:val="superscript"/>
        </w:rPr>
        <w:t>,h</w:t>
      </w:r>
      <w:r w:rsidR="00CE70B5">
        <w:rPr>
          <w:color w:val="FF0000"/>
          <w:szCs w:val="24"/>
        </w:rPr>
        <w:t>, non-consumers 1,747</w:t>
      </w:r>
      <w:r w:rsidR="00CE70B5" w:rsidRPr="00CE70B5">
        <w:rPr>
          <w:color w:val="FF0000"/>
          <w:szCs w:val="24"/>
          <w:vertAlign w:val="superscript"/>
        </w:rPr>
        <w:t>a</w:t>
      </w:r>
      <w:r w:rsidR="00CE70B5">
        <w:rPr>
          <w:color w:val="FF0000"/>
          <w:szCs w:val="24"/>
        </w:rPr>
        <w:t xml:space="preserve">, </w:t>
      </w:r>
      <w:r w:rsidR="00F03EAD">
        <w:rPr>
          <w:color w:val="FF0000"/>
          <w:szCs w:val="24"/>
        </w:rPr>
        <w:t>3,308</w:t>
      </w:r>
      <w:r w:rsidR="00CE70B5" w:rsidRPr="00CE70B5">
        <w:rPr>
          <w:color w:val="FF0000"/>
          <w:szCs w:val="24"/>
          <w:vertAlign w:val="superscript"/>
        </w:rPr>
        <w:t>c</w:t>
      </w:r>
      <w:r w:rsidR="00CE70B5">
        <w:rPr>
          <w:color w:val="FF0000"/>
          <w:szCs w:val="24"/>
        </w:rPr>
        <w:t xml:space="preserve">, </w:t>
      </w:r>
      <w:r w:rsidR="00F03EAD">
        <w:rPr>
          <w:color w:val="FF0000"/>
          <w:szCs w:val="24"/>
        </w:rPr>
        <w:t>2</w:t>
      </w:r>
      <w:r w:rsidR="00CE70B5">
        <w:rPr>
          <w:color w:val="FF0000"/>
          <w:szCs w:val="24"/>
        </w:rPr>
        <w:t>,</w:t>
      </w:r>
      <w:r w:rsidR="00F03EAD">
        <w:rPr>
          <w:color w:val="FF0000"/>
          <w:szCs w:val="24"/>
        </w:rPr>
        <w:t>620</w:t>
      </w:r>
      <w:r w:rsidR="00CE70B5" w:rsidRPr="00CE70B5">
        <w:rPr>
          <w:color w:val="FF0000"/>
          <w:szCs w:val="24"/>
          <w:vertAlign w:val="superscript"/>
        </w:rPr>
        <w:t>d</w:t>
      </w:r>
      <w:r w:rsidR="00CE70B5">
        <w:rPr>
          <w:color w:val="FF0000"/>
          <w:szCs w:val="24"/>
        </w:rPr>
        <w:t xml:space="preserve">, </w:t>
      </w:r>
      <w:r w:rsidR="00F03EAD">
        <w:rPr>
          <w:color w:val="FF0000"/>
          <w:szCs w:val="24"/>
        </w:rPr>
        <w:t>2,268</w:t>
      </w:r>
      <w:r w:rsidR="00CE70B5" w:rsidRPr="00CE70B5">
        <w:rPr>
          <w:color w:val="FF0000"/>
          <w:szCs w:val="24"/>
          <w:vertAlign w:val="superscript"/>
        </w:rPr>
        <w:t>e</w:t>
      </w:r>
      <w:r w:rsidR="00CE70B5">
        <w:rPr>
          <w:color w:val="FF0000"/>
          <w:szCs w:val="24"/>
        </w:rPr>
        <w:t>, 1,251</w:t>
      </w:r>
      <w:r w:rsidR="00CE70B5" w:rsidRPr="00CE70B5">
        <w:rPr>
          <w:color w:val="FF0000"/>
          <w:szCs w:val="24"/>
          <w:vertAlign w:val="superscript"/>
        </w:rPr>
        <w:t>f</w:t>
      </w:r>
      <w:r w:rsidR="00CE70B5">
        <w:rPr>
          <w:color w:val="FF0000"/>
          <w:szCs w:val="24"/>
        </w:rPr>
        <w:t xml:space="preserve">, </w:t>
      </w:r>
      <w:r w:rsidR="00B70750">
        <w:rPr>
          <w:color w:val="FF0000"/>
          <w:szCs w:val="24"/>
        </w:rPr>
        <w:t>2</w:t>
      </w:r>
      <w:r w:rsidR="00CE70B5">
        <w:rPr>
          <w:color w:val="FF0000"/>
          <w:szCs w:val="24"/>
        </w:rPr>
        <w:t>,23</w:t>
      </w:r>
      <w:r w:rsidR="00B70750">
        <w:rPr>
          <w:color w:val="FF0000"/>
          <w:szCs w:val="24"/>
        </w:rPr>
        <w:t>1</w:t>
      </w:r>
      <w:r w:rsidR="00CE70B5" w:rsidRPr="00CE70B5">
        <w:rPr>
          <w:color w:val="FF0000"/>
          <w:szCs w:val="24"/>
          <w:vertAlign w:val="superscript"/>
        </w:rPr>
        <w:t>g</w:t>
      </w:r>
      <w:r w:rsidR="00B70750">
        <w:rPr>
          <w:color w:val="FF0000"/>
          <w:szCs w:val="24"/>
        </w:rPr>
        <w:t>, and 1,254</w:t>
      </w:r>
      <w:r w:rsidR="00B70750" w:rsidRPr="00B70750">
        <w:rPr>
          <w:color w:val="FF0000"/>
          <w:szCs w:val="24"/>
          <w:vertAlign w:val="superscript"/>
        </w:rPr>
        <w:t>h</w:t>
      </w:r>
      <w:r w:rsidR="00CE70B5">
        <w:rPr>
          <w:color w:val="FF0000"/>
          <w:szCs w:val="24"/>
        </w:rPr>
        <w:t>.</w:t>
      </w:r>
    </w:p>
    <w:p w14:paraId="06211E7C" w14:textId="77777777" w:rsidR="004E2344" w:rsidRPr="001B0771" w:rsidRDefault="004E2344" w:rsidP="00C67996">
      <w:pPr>
        <w:spacing w:line="360" w:lineRule="auto"/>
        <w:rPr>
          <w:szCs w:val="24"/>
        </w:rPr>
      </w:pPr>
    </w:p>
    <w:sectPr w:rsidR="004E2344" w:rsidRPr="001B0771" w:rsidSect="00C67996">
      <w:type w:val="continuous"/>
      <w:pgSz w:w="11907" w:h="16839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E9"/>
    <w:rsid w:val="00026B9A"/>
    <w:rsid w:val="00055AF3"/>
    <w:rsid w:val="00062575"/>
    <w:rsid w:val="000D4272"/>
    <w:rsid w:val="00132C98"/>
    <w:rsid w:val="00152F49"/>
    <w:rsid w:val="00187317"/>
    <w:rsid w:val="001B6736"/>
    <w:rsid w:val="00225B9B"/>
    <w:rsid w:val="00270291"/>
    <w:rsid w:val="002A0310"/>
    <w:rsid w:val="002C1873"/>
    <w:rsid w:val="003277A4"/>
    <w:rsid w:val="003B1A70"/>
    <w:rsid w:val="003E56BF"/>
    <w:rsid w:val="00446F16"/>
    <w:rsid w:val="00456F87"/>
    <w:rsid w:val="004A52DB"/>
    <w:rsid w:val="004E2344"/>
    <w:rsid w:val="00556517"/>
    <w:rsid w:val="005E7C81"/>
    <w:rsid w:val="005F244A"/>
    <w:rsid w:val="00793D9C"/>
    <w:rsid w:val="007A086A"/>
    <w:rsid w:val="008216E6"/>
    <w:rsid w:val="00835EB2"/>
    <w:rsid w:val="008501F1"/>
    <w:rsid w:val="00865279"/>
    <w:rsid w:val="008D75DE"/>
    <w:rsid w:val="00904855"/>
    <w:rsid w:val="00913745"/>
    <w:rsid w:val="00991D67"/>
    <w:rsid w:val="00997FA3"/>
    <w:rsid w:val="009A7DF6"/>
    <w:rsid w:val="009B089F"/>
    <w:rsid w:val="009C7815"/>
    <w:rsid w:val="00A37E7B"/>
    <w:rsid w:val="00B61052"/>
    <w:rsid w:val="00B70750"/>
    <w:rsid w:val="00B76CD8"/>
    <w:rsid w:val="00B945E9"/>
    <w:rsid w:val="00BD3DB8"/>
    <w:rsid w:val="00C6197C"/>
    <w:rsid w:val="00C67996"/>
    <w:rsid w:val="00C70024"/>
    <w:rsid w:val="00CE70B5"/>
    <w:rsid w:val="00D12F85"/>
    <w:rsid w:val="00DB2F33"/>
    <w:rsid w:val="00E84BB9"/>
    <w:rsid w:val="00EF477C"/>
    <w:rsid w:val="00F03EAD"/>
    <w:rsid w:val="00F16ACA"/>
    <w:rsid w:val="00F3040A"/>
    <w:rsid w:val="00F9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A2C3"/>
  <w15:docId w15:val="{3558A3FE-60B4-4303-AED6-2E4163B9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45E9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5E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B945E9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basedOn w:val="Normal"/>
    <w:qFormat/>
    <w:rsid w:val="00B945E9"/>
    <w:pPr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hAnsi="Palatino Linotype"/>
      <w:b/>
      <w:snapToGrid w:val="0"/>
      <w:sz w:val="20"/>
      <w:szCs w:val="22"/>
      <w:lang w:bidi="en-US"/>
    </w:rPr>
  </w:style>
  <w:style w:type="character" w:styleId="CommentReference">
    <w:name w:val="annotation reference"/>
    <w:basedOn w:val="DefaultParagraphFont"/>
    <w:unhideWhenUsed/>
    <w:rsid w:val="009048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48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4855"/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855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8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55"/>
    <w:rPr>
      <w:rFonts w:ascii="Segoe UI" w:eastAsia="Times New Roman" w:hAnsi="Segoe UI" w:cs="Segoe UI"/>
      <w:color w:val="000000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Wendy</dc:creator>
  <cp:keywords/>
  <dc:description/>
  <cp:lastModifiedBy>Dikariyanto, Vita</cp:lastModifiedBy>
  <cp:revision>6</cp:revision>
  <dcterms:created xsi:type="dcterms:W3CDTF">2019-08-05T15:51:00Z</dcterms:created>
  <dcterms:modified xsi:type="dcterms:W3CDTF">2019-08-14T23:33:00Z</dcterms:modified>
</cp:coreProperties>
</file>