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0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719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720"/>
        <w:gridCol w:w="725"/>
      </w:tblGrid>
      <w:tr w:rsidR="00222E85" w:rsidRPr="00B84A78" w14:paraId="579B2BAF" w14:textId="77777777" w:rsidTr="009E2914">
        <w:trPr>
          <w:trHeight w:val="20"/>
        </w:trPr>
        <w:tc>
          <w:tcPr>
            <w:tcW w:w="11700" w:type="dxa"/>
            <w:gridSpan w:val="13"/>
            <w:tcBorders>
              <w:bottom w:val="single" w:sz="4" w:space="0" w:color="auto"/>
            </w:tcBorders>
            <w:vAlign w:val="center"/>
            <w:hideMark/>
          </w:tcPr>
          <w:p w14:paraId="1A52051F" w14:textId="6E6577FA" w:rsidR="00222E85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lk10552022"/>
            <w:r w:rsidRPr="00B84A78">
              <w:rPr>
                <w:rFonts w:ascii="Times New Roman" w:eastAsia="Times New Roman" w:hAnsi="Times New Roman" w:cs="Times New Roman"/>
                <w:color w:val="000000"/>
              </w:rPr>
              <w:t>Supplementary Table 1</w:t>
            </w:r>
            <w:r w:rsidR="00222E85" w:rsidRPr="00B84A7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B84A78">
              <w:rPr>
                <w:rFonts w:ascii="Times New Roman" w:eastAsia="Times New Roman" w:hAnsi="Times New Roman" w:cs="Times New Roman"/>
                <w:color w:val="000000"/>
              </w:rPr>
              <w:t xml:space="preserve">Comparison of observed and simulated </w:t>
            </w:r>
            <w:r w:rsidR="00222E85" w:rsidRPr="00B84A78">
              <w:rPr>
                <w:rFonts w:ascii="Times New Roman" w:eastAsia="Times New Roman" w:hAnsi="Times New Roman" w:cs="Times New Roman"/>
                <w:color w:val="000000"/>
              </w:rPr>
              <w:t>association between walnut consumption groups and trajectories of TICS sc</w:t>
            </w:r>
            <w:r w:rsidR="003251A3">
              <w:rPr>
                <w:rFonts w:ascii="Times New Roman" w:eastAsia="Times New Roman" w:hAnsi="Times New Roman" w:cs="Times New Roman"/>
                <w:color w:val="000000"/>
              </w:rPr>
              <w:t>ores from latent growth models, n = 3632.</w:t>
            </w:r>
          </w:p>
        </w:tc>
      </w:tr>
      <w:tr w:rsidR="00222E85" w:rsidRPr="00B84A78" w14:paraId="0E452C77" w14:textId="77777777" w:rsidTr="009E2914">
        <w:trPr>
          <w:trHeight w:val="20"/>
        </w:trPr>
        <w:tc>
          <w:tcPr>
            <w:tcW w:w="3058" w:type="dxa"/>
            <w:tcBorders>
              <w:top w:val="single" w:sz="4" w:space="0" w:color="auto"/>
            </w:tcBorders>
            <w:vAlign w:val="bottom"/>
            <w:hideMark/>
          </w:tcPr>
          <w:p w14:paraId="76E7C5F7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29C6D" w14:textId="77777777" w:rsidR="00222E85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Fully adjusted model - estimated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57D9A3" w14:textId="77777777" w:rsidR="00222E85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 xml:space="preserve">Fully adjusted model – </w:t>
            </w:r>
            <w:r w:rsidR="00B84A78">
              <w:rPr>
                <w:rFonts w:ascii="Times New Roman" w:eastAsia="Times New Roman" w:hAnsi="Times New Roman" w:cs="Times New Roman"/>
                <w:color w:val="000000"/>
              </w:rPr>
              <w:t>simulated</w:t>
            </w:r>
            <w:r w:rsidRPr="00B84A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251A3" w:rsidRPr="00B84A78" w14:paraId="3D648770" w14:textId="77777777" w:rsidTr="009E2914">
        <w:trPr>
          <w:trHeight w:val="20"/>
        </w:trPr>
        <w:tc>
          <w:tcPr>
            <w:tcW w:w="3058" w:type="dxa"/>
            <w:noWrap/>
            <w:vAlign w:val="bottom"/>
            <w:hideMark/>
          </w:tcPr>
          <w:p w14:paraId="0EC79A70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7" w:type="dxa"/>
            <w:gridSpan w:val="3"/>
            <w:noWrap/>
            <w:vAlign w:val="bottom"/>
          </w:tcPr>
          <w:p w14:paraId="1A7C7FED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Intercept</w:t>
            </w:r>
          </w:p>
        </w:tc>
        <w:tc>
          <w:tcPr>
            <w:tcW w:w="2160" w:type="dxa"/>
            <w:gridSpan w:val="3"/>
            <w:noWrap/>
            <w:vAlign w:val="bottom"/>
          </w:tcPr>
          <w:p w14:paraId="35445448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Slope</w:t>
            </w:r>
          </w:p>
        </w:tc>
        <w:tc>
          <w:tcPr>
            <w:tcW w:w="2160" w:type="dxa"/>
            <w:gridSpan w:val="3"/>
            <w:noWrap/>
            <w:vAlign w:val="bottom"/>
            <w:hideMark/>
          </w:tcPr>
          <w:p w14:paraId="196215F1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Intercept</w:t>
            </w:r>
          </w:p>
        </w:tc>
        <w:tc>
          <w:tcPr>
            <w:tcW w:w="2165" w:type="dxa"/>
            <w:gridSpan w:val="3"/>
            <w:noWrap/>
            <w:vAlign w:val="bottom"/>
            <w:hideMark/>
          </w:tcPr>
          <w:p w14:paraId="62F07279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Slope</w:t>
            </w:r>
          </w:p>
        </w:tc>
      </w:tr>
      <w:tr w:rsidR="00B84A78" w:rsidRPr="00B84A78" w14:paraId="7011A4E9" w14:textId="77777777" w:rsidTr="009E2914">
        <w:trPr>
          <w:trHeight w:val="20"/>
        </w:trPr>
        <w:tc>
          <w:tcPr>
            <w:tcW w:w="305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ACBAB7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i/>
                <w:color w:val="000000"/>
              </w:rPr>
              <w:t>Walnut Consumption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</w:tcPr>
          <w:p w14:paraId="0183CEF5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</w:tcPr>
          <w:p w14:paraId="38A743A1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</w:tcPr>
          <w:p w14:paraId="03DA3AEE" w14:textId="77777777" w:rsidR="007A4BA7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</w:tcPr>
          <w:p w14:paraId="66136751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</w:tcPr>
          <w:p w14:paraId="116F8ABC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</w:tcPr>
          <w:p w14:paraId="7F2A0EE2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84A78" w:rsidRPr="00B84A78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  <w:hideMark/>
          </w:tcPr>
          <w:p w14:paraId="0B89E3F9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  <w:hideMark/>
          </w:tcPr>
          <w:p w14:paraId="43FB8247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  <w:hideMark/>
          </w:tcPr>
          <w:p w14:paraId="22C1A7D3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1-β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  <w:hideMark/>
          </w:tcPr>
          <w:p w14:paraId="7A500ECF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  <w:hideMark/>
          </w:tcPr>
          <w:p w14:paraId="6C550E23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noWrap/>
            <w:tcMar>
              <w:left w:w="43" w:type="dxa"/>
            </w:tcMar>
            <w:vAlign w:val="bottom"/>
            <w:hideMark/>
          </w:tcPr>
          <w:p w14:paraId="160C4722" w14:textId="77777777" w:rsidR="00222E85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1-β</w:t>
            </w:r>
          </w:p>
        </w:tc>
      </w:tr>
      <w:tr w:rsidR="007A4BA7" w:rsidRPr="00B84A78" w14:paraId="65FDCEBE" w14:textId="77777777" w:rsidTr="009E2914">
        <w:trPr>
          <w:trHeight w:val="20"/>
        </w:trPr>
        <w:tc>
          <w:tcPr>
            <w:tcW w:w="305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FF07C5F" w14:textId="77777777" w:rsidR="005F5551" w:rsidRPr="00B84A78" w:rsidRDefault="005F5551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Low walnut consumption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vAlign w:val="bottom"/>
          </w:tcPr>
          <w:p w14:paraId="77E040EB" w14:textId="77777777" w:rsidR="005F5551" w:rsidRPr="00B84A78" w:rsidRDefault="00B84A78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vAlign w:val="bottom"/>
          </w:tcPr>
          <w:p w14:paraId="712773AD" w14:textId="77777777" w:rsidR="005F5551" w:rsidRPr="00B84A78" w:rsidRDefault="005F5551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vAlign w:val="bottom"/>
          </w:tcPr>
          <w:p w14:paraId="118D9AE1" w14:textId="77777777" w:rsidR="005F5551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007B53ED" w14:textId="77777777" w:rsidR="005F5551" w:rsidRPr="00B84A78" w:rsidRDefault="005F5551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164F68B1" w14:textId="77777777" w:rsidR="005F5551" w:rsidRPr="00B84A78" w:rsidRDefault="005F5551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7F700D9D" w14:textId="77777777" w:rsidR="005F5551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0.409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8C73809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DBD7407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48192AAD" w14:textId="77777777" w:rsidR="005F5551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&gt;0.999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8870B8A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FD254B2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72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0806E9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</w:tr>
      <w:tr w:rsidR="007A4BA7" w:rsidRPr="00B84A78" w14:paraId="29F56886" w14:textId="77777777" w:rsidTr="009E2914">
        <w:trPr>
          <w:trHeight w:val="20"/>
        </w:trPr>
        <w:tc>
          <w:tcPr>
            <w:tcW w:w="30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4F12E69" w14:textId="77777777" w:rsidR="005F5551" w:rsidRPr="00B84A78" w:rsidRDefault="005F5551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Moderate walnut consumption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noWrap/>
            <w:vAlign w:val="bottom"/>
          </w:tcPr>
          <w:p w14:paraId="438E4564" w14:textId="77777777" w:rsidR="005F5551" w:rsidRPr="00B84A78" w:rsidRDefault="00B84A78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0.93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noWrap/>
            <w:vAlign w:val="bottom"/>
          </w:tcPr>
          <w:p w14:paraId="4408DF99" w14:textId="77777777" w:rsidR="005F5551" w:rsidRPr="00B84A78" w:rsidRDefault="00B84A78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noWrap/>
            <w:vAlign w:val="bottom"/>
          </w:tcPr>
          <w:p w14:paraId="2376DB5B" w14:textId="77777777" w:rsidR="005F5551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21CA05AE" w14:textId="77777777" w:rsidR="005F5551" w:rsidRPr="00B84A78" w:rsidRDefault="005F5551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5E48B2F6" w14:textId="77777777" w:rsidR="005F5551" w:rsidRPr="00B84A78" w:rsidRDefault="005F5551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26065D89" w14:textId="77777777" w:rsidR="005F5551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0.349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D3F2643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AABBBD8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09522FB4" w14:textId="77777777" w:rsidR="005F5551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&gt;0.999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0FCC4E3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C1A10A7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EFDCEDA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</w:tr>
      <w:tr w:rsidR="007A4BA7" w:rsidRPr="00B84A78" w14:paraId="38789100" w14:textId="77777777" w:rsidTr="009E2914">
        <w:trPr>
          <w:trHeight w:val="20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6B7A2AA" w14:textId="77777777" w:rsidR="005F5551" w:rsidRPr="00B84A78" w:rsidRDefault="005F5551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Estimated mean intercept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DE82043" w14:textId="77777777" w:rsidR="005F5551" w:rsidRPr="00B84A78" w:rsidRDefault="00B84A78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11.55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D2A6F47" w14:textId="77777777" w:rsidR="005F5551" w:rsidRPr="00B84A78" w:rsidRDefault="00B84A78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FFBAE76" w14:textId="77777777" w:rsidR="005F5551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560E37E" w14:textId="77777777" w:rsidR="005F5551" w:rsidRPr="00B84A78" w:rsidRDefault="00B84A78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045814" w14:textId="77777777" w:rsidR="005F5551" w:rsidRPr="00B84A78" w:rsidRDefault="00B84A78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EB3C21F" w14:textId="77777777" w:rsidR="005F5551" w:rsidRPr="00B84A78" w:rsidRDefault="007A4BA7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0.341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12AE459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11.49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586EFF1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1.03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4AFC094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57BA0F1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11.49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2DA19B6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1.03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41944FD" w14:textId="77777777" w:rsidR="005F5551" w:rsidRPr="00B84A78" w:rsidRDefault="005F5551" w:rsidP="009E29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A78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</w:tr>
      <w:tr w:rsidR="00222E85" w:rsidRPr="00B84A78" w14:paraId="0FF1E53A" w14:textId="77777777" w:rsidTr="009E2914">
        <w:trPr>
          <w:trHeight w:val="20"/>
        </w:trPr>
        <w:tc>
          <w:tcPr>
            <w:tcW w:w="11700" w:type="dxa"/>
            <w:gridSpan w:val="13"/>
            <w:tcBorders>
              <w:top w:val="single" w:sz="4" w:space="0" w:color="auto"/>
            </w:tcBorders>
            <w:vAlign w:val="center"/>
          </w:tcPr>
          <w:p w14:paraId="045F86D8" w14:textId="77777777" w:rsidR="00222E85" w:rsidRPr="00B84A78" w:rsidRDefault="00B84A78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A78">
              <w:rPr>
                <w:rFonts w:ascii="Times New Roman" w:eastAsia="Times New Roman" w:hAnsi="Times New Roman" w:cs="Times New Roman"/>
              </w:rPr>
              <w:t>“Fully adjusted model- estimated”</w:t>
            </w:r>
            <w:r w:rsidR="00222E85" w:rsidRPr="00B84A78">
              <w:rPr>
                <w:rFonts w:ascii="Times New Roman" w:eastAsia="Times New Roman" w:hAnsi="Times New Roman" w:cs="Times New Roman"/>
              </w:rPr>
              <w:t xml:space="preserve"> adjusted for the following covariates: gender, age, race/ethnicity, marital status, retirement status, education, longest occupational tenure, log transformed household income, log transformed household assets, BMI, vigorous physical activity, smoking status, alcohol consumption, number of doctor-diagnosed chronic conditions, and number of mobility limitations. </w:t>
            </w:r>
          </w:p>
          <w:p w14:paraId="03C872B7" w14:textId="4D0BFC8A" w:rsidR="001C03AC" w:rsidRDefault="001C03AC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Estimated mean intercept in “Fully adjusted model – estimated” differs from that reported in Table 2, Model 2. The Monte Carlo models would not estimate when including the count of previous word recall test exposures as a time-varying covariate.</w:t>
            </w:r>
          </w:p>
          <w:p w14:paraId="196C4555" w14:textId="77777777" w:rsidR="001C03AC" w:rsidRDefault="001C03AC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1-β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B84A78">
              <w:rPr>
                <w:rFonts w:ascii="Times New Roman" w:eastAsia="Times New Roman" w:hAnsi="Times New Roman" w:cs="Times New Roman"/>
                <w:color w:val="000000"/>
              </w:rPr>
              <w:t>probability of correctly rejecting the null hypothesis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&lt; .05</w:t>
            </w:r>
          </w:p>
          <w:p w14:paraId="776F07EF" w14:textId="77777777" w:rsidR="001C03AC" w:rsidRPr="00B84A78" w:rsidRDefault="001C03AC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97D5CD" w14:textId="77777777" w:rsidR="00222E85" w:rsidRPr="00B84A78" w:rsidRDefault="00222E85" w:rsidP="009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E954CBA" w14:textId="546C562B" w:rsidR="003251A3" w:rsidRDefault="003251A3">
      <w:pPr>
        <w:rPr>
          <w:rFonts w:ascii="Times New Roman" w:hAnsi="Times New Roman" w:cs="Times New Roman"/>
        </w:rPr>
        <w:sectPr w:rsidR="003251A3" w:rsidSect="003251A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1" w:name="_GoBack"/>
      <w:bookmarkEnd w:id="0"/>
      <w:bookmarkEnd w:id="1"/>
    </w:p>
    <w:p w14:paraId="63503F47" w14:textId="1592FCB1" w:rsidR="003251A3" w:rsidRDefault="00573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Figure 1. Estimated power to identify a statistically significant association between walnut consumption and change in TICS scores for samples sizes 1000-50000.  </w:t>
      </w:r>
    </w:p>
    <w:p w14:paraId="42F4CF98" w14:textId="77777777" w:rsidR="00CD5E30" w:rsidRDefault="00CD5E30">
      <w:pPr>
        <w:rPr>
          <w:rFonts w:ascii="Times New Roman" w:hAnsi="Times New Roman" w:cs="Times New Roman"/>
        </w:rPr>
      </w:pPr>
    </w:p>
    <w:p w14:paraId="3F059974" w14:textId="03A81C3F" w:rsidR="003251A3" w:rsidRPr="00B84A78" w:rsidRDefault="003251A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8E9DF5" wp14:editId="06A170BC">
            <wp:extent cx="459105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251A3" w:rsidRPr="00B84A78" w:rsidSect="0032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85"/>
    <w:rsid w:val="001C03AC"/>
    <w:rsid w:val="00222E85"/>
    <w:rsid w:val="003251A3"/>
    <w:rsid w:val="003E2E96"/>
    <w:rsid w:val="00494E9E"/>
    <w:rsid w:val="00525008"/>
    <w:rsid w:val="00573477"/>
    <w:rsid w:val="005F5551"/>
    <w:rsid w:val="006E1703"/>
    <w:rsid w:val="007A0A9E"/>
    <w:rsid w:val="007A4BA7"/>
    <w:rsid w:val="009E2914"/>
    <w:rsid w:val="00AA7A2C"/>
    <w:rsid w:val="00B123B5"/>
    <w:rsid w:val="00B538DD"/>
    <w:rsid w:val="00B84A78"/>
    <w:rsid w:val="00C1546C"/>
    <w:rsid w:val="00CD5E30"/>
    <w:rsid w:val="00CF4842"/>
    <w:rsid w:val="00F0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9C94"/>
  <w15:chartTrackingRefBased/>
  <w15:docId w15:val="{98437D7D-9E25-4D68-A596-4D273137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96e2128effc66169/work%20files/TSSM/grants/walnut%20grant/analyses/power%20analysis/MC%20TS%20results%20100/regression%20estiamtes%20and%20supplementary%20tables%20for%20PHN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51035043982419"/>
          <c:y val="5.0925925925925923E-2"/>
          <c:w val="0.84148906779426325"/>
          <c:h val="0.7212117235345582"/>
        </c:manualLayout>
      </c:layout>
      <c:lineChart>
        <c:grouping val="standard"/>
        <c:varyColors val="0"/>
        <c:ser>
          <c:idx val="0"/>
          <c:order val="0"/>
          <c:tx>
            <c:strRef>
              <c:f>'[regression estiamtes and supplementary tables for PHN.xlsx]TCS on walnut 2'!$H$1</c:f>
              <c:strCache>
                <c:ptCount val="1"/>
                <c:pt idx="0">
                  <c:v>Low walnut consumption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'[regression estiamtes and supplementary tables for PHN.xlsx]TCS on walnut 2'!$K$2:$K$51</c:f>
              <c:numCache>
                <c:formatCode>General</c:formatCode>
                <c:ptCount val="5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  <c:pt idx="10">
                  <c:v>11000</c:v>
                </c:pt>
                <c:pt idx="11">
                  <c:v>12000</c:v>
                </c:pt>
                <c:pt idx="12">
                  <c:v>13000</c:v>
                </c:pt>
                <c:pt idx="13">
                  <c:v>14000</c:v>
                </c:pt>
                <c:pt idx="14">
                  <c:v>15000</c:v>
                </c:pt>
                <c:pt idx="15">
                  <c:v>16000</c:v>
                </c:pt>
                <c:pt idx="16">
                  <c:v>17000</c:v>
                </c:pt>
                <c:pt idx="17">
                  <c:v>18000</c:v>
                </c:pt>
                <c:pt idx="18">
                  <c:v>19000</c:v>
                </c:pt>
                <c:pt idx="19">
                  <c:v>20000</c:v>
                </c:pt>
                <c:pt idx="20">
                  <c:v>21000</c:v>
                </c:pt>
                <c:pt idx="21">
                  <c:v>22000</c:v>
                </c:pt>
                <c:pt idx="22">
                  <c:v>23000</c:v>
                </c:pt>
                <c:pt idx="23">
                  <c:v>24000</c:v>
                </c:pt>
                <c:pt idx="24">
                  <c:v>25000</c:v>
                </c:pt>
                <c:pt idx="25">
                  <c:v>26000</c:v>
                </c:pt>
                <c:pt idx="26">
                  <c:v>27000</c:v>
                </c:pt>
                <c:pt idx="27">
                  <c:v>28000</c:v>
                </c:pt>
                <c:pt idx="28">
                  <c:v>29000</c:v>
                </c:pt>
                <c:pt idx="29">
                  <c:v>30000</c:v>
                </c:pt>
                <c:pt idx="30">
                  <c:v>31000</c:v>
                </c:pt>
                <c:pt idx="31">
                  <c:v>32000</c:v>
                </c:pt>
                <c:pt idx="32">
                  <c:v>33000</c:v>
                </c:pt>
                <c:pt idx="33">
                  <c:v>34000</c:v>
                </c:pt>
                <c:pt idx="34">
                  <c:v>35000</c:v>
                </c:pt>
                <c:pt idx="35">
                  <c:v>36000</c:v>
                </c:pt>
                <c:pt idx="36">
                  <c:v>37000</c:v>
                </c:pt>
                <c:pt idx="37">
                  <c:v>38000</c:v>
                </c:pt>
                <c:pt idx="38">
                  <c:v>39000</c:v>
                </c:pt>
                <c:pt idx="39">
                  <c:v>40000</c:v>
                </c:pt>
                <c:pt idx="40">
                  <c:v>41000</c:v>
                </c:pt>
                <c:pt idx="41">
                  <c:v>42000</c:v>
                </c:pt>
                <c:pt idx="42">
                  <c:v>43000</c:v>
                </c:pt>
                <c:pt idx="43">
                  <c:v>44000</c:v>
                </c:pt>
                <c:pt idx="44">
                  <c:v>45000</c:v>
                </c:pt>
                <c:pt idx="45">
                  <c:v>46000</c:v>
                </c:pt>
                <c:pt idx="46">
                  <c:v>47000</c:v>
                </c:pt>
                <c:pt idx="47">
                  <c:v>48000</c:v>
                </c:pt>
                <c:pt idx="48">
                  <c:v>49000</c:v>
                </c:pt>
                <c:pt idx="49">
                  <c:v>50000</c:v>
                </c:pt>
              </c:numCache>
            </c:numRef>
          </c:cat>
          <c:val>
            <c:numRef>
              <c:f>'[regression estiamtes and supplementary tables for PHN.xlsx]TCS on walnut 2'!$I$2:$I$51</c:f>
              <c:numCache>
                <c:formatCode>General</c:formatCode>
                <c:ptCount val="50"/>
                <c:pt idx="0">
                  <c:v>0.06</c:v>
                </c:pt>
                <c:pt idx="1">
                  <c:v>0.09</c:v>
                </c:pt>
                <c:pt idx="2">
                  <c:v>0.16</c:v>
                </c:pt>
                <c:pt idx="3">
                  <c:v>0.13</c:v>
                </c:pt>
                <c:pt idx="4">
                  <c:v>0.11</c:v>
                </c:pt>
                <c:pt idx="5">
                  <c:v>0.17</c:v>
                </c:pt>
                <c:pt idx="6">
                  <c:v>0.16</c:v>
                </c:pt>
                <c:pt idx="7">
                  <c:v>0.18</c:v>
                </c:pt>
                <c:pt idx="8">
                  <c:v>0.2</c:v>
                </c:pt>
                <c:pt idx="9">
                  <c:v>0.22</c:v>
                </c:pt>
                <c:pt idx="10">
                  <c:v>0.18</c:v>
                </c:pt>
                <c:pt idx="11">
                  <c:v>0.28000000000000003</c:v>
                </c:pt>
                <c:pt idx="12">
                  <c:v>0.26</c:v>
                </c:pt>
                <c:pt idx="13">
                  <c:v>0.28000000000000003</c:v>
                </c:pt>
                <c:pt idx="14">
                  <c:v>0.36</c:v>
                </c:pt>
                <c:pt idx="15">
                  <c:v>0.4</c:v>
                </c:pt>
                <c:pt idx="16">
                  <c:v>0.41</c:v>
                </c:pt>
                <c:pt idx="17">
                  <c:v>0.39</c:v>
                </c:pt>
                <c:pt idx="18">
                  <c:v>0.41</c:v>
                </c:pt>
                <c:pt idx="19">
                  <c:v>0.51</c:v>
                </c:pt>
                <c:pt idx="20">
                  <c:v>0.47</c:v>
                </c:pt>
                <c:pt idx="21">
                  <c:v>0.54</c:v>
                </c:pt>
                <c:pt idx="22">
                  <c:v>0.55000000000000004</c:v>
                </c:pt>
                <c:pt idx="23">
                  <c:v>0.53</c:v>
                </c:pt>
                <c:pt idx="24">
                  <c:v>0.56999999999999995</c:v>
                </c:pt>
                <c:pt idx="25">
                  <c:v>0.56000000000000005</c:v>
                </c:pt>
                <c:pt idx="26">
                  <c:v>0.59</c:v>
                </c:pt>
                <c:pt idx="27">
                  <c:v>0.63</c:v>
                </c:pt>
                <c:pt idx="28">
                  <c:v>0.65</c:v>
                </c:pt>
                <c:pt idx="29">
                  <c:v>0.67</c:v>
                </c:pt>
                <c:pt idx="30">
                  <c:v>0.66</c:v>
                </c:pt>
                <c:pt idx="31">
                  <c:v>0.7</c:v>
                </c:pt>
                <c:pt idx="32">
                  <c:v>0.73</c:v>
                </c:pt>
                <c:pt idx="33">
                  <c:v>0.72</c:v>
                </c:pt>
                <c:pt idx="34">
                  <c:v>0.69</c:v>
                </c:pt>
                <c:pt idx="35">
                  <c:v>0.74</c:v>
                </c:pt>
                <c:pt idx="36">
                  <c:v>0.77</c:v>
                </c:pt>
                <c:pt idx="37">
                  <c:v>0.78</c:v>
                </c:pt>
                <c:pt idx="38">
                  <c:v>0.75</c:v>
                </c:pt>
                <c:pt idx="39">
                  <c:v>0.78</c:v>
                </c:pt>
                <c:pt idx="40">
                  <c:v>0.77</c:v>
                </c:pt>
                <c:pt idx="41">
                  <c:v>0.81</c:v>
                </c:pt>
                <c:pt idx="42">
                  <c:v>0.82</c:v>
                </c:pt>
                <c:pt idx="43">
                  <c:v>0.89</c:v>
                </c:pt>
                <c:pt idx="44">
                  <c:v>0.87</c:v>
                </c:pt>
                <c:pt idx="45">
                  <c:v>0.86</c:v>
                </c:pt>
                <c:pt idx="46">
                  <c:v>0.9</c:v>
                </c:pt>
                <c:pt idx="47">
                  <c:v>0.86</c:v>
                </c:pt>
                <c:pt idx="48">
                  <c:v>0.86</c:v>
                </c:pt>
                <c:pt idx="49">
                  <c:v>0.89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9A-4D47-BC81-2619C7183B2C}"/>
            </c:ext>
          </c:extLst>
        </c:ser>
        <c:ser>
          <c:idx val="1"/>
          <c:order val="1"/>
          <c:tx>
            <c:strRef>
              <c:f>'[regression estiamtes and supplementary tables for PHN.xlsx]TCS on walnut 2'!$L$1</c:f>
              <c:strCache>
                <c:ptCount val="1"/>
                <c:pt idx="0">
                  <c:v>Moderate walnut consumption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'[regression estiamtes and supplementary tables for PHN.xlsx]TCS on walnut 2'!$L$2:$L$51</c:f>
              <c:numCache>
                <c:formatCode>General</c:formatCode>
                <c:ptCount val="50"/>
                <c:pt idx="0">
                  <c:v>7.0000000000000007E-2</c:v>
                </c:pt>
                <c:pt idx="1">
                  <c:v>0.1</c:v>
                </c:pt>
                <c:pt idx="2">
                  <c:v>0.08</c:v>
                </c:pt>
                <c:pt idx="3">
                  <c:v>0.12</c:v>
                </c:pt>
                <c:pt idx="4">
                  <c:v>0.13</c:v>
                </c:pt>
                <c:pt idx="5">
                  <c:v>0.13</c:v>
                </c:pt>
                <c:pt idx="6">
                  <c:v>0.19</c:v>
                </c:pt>
                <c:pt idx="7">
                  <c:v>0.13</c:v>
                </c:pt>
                <c:pt idx="8">
                  <c:v>0.24</c:v>
                </c:pt>
                <c:pt idx="9">
                  <c:v>0.26</c:v>
                </c:pt>
                <c:pt idx="10">
                  <c:v>0.27</c:v>
                </c:pt>
                <c:pt idx="11">
                  <c:v>0.28999999999999998</c:v>
                </c:pt>
                <c:pt idx="12">
                  <c:v>0.33</c:v>
                </c:pt>
                <c:pt idx="13">
                  <c:v>0.32</c:v>
                </c:pt>
                <c:pt idx="14">
                  <c:v>0.38</c:v>
                </c:pt>
                <c:pt idx="15">
                  <c:v>0.38</c:v>
                </c:pt>
                <c:pt idx="16">
                  <c:v>0.48</c:v>
                </c:pt>
                <c:pt idx="17">
                  <c:v>0.37</c:v>
                </c:pt>
                <c:pt idx="18">
                  <c:v>0.43</c:v>
                </c:pt>
                <c:pt idx="19">
                  <c:v>0.48</c:v>
                </c:pt>
                <c:pt idx="20">
                  <c:v>0.56000000000000005</c:v>
                </c:pt>
                <c:pt idx="21">
                  <c:v>0.56999999999999995</c:v>
                </c:pt>
                <c:pt idx="22">
                  <c:v>0.55000000000000004</c:v>
                </c:pt>
                <c:pt idx="23">
                  <c:v>0.53</c:v>
                </c:pt>
                <c:pt idx="24">
                  <c:v>0.56999999999999995</c:v>
                </c:pt>
                <c:pt idx="25">
                  <c:v>0.61</c:v>
                </c:pt>
                <c:pt idx="26">
                  <c:v>0.6</c:v>
                </c:pt>
                <c:pt idx="27">
                  <c:v>0.6</c:v>
                </c:pt>
                <c:pt idx="28">
                  <c:v>0.63</c:v>
                </c:pt>
                <c:pt idx="29">
                  <c:v>0.66</c:v>
                </c:pt>
                <c:pt idx="30">
                  <c:v>0.73</c:v>
                </c:pt>
                <c:pt idx="31">
                  <c:v>0.69</c:v>
                </c:pt>
                <c:pt idx="32">
                  <c:v>0.67</c:v>
                </c:pt>
                <c:pt idx="33">
                  <c:v>0.69</c:v>
                </c:pt>
                <c:pt idx="34">
                  <c:v>0.7</c:v>
                </c:pt>
                <c:pt idx="35">
                  <c:v>0.69</c:v>
                </c:pt>
                <c:pt idx="36">
                  <c:v>0.69</c:v>
                </c:pt>
                <c:pt idx="37">
                  <c:v>0.73</c:v>
                </c:pt>
                <c:pt idx="38">
                  <c:v>0.73</c:v>
                </c:pt>
                <c:pt idx="39">
                  <c:v>0.78</c:v>
                </c:pt>
                <c:pt idx="40">
                  <c:v>0.78</c:v>
                </c:pt>
                <c:pt idx="41">
                  <c:v>0.78</c:v>
                </c:pt>
                <c:pt idx="42">
                  <c:v>0.79</c:v>
                </c:pt>
                <c:pt idx="43">
                  <c:v>0.83</c:v>
                </c:pt>
                <c:pt idx="44">
                  <c:v>0.83</c:v>
                </c:pt>
                <c:pt idx="45">
                  <c:v>0.85</c:v>
                </c:pt>
                <c:pt idx="46">
                  <c:v>0.86</c:v>
                </c:pt>
                <c:pt idx="47">
                  <c:v>0.85</c:v>
                </c:pt>
                <c:pt idx="48">
                  <c:v>0.86</c:v>
                </c:pt>
                <c:pt idx="49">
                  <c:v>0.89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9A-4D47-BC81-2619C7183B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3174600"/>
        <c:axId val="843185096"/>
      </c:lineChart>
      <c:catAx>
        <c:axId val="843174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Sample Size</a:t>
                </a:r>
              </a:p>
            </c:rich>
          </c:tx>
          <c:layout>
            <c:manualLayout>
              <c:xMode val="edge"/>
              <c:yMode val="edge"/>
              <c:x val="0.44636491157834091"/>
              <c:y val="0.911087780694079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3185096"/>
        <c:crosses val="autoZero"/>
        <c:auto val="1"/>
        <c:lblAlgn val="ctr"/>
        <c:lblOffset val="100"/>
        <c:noMultiLvlLbl val="0"/>
      </c:catAx>
      <c:valAx>
        <c:axId val="843185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Power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3174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835059517975182"/>
          <c:y val="0.6116892680081657"/>
          <c:w val="0.41845438407336016"/>
          <c:h val="0.131946631671041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0.12363</cdr:x>
      <cdr:y>0.20121</cdr:y>
    </cdr:from>
    <cdr:to>
      <cdr:x>0.95551</cdr:x>
      <cdr:y>0.20121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566987" y="551949"/>
          <a:ext cx="3815014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Nicholas J</dc:creator>
  <cp:keywords/>
  <dc:description/>
  <cp:lastModifiedBy>Bishop, Nicholas J</cp:lastModifiedBy>
  <cp:revision>4</cp:revision>
  <dcterms:created xsi:type="dcterms:W3CDTF">2020-02-05T16:08:00Z</dcterms:created>
  <dcterms:modified xsi:type="dcterms:W3CDTF">2020-02-12T17:30:00Z</dcterms:modified>
</cp:coreProperties>
</file>