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F5057" w14:textId="77777777" w:rsidR="00732D24" w:rsidRPr="009E63C1" w:rsidRDefault="00732D24" w:rsidP="00732D24">
      <w:pPr>
        <w:spacing w:line="480" w:lineRule="auto"/>
        <w:rPr>
          <w:rFonts w:cstheme="minorHAnsi"/>
          <w:b/>
          <w:bCs/>
        </w:rPr>
      </w:pPr>
      <w:r w:rsidRPr="009E63C1">
        <w:rPr>
          <w:rFonts w:cstheme="minorHAnsi"/>
          <w:b/>
          <w:bCs/>
        </w:rPr>
        <w:t xml:space="preserve">Supplementary Table 1. </w:t>
      </w:r>
      <w:r>
        <w:rPr>
          <w:rFonts w:cstheme="minorHAnsi"/>
          <w:b/>
          <w:bCs/>
        </w:rPr>
        <w:t>Cut-off points</w:t>
      </w:r>
      <w:r w:rsidRPr="009E63C1">
        <w:rPr>
          <w:rFonts w:cstheme="minorHAnsi"/>
          <w:b/>
          <w:bCs/>
        </w:rPr>
        <w:t xml:space="preserve"> for waits circumference worldwide</w:t>
      </w:r>
    </w:p>
    <w:tbl>
      <w:tblPr>
        <w:tblStyle w:val="TableGrid"/>
        <w:tblW w:w="0" w:type="auto"/>
        <w:tblLook w:val="04A0" w:firstRow="1" w:lastRow="0" w:firstColumn="1" w:lastColumn="0" w:noHBand="0" w:noVBand="1"/>
      </w:tblPr>
      <w:tblGrid>
        <w:gridCol w:w="2254"/>
        <w:gridCol w:w="2254"/>
        <w:gridCol w:w="2254"/>
        <w:gridCol w:w="2254"/>
      </w:tblGrid>
      <w:tr w:rsidR="00732D24" w:rsidRPr="009E63C1" w14:paraId="3FE9BEAB" w14:textId="77777777" w:rsidTr="000B4161">
        <w:tc>
          <w:tcPr>
            <w:tcW w:w="2254" w:type="dxa"/>
          </w:tcPr>
          <w:p w14:paraId="7D39D89E" w14:textId="77777777" w:rsidR="00732D24" w:rsidRPr="009E63C1" w:rsidRDefault="00732D24" w:rsidP="000B4161">
            <w:pPr>
              <w:spacing w:line="480" w:lineRule="auto"/>
              <w:rPr>
                <w:rFonts w:cstheme="minorHAnsi"/>
                <w:b/>
                <w:bCs/>
              </w:rPr>
            </w:pPr>
            <w:r w:rsidRPr="009E63C1">
              <w:rPr>
                <w:rFonts w:cstheme="minorHAnsi"/>
                <w:b/>
                <w:bCs/>
              </w:rPr>
              <w:t>Organisation</w:t>
            </w:r>
          </w:p>
        </w:tc>
        <w:tc>
          <w:tcPr>
            <w:tcW w:w="2254" w:type="dxa"/>
          </w:tcPr>
          <w:p w14:paraId="2F381C63" w14:textId="77777777" w:rsidR="00732D24" w:rsidRPr="009E63C1" w:rsidRDefault="00732D24" w:rsidP="000B4161">
            <w:pPr>
              <w:spacing w:line="480" w:lineRule="auto"/>
              <w:rPr>
                <w:rFonts w:cstheme="minorHAnsi"/>
                <w:b/>
                <w:bCs/>
              </w:rPr>
            </w:pPr>
            <w:r w:rsidRPr="009E63C1">
              <w:rPr>
                <w:rFonts w:cstheme="minorHAnsi"/>
                <w:b/>
                <w:bCs/>
              </w:rPr>
              <w:t>Population</w:t>
            </w:r>
          </w:p>
        </w:tc>
        <w:tc>
          <w:tcPr>
            <w:tcW w:w="2254" w:type="dxa"/>
          </w:tcPr>
          <w:p w14:paraId="16A5C687" w14:textId="77777777" w:rsidR="00732D24" w:rsidRPr="009E63C1" w:rsidRDefault="00732D24" w:rsidP="000B4161">
            <w:pPr>
              <w:spacing w:line="480" w:lineRule="auto"/>
              <w:rPr>
                <w:rFonts w:cstheme="minorHAnsi"/>
                <w:b/>
                <w:bCs/>
              </w:rPr>
            </w:pPr>
            <w:r w:rsidRPr="009E63C1">
              <w:rPr>
                <w:rFonts w:cstheme="minorHAnsi"/>
                <w:b/>
                <w:bCs/>
              </w:rPr>
              <w:t>Men</w:t>
            </w:r>
          </w:p>
        </w:tc>
        <w:tc>
          <w:tcPr>
            <w:tcW w:w="2254" w:type="dxa"/>
          </w:tcPr>
          <w:p w14:paraId="70BDE43C" w14:textId="77777777" w:rsidR="00732D24" w:rsidRPr="009E63C1" w:rsidRDefault="00732D24" w:rsidP="000B4161">
            <w:pPr>
              <w:spacing w:line="480" w:lineRule="auto"/>
              <w:rPr>
                <w:rFonts w:cstheme="minorHAnsi"/>
                <w:b/>
                <w:bCs/>
              </w:rPr>
            </w:pPr>
            <w:r w:rsidRPr="009E63C1">
              <w:rPr>
                <w:rFonts w:cstheme="minorHAnsi"/>
                <w:b/>
                <w:bCs/>
              </w:rPr>
              <w:t>Women</w:t>
            </w:r>
          </w:p>
        </w:tc>
      </w:tr>
      <w:tr w:rsidR="00732D24" w:rsidRPr="009E63C1" w14:paraId="0A9CC8AA" w14:textId="77777777" w:rsidTr="000B4161">
        <w:tc>
          <w:tcPr>
            <w:tcW w:w="2254" w:type="dxa"/>
          </w:tcPr>
          <w:p w14:paraId="05447D1E" w14:textId="77777777" w:rsidR="00732D24" w:rsidRPr="009E63C1" w:rsidRDefault="00732D24" w:rsidP="000B4161">
            <w:pPr>
              <w:spacing w:line="480" w:lineRule="auto"/>
              <w:rPr>
                <w:rFonts w:cstheme="minorHAnsi"/>
                <w:bCs/>
              </w:rPr>
            </w:pPr>
            <w:r w:rsidRPr="009E63C1">
              <w:rPr>
                <w:rFonts w:cstheme="minorHAnsi"/>
                <w:bCs/>
              </w:rPr>
              <w:t>ATP III</w:t>
            </w:r>
          </w:p>
        </w:tc>
        <w:tc>
          <w:tcPr>
            <w:tcW w:w="2254" w:type="dxa"/>
          </w:tcPr>
          <w:p w14:paraId="2F8096F4" w14:textId="77777777" w:rsidR="00732D24" w:rsidRPr="009E63C1" w:rsidRDefault="00732D24" w:rsidP="000B4161">
            <w:pPr>
              <w:spacing w:line="480" w:lineRule="auto"/>
              <w:rPr>
                <w:rFonts w:cstheme="minorHAnsi"/>
                <w:bCs/>
              </w:rPr>
            </w:pPr>
            <w:r w:rsidRPr="009E63C1">
              <w:rPr>
                <w:rFonts w:cstheme="minorHAnsi"/>
                <w:bCs/>
              </w:rPr>
              <w:t>United States</w:t>
            </w:r>
          </w:p>
        </w:tc>
        <w:tc>
          <w:tcPr>
            <w:tcW w:w="2254" w:type="dxa"/>
          </w:tcPr>
          <w:p w14:paraId="732BEB2D" w14:textId="77777777" w:rsidR="00732D24" w:rsidRPr="009E63C1" w:rsidRDefault="00732D24" w:rsidP="000B4161">
            <w:pPr>
              <w:spacing w:line="480" w:lineRule="auto"/>
              <w:rPr>
                <w:rFonts w:cstheme="minorHAnsi"/>
                <w:bCs/>
              </w:rPr>
            </w:pPr>
            <w:r w:rsidRPr="009E63C1">
              <w:rPr>
                <w:rFonts w:cstheme="minorHAnsi"/>
                <w:bCs/>
              </w:rPr>
              <w:t>≥102 cm</w:t>
            </w:r>
          </w:p>
        </w:tc>
        <w:tc>
          <w:tcPr>
            <w:tcW w:w="2254" w:type="dxa"/>
          </w:tcPr>
          <w:p w14:paraId="76EA03B2" w14:textId="77777777" w:rsidR="00732D24" w:rsidRPr="009E63C1" w:rsidRDefault="00732D24" w:rsidP="000B4161">
            <w:pPr>
              <w:spacing w:line="480" w:lineRule="auto"/>
              <w:rPr>
                <w:rFonts w:cstheme="minorHAnsi"/>
                <w:bCs/>
              </w:rPr>
            </w:pPr>
            <w:r w:rsidRPr="009E63C1">
              <w:rPr>
                <w:rFonts w:cstheme="minorHAnsi"/>
                <w:bCs/>
              </w:rPr>
              <w:t>≥88 cm</w:t>
            </w:r>
          </w:p>
        </w:tc>
      </w:tr>
      <w:tr w:rsidR="00732D24" w:rsidRPr="009E63C1" w14:paraId="6F6CC2C7" w14:textId="77777777" w:rsidTr="000B4161">
        <w:tc>
          <w:tcPr>
            <w:tcW w:w="2254" w:type="dxa"/>
          </w:tcPr>
          <w:p w14:paraId="3BCAE51E" w14:textId="77777777" w:rsidR="00732D24" w:rsidRPr="009E63C1" w:rsidRDefault="00732D24" w:rsidP="000B4161">
            <w:pPr>
              <w:spacing w:line="480" w:lineRule="auto"/>
              <w:rPr>
                <w:rFonts w:cstheme="minorHAnsi"/>
                <w:bCs/>
              </w:rPr>
            </w:pPr>
            <w:r w:rsidRPr="009E63C1">
              <w:rPr>
                <w:rFonts w:cstheme="minorHAnsi"/>
                <w:bCs/>
              </w:rPr>
              <w:t>WHO</w:t>
            </w:r>
          </w:p>
        </w:tc>
        <w:tc>
          <w:tcPr>
            <w:tcW w:w="2254" w:type="dxa"/>
          </w:tcPr>
          <w:p w14:paraId="71C4950D" w14:textId="77777777" w:rsidR="00732D24" w:rsidRPr="009E63C1" w:rsidRDefault="00732D24" w:rsidP="000B4161">
            <w:pPr>
              <w:spacing w:line="480" w:lineRule="auto"/>
              <w:rPr>
                <w:rFonts w:cstheme="minorHAnsi"/>
                <w:bCs/>
              </w:rPr>
            </w:pPr>
            <w:r w:rsidRPr="009E63C1">
              <w:rPr>
                <w:rFonts w:cstheme="minorHAnsi"/>
                <w:bCs/>
              </w:rPr>
              <w:t>Caucasian</w:t>
            </w:r>
          </w:p>
        </w:tc>
        <w:tc>
          <w:tcPr>
            <w:tcW w:w="2254" w:type="dxa"/>
          </w:tcPr>
          <w:p w14:paraId="1D96F5CE" w14:textId="77777777" w:rsidR="00732D24" w:rsidRPr="009E63C1" w:rsidRDefault="00732D24" w:rsidP="000B4161">
            <w:pPr>
              <w:spacing w:line="480" w:lineRule="auto"/>
              <w:rPr>
                <w:rFonts w:cstheme="minorHAnsi"/>
                <w:bCs/>
              </w:rPr>
            </w:pPr>
            <w:r w:rsidRPr="009E63C1">
              <w:rPr>
                <w:rFonts w:cstheme="minorHAnsi"/>
                <w:bCs/>
              </w:rPr>
              <w:t>≥102 cm</w:t>
            </w:r>
          </w:p>
        </w:tc>
        <w:tc>
          <w:tcPr>
            <w:tcW w:w="2254" w:type="dxa"/>
          </w:tcPr>
          <w:p w14:paraId="4360B0D5" w14:textId="77777777" w:rsidR="00732D24" w:rsidRPr="009E63C1" w:rsidRDefault="00732D24" w:rsidP="000B4161">
            <w:pPr>
              <w:spacing w:line="480" w:lineRule="auto"/>
              <w:rPr>
                <w:rFonts w:cstheme="minorHAnsi"/>
                <w:bCs/>
              </w:rPr>
            </w:pPr>
            <w:r w:rsidRPr="009E63C1">
              <w:rPr>
                <w:rFonts w:cstheme="minorHAnsi"/>
                <w:bCs/>
              </w:rPr>
              <w:t>≥88 cm</w:t>
            </w:r>
          </w:p>
        </w:tc>
      </w:tr>
      <w:tr w:rsidR="00732D24" w:rsidRPr="009E63C1" w14:paraId="71BE781D" w14:textId="77777777" w:rsidTr="000B4161">
        <w:tc>
          <w:tcPr>
            <w:tcW w:w="2254" w:type="dxa"/>
          </w:tcPr>
          <w:p w14:paraId="3A793F9C" w14:textId="77777777" w:rsidR="00732D24" w:rsidRPr="009E63C1" w:rsidRDefault="00732D24" w:rsidP="000B4161">
            <w:pPr>
              <w:spacing w:line="480" w:lineRule="auto"/>
              <w:rPr>
                <w:rFonts w:cstheme="minorHAnsi"/>
                <w:bCs/>
              </w:rPr>
            </w:pPr>
          </w:p>
        </w:tc>
        <w:tc>
          <w:tcPr>
            <w:tcW w:w="2254" w:type="dxa"/>
          </w:tcPr>
          <w:p w14:paraId="588A0C20" w14:textId="77777777" w:rsidR="00732D24" w:rsidRPr="009E63C1" w:rsidRDefault="00732D24" w:rsidP="000B4161">
            <w:pPr>
              <w:spacing w:line="480" w:lineRule="auto"/>
              <w:rPr>
                <w:rFonts w:cstheme="minorHAnsi"/>
                <w:bCs/>
              </w:rPr>
            </w:pPr>
            <w:r w:rsidRPr="009E63C1">
              <w:rPr>
                <w:rFonts w:cstheme="minorHAnsi"/>
                <w:bCs/>
              </w:rPr>
              <w:t>Asian</w:t>
            </w:r>
          </w:p>
        </w:tc>
        <w:tc>
          <w:tcPr>
            <w:tcW w:w="2254" w:type="dxa"/>
          </w:tcPr>
          <w:p w14:paraId="43001A44" w14:textId="77777777" w:rsidR="00732D24" w:rsidRPr="009E63C1" w:rsidRDefault="00732D24" w:rsidP="000B4161">
            <w:pPr>
              <w:spacing w:line="480" w:lineRule="auto"/>
              <w:rPr>
                <w:rFonts w:cstheme="minorHAnsi"/>
                <w:bCs/>
              </w:rPr>
            </w:pPr>
            <w:r w:rsidRPr="009E63C1">
              <w:rPr>
                <w:rFonts w:cstheme="minorHAnsi"/>
                <w:bCs/>
              </w:rPr>
              <w:t>≥90cm</w:t>
            </w:r>
          </w:p>
        </w:tc>
        <w:tc>
          <w:tcPr>
            <w:tcW w:w="2254" w:type="dxa"/>
          </w:tcPr>
          <w:p w14:paraId="75FC7918" w14:textId="77777777" w:rsidR="00732D24" w:rsidRPr="009E63C1" w:rsidRDefault="00732D24" w:rsidP="000B4161">
            <w:pPr>
              <w:spacing w:line="480" w:lineRule="auto"/>
              <w:rPr>
                <w:rFonts w:cstheme="minorHAnsi"/>
                <w:bCs/>
              </w:rPr>
            </w:pPr>
            <w:r w:rsidRPr="009E63C1">
              <w:rPr>
                <w:rFonts w:cstheme="minorHAnsi"/>
                <w:bCs/>
              </w:rPr>
              <w:t>≥80 cm</w:t>
            </w:r>
          </w:p>
        </w:tc>
      </w:tr>
      <w:tr w:rsidR="00732D24" w:rsidRPr="009E63C1" w14:paraId="347AAAA9" w14:textId="77777777" w:rsidTr="000B4161">
        <w:tc>
          <w:tcPr>
            <w:tcW w:w="2254" w:type="dxa"/>
          </w:tcPr>
          <w:p w14:paraId="3312EE0B" w14:textId="77777777" w:rsidR="00732D24" w:rsidRPr="009E63C1" w:rsidRDefault="00732D24" w:rsidP="000B4161">
            <w:pPr>
              <w:spacing w:line="480" w:lineRule="auto"/>
              <w:rPr>
                <w:rFonts w:cstheme="minorHAnsi"/>
                <w:bCs/>
              </w:rPr>
            </w:pPr>
            <w:r w:rsidRPr="009E63C1">
              <w:rPr>
                <w:rFonts w:cstheme="minorHAnsi"/>
                <w:bCs/>
              </w:rPr>
              <w:t>IDF</w:t>
            </w:r>
          </w:p>
        </w:tc>
        <w:tc>
          <w:tcPr>
            <w:tcW w:w="2254" w:type="dxa"/>
          </w:tcPr>
          <w:p w14:paraId="7842D90F" w14:textId="77777777" w:rsidR="00732D24" w:rsidRPr="009E63C1" w:rsidRDefault="00732D24" w:rsidP="000B4161">
            <w:pPr>
              <w:spacing w:line="480" w:lineRule="auto"/>
              <w:rPr>
                <w:rFonts w:cstheme="minorHAnsi"/>
                <w:bCs/>
              </w:rPr>
            </w:pPr>
            <w:r w:rsidRPr="009E63C1">
              <w:rPr>
                <w:rFonts w:cstheme="minorHAnsi"/>
                <w:bCs/>
              </w:rPr>
              <w:t>Europid</w:t>
            </w:r>
          </w:p>
        </w:tc>
        <w:tc>
          <w:tcPr>
            <w:tcW w:w="2254" w:type="dxa"/>
          </w:tcPr>
          <w:p w14:paraId="378E1613" w14:textId="77777777" w:rsidR="00732D24" w:rsidRPr="009E63C1" w:rsidRDefault="00732D24" w:rsidP="000B4161">
            <w:pPr>
              <w:spacing w:line="480" w:lineRule="auto"/>
              <w:rPr>
                <w:rFonts w:cstheme="minorHAnsi"/>
                <w:bCs/>
              </w:rPr>
            </w:pPr>
            <w:r w:rsidRPr="009E63C1">
              <w:rPr>
                <w:rFonts w:cstheme="minorHAnsi"/>
                <w:bCs/>
              </w:rPr>
              <w:t>≥94 cm</w:t>
            </w:r>
          </w:p>
        </w:tc>
        <w:tc>
          <w:tcPr>
            <w:tcW w:w="2254" w:type="dxa"/>
          </w:tcPr>
          <w:p w14:paraId="60F1BA08" w14:textId="77777777" w:rsidR="00732D24" w:rsidRPr="009E63C1" w:rsidRDefault="00732D24" w:rsidP="000B4161">
            <w:pPr>
              <w:spacing w:line="480" w:lineRule="auto"/>
              <w:rPr>
                <w:rFonts w:cstheme="minorHAnsi"/>
                <w:bCs/>
              </w:rPr>
            </w:pPr>
            <w:r w:rsidRPr="009E63C1">
              <w:rPr>
                <w:rFonts w:cstheme="minorHAnsi"/>
                <w:bCs/>
              </w:rPr>
              <w:t>≥80 cm</w:t>
            </w:r>
          </w:p>
        </w:tc>
      </w:tr>
      <w:tr w:rsidR="00732D24" w:rsidRPr="009E63C1" w14:paraId="5BCABDF4" w14:textId="77777777" w:rsidTr="000B4161">
        <w:tc>
          <w:tcPr>
            <w:tcW w:w="2254" w:type="dxa"/>
          </w:tcPr>
          <w:p w14:paraId="60F1E27E" w14:textId="77777777" w:rsidR="00732D24" w:rsidRPr="009E63C1" w:rsidRDefault="00732D24" w:rsidP="000B4161">
            <w:pPr>
              <w:spacing w:line="480" w:lineRule="auto"/>
              <w:rPr>
                <w:rFonts w:cstheme="minorHAnsi"/>
                <w:bCs/>
              </w:rPr>
            </w:pPr>
          </w:p>
        </w:tc>
        <w:tc>
          <w:tcPr>
            <w:tcW w:w="2254" w:type="dxa"/>
          </w:tcPr>
          <w:p w14:paraId="3A8AF874" w14:textId="77777777" w:rsidR="00732D24" w:rsidRPr="009E63C1" w:rsidRDefault="00732D24" w:rsidP="000B4161">
            <w:pPr>
              <w:spacing w:line="480" w:lineRule="auto"/>
              <w:rPr>
                <w:rFonts w:cstheme="minorHAnsi"/>
                <w:bCs/>
              </w:rPr>
            </w:pPr>
            <w:r w:rsidRPr="009E63C1">
              <w:rPr>
                <w:rFonts w:cstheme="minorHAnsi"/>
                <w:bCs/>
              </w:rPr>
              <w:t>Asian</w:t>
            </w:r>
          </w:p>
        </w:tc>
        <w:tc>
          <w:tcPr>
            <w:tcW w:w="2254" w:type="dxa"/>
          </w:tcPr>
          <w:p w14:paraId="006A5D93" w14:textId="77777777" w:rsidR="00732D24" w:rsidRPr="009E63C1" w:rsidRDefault="00732D24" w:rsidP="000B4161">
            <w:pPr>
              <w:spacing w:line="480" w:lineRule="auto"/>
              <w:rPr>
                <w:rFonts w:cstheme="minorHAnsi"/>
                <w:bCs/>
              </w:rPr>
            </w:pPr>
            <w:r w:rsidRPr="009E63C1">
              <w:rPr>
                <w:rFonts w:cstheme="minorHAnsi"/>
                <w:bCs/>
              </w:rPr>
              <w:t>≥90cm</w:t>
            </w:r>
          </w:p>
        </w:tc>
        <w:tc>
          <w:tcPr>
            <w:tcW w:w="2254" w:type="dxa"/>
          </w:tcPr>
          <w:p w14:paraId="0B94854E" w14:textId="77777777" w:rsidR="00732D24" w:rsidRPr="009E63C1" w:rsidRDefault="00732D24" w:rsidP="000B4161">
            <w:pPr>
              <w:spacing w:line="480" w:lineRule="auto"/>
              <w:rPr>
                <w:rFonts w:cstheme="minorHAnsi"/>
                <w:bCs/>
              </w:rPr>
            </w:pPr>
            <w:r w:rsidRPr="009E63C1">
              <w:rPr>
                <w:rFonts w:cstheme="minorHAnsi"/>
                <w:bCs/>
              </w:rPr>
              <w:t>≥80 cm</w:t>
            </w:r>
          </w:p>
        </w:tc>
      </w:tr>
      <w:tr w:rsidR="00732D24" w:rsidRPr="009E63C1" w14:paraId="22B4F732" w14:textId="77777777" w:rsidTr="000B4161">
        <w:tc>
          <w:tcPr>
            <w:tcW w:w="2254" w:type="dxa"/>
          </w:tcPr>
          <w:p w14:paraId="0BE61CF6" w14:textId="77777777" w:rsidR="00732D24" w:rsidRPr="009E63C1" w:rsidRDefault="00732D24" w:rsidP="000B4161">
            <w:pPr>
              <w:rPr>
                <w:rFonts w:cstheme="minorHAnsi"/>
                <w:bCs/>
              </w:rPr>
            </w:pPr>
          </w:p>
        </w:tc>
        <w:tc>
          <w:tcPr>
            <w:tcW w:w="2254" w:type="dxa"/>
          </w:tcPr>
          <w:p w14:paraId="15F1C6F6" w14:textId="77777777" w:rsidR="00732D24" w:rsidRPr="009E63C1" w:rsidRDefault="00732D24" w:rsidP="000B4161">
            <w:pPr>
              <w:rPr>
                <w:rFonts w:cstheme="minorHAnsi"/>
                <w:bCs/>
              </w:rPr>
            </w:pPr>
            <w:r w:rsidRPr="009E63C1">
              <w:rPr>
                <w:rFonts w:cstheme="minorHAnsi"/>
                <w:bCs/>
              </w:rPr>
              <w:t xml:space="preserve">Ethnic central and South American </w:t>
            </w:r>
          </w:p>
        </w:tc>
        <w:tc>
          <w:tcPr>
            <w:tcW w:w="2254" w:type="dxa"/>
          </w:tcPr>
          <w:p w14:paraId="776A8AAE" w14:textId="77777777" w:rsidR="00732D24" w:rsidRPr="009E63C1" w:rsidRDefault="00732D24" w:rsidP="000B4161">
            <w:pPr>
              <w:spacing w:line="480" w:lineRule="auto"/>
              <w:rPr>
                <w:rFonts w:cstheme="minorHAnsi"/>
                <w:bCs/>
              </w:rPr>
            </w:pPr>
            <w:r w:rsidRPr="009E63C1">
              <w:rPr>
                <w:rFonts w:cstheme="minorHAnsi"/>
                <w:bCs/>
              </w:rPr>
              <w:t>≥90cm</w:t>
            </w:r>
          </w:p>
        </w:tc>
        <w:tc>
          <w:tcPr>
            <w:tcW w:w="2254" w:type="dxa"/>
          </w:tcPr>
          <w:p w14:paraId="4D5721B5" w14:textId="77777777" w:rsidR="00732D24" w:rsidRPr="009E63C1" w:rsidRDefault="00732D24" w:rsidP="000B4161">
            <w:pPr>
              <w:spacing w:line="480" w:lineRule="auto"/>
              <w:rPr>
                <w:rFonts w:cstheme="minorHAnsi"/>
                <w:bCs/>
              </w:rPr>
            </w:pPr>
            <w:r w:rsidRPr="009E63C1">
              <w:rPr>
                <w:rFonts w:cstheme="minorHAnsi"/>
                <w:bCs/>
              </w:rPr>
              <w:t>≥80 cm</w:t>
            </w:r>
          </w:p>
        </w:tc>
      </w:tr>
    </w:tbl>
    <w:p w14:paraId="137BF5DC" w14:textId="75F5FF3D" w:rsidR="00732D24" w:rsidRPr="009E63C1" w:rsidRDefault="00732D24" w:rsidP="00732D24">
      <w:pPr>
        <w:spacing w:line="480" w:lineRule="auto"/>
        <w:rPr>
          <w:rFonts w:cstheme="minorHAnsi"/>
          <w:b/>
          <w:bCs/>
        </w:rPr>
      </w:pPr>
      <w:r w:rsidRPr="009E63C1">
        <w:rPr>
          <w:rFonts w:cstheme="minorHAnsi"/>
          <w:b/>
          <w:bCs/>
        </w:rPr>
        <w:t xml:space="preserve">Adapted from Alberti et al. </w:t>
      </w:r>
    </w:p>
    <w:p w14:paraId="1593B159" w14:textId="77777777" w:rsidR="00732D24" w:rsidRPr="009E63C1" w:rsidRDefault="00732D24" w:rsidP="00732D24">
      <w:pPr>
        <w:jc w:val="both"/>
        <w:rPr>
          <w:rFonts w:cstheme="minorHAnsi"/>
          <w:b/>
          <w:bCs/>
        </w:rPr>
      </w:pPr>
      <w:r w:rsidRPr="009E63C1">
        <w:rPr>
          <w:rFonts w:eastAsiaTheme="minorHAnsi" w:cstheme="minorHAnsi"/>
          <w:sz w:val="20"/>
          <w:szCs w:val="20"/>
          <w:lang w:eastAsia="en-GB"/>
        </w:rPr>
        <w:t>ATP III: National Cholesterol Education Program Adult Treatment Panel III; WHO: World Health Organization; IDF: International Diabetes Federation.</w:t>
      </w:r>
      <w:r w:rsidRPr="009E63C1">
        <w:rPr>
          <w:rFonts w:cstheme="minorHAnsi"/>
          <w:b/>
          <w:bCs/>
        </w:rPr>
        <w:t xml:space="preserve"> </w:t>
      </w:r>
      <w:r w:rsidRPr="009E63C1">
        <w:rPr>
          <w:rFonts w:cstheme="minorHAnsi"/>
          <w:b/>
          <w:bCs/>
        </w:rPr>
        <w:br w:type="page"/>
      </w:r>
    </w:p>
    <w:p w14:paraId="5E074E31" w14:textId="77777777" w:rsidR="00732D24" w:rsidRPr="009E63C1" w:rsidRDefault="00732D24" w:rsidP="00732D24">
      <w:pPr>
        <w:spacing w:line="480" w:lineRule="auto"/>
        <w:rPr>
          <w:rFonts w:cstheme="minorHAnsi"/>
          <w:b/>
          <w:bCs/>
        </w:rPr>
      </w:pPr>
      <w:r w:rsidRPr="009E63C1">
        <w:rPr>
          <w:rFonts w:cstheme="minorHAnsi"/>
          <w:b/>
          <w:bCs/>
        </w:rPr>
        <w:lastRenderedPageBreak/>
        <w:t>Supplementary Table 2. Cohort characteristics by sex</w:t>
      </w:r>
    </w:p>
    <w:tbl>
      <w:tblPr>
        <w:tblStyle w:val="TableGrid"/>
        <w:tblW w:w="0" w:type="auto"/>
        <w:tblInd w:w="-147" w:type="dxa"/>
        <w:tblLook w:val="04A0" w:firstRow="1" w:lastRow="0" w:firstColumn="1" w:lastColumn="0" w:noHBand="0" w:noVBand="1"/>
      </w:tblPr>
      <w:tblGrid>
        <w:gridCol w:w="3970"/>
        <w:gridCol w:w="2551"/>
        <w:gridCol w:w="2642"/>
      </w:tblGrid>
      <w:tr w:rsidR="00732D24" w:rsidRPr="009E63C1" w14:paraId="075EB743" w14:textId="77777777" w:rsidTr="00D33989">
        <w:tc>
          <w:tcPr>
            <w:tcW w:w="3970" w:type="dxa"/>
          </w:tcPr>
          <w:p w14:paraId="594F83BE" w14:textId="77777777" w:rsidR="00732D24" w:rsidRPr="009E63C1" w:rsidRDefault="00732D24" w:rsidP="000B4161">
            <w:pPr>
              <w:spacing w:line="480" w:lineRule="auto"/>
              <w:jc w:val="center"/>
              <w:rPr>
                <w:rFonts w:cstheme="minorHAnsi"/>
                <w:b/>
                <w:bCs/>
              </w:rPr>
            </w:pPr>
          </w:p>
        </w:tc>
        <w:tc>
          <w:tcPr>
            <w:tcW w:w="2551" w:type="dxa"/>
          </w:tcPr>
          <w:p w14:paraId="5A7DF6F9" w14:textId="77777777" w:rsidR="00732D24" w:rsidRPr="009E63C1" w:rsidRDefault="00732D24" w:rsidP="000B4161">
            <w:pPr>
              <w:spacing w:line="480" w:lineRule="auto"/>
              <w:jc w:val="center"/>
              <w:rPr>
                <w:rFonts w:cstheme="minorHAnsi"/>
                <w:b/>
                <w:bCs/>
              </w:rPr>
            </w:pPr>
            <w:r w:rsidRPr="009E63C1">
              <w:rPr>
                <w:rFonts w:cstheme="minorHAnsi"/>
                <w:b/>
                <w:bCs/>
              </w:rPr>
              <w:t>Women</w:t>
            </w:r>
          </w:p>
        </w:tc>
        <w:tc>
          <w:tcPr>
            <w:tcW w:w="2642" w:type="dxa"/>
          </w:tcPr>
          <w:p w14:paraId="2D789E54" w14:textId="77777777" w:rsidR="00732D24" w:rsidRPr="009E63C1" w:rsidRDefault="00732D24" w:rsidP="000B4161">
            <w:pPr>
              <w:spacing w:line="480" w:lineRule="auto"/>
              <w:jc w:val="center"/>
              <w:rPr>
                <w:rFonts w:cstheme="minorHAnsi"/>
                <w:b/>
                <w:bCs/>
              </w:rPr>
            </w:pPr>
            <w:r w:rsidRPr="009E63C1">
              <w:rPr>
                <w:rFonts w:cstheme="minorHAnsi"/>
                <w:b/>
                <w:bCs/>
              </w:rPr>
              <w:t>Men</w:t>
            </w:r>
          </w:p>
        </w:tc>
      </w:tr>
      <w:tr w:rsidR="00732D24" w:rsidRPr="009E63C1" w14:paraId="0F22C9DC" w14:textId="77777777" w:rsidTr="00D33989">
        <w:tc>
          <w:tcPr>
            <w:tcW w:w="3970" w:type="dxa"/>
          </w:tcPr>
          <w:p w14:paraId="57A94866" w14:textId="77777777" w:rsidR="00732D24" w:rsidRPr="009E63C1" w:rsidRDefault="00732D24" w:rsidP="000B4161">
            <w:pPr>
              <w:spacing w:line="480" w:lineRule="auto"/>
              <w:rPr>
                <w:rFonts w:cstheme="minorHAnsi"/>
              </w:rPr>
            </w:pPr>
            <w:r w:rsidRPr="009E63C1">
              <w:rPr>
                <w:rFonts w:cstheme="minorHAnsi"/>
              </w:rPr>
              <w:t>Total, n</w:t>
            </w:r>
          </w:p>
        </w:tc>
        <w:tc>
          <w:tcPr>
            <w:tcW w:w="2551" w:type="dxa"/>
          </w:tcPr>
          <w:p w14:paraId="144B60B3" w14:textId="77777777" w:rsidR="00732D24" w:rsidRPr="009E63C1" w:rsidRDefault="00732D24" w:rsidP="000B4161">
            <w:pPr>
              <w:spacing w:line="480" w:lineRule="auto"/>
              <w:jc w:val="center"/>
              <w:rPr>
                <w:rFonts w:cstheme="minorHAnsi"/>
              </w:rPr>
            </w:pPr>
            <w:r w:rsidRPr="009E63C1">
              <w:rPr>
                <w:rFonts w:cstheme="minorHAnsi"/>
              </w:rPr>
              <w:t>4,873</w:t>
            </w:r>
          </w:p>
        </w:tc>
        <w:tc>
          <w:tcPr>
            <w:tcW w:w="2642" w:type="dxa"/>
          </w:tcPr>
          <w:p w14:paraId="2AC97F3B" w14:textId="77777777" w:rsidR="00732D24" w:rsidRPr="009E63C1" w:rsidRDefault="00732D24" w:rsidP="000B4161">
            <w:pPr>
              <w:spacing w:line="480" w:lineRule="auto"/>
              <w:jc w:val="center"/>
              <w:rPr>
                <w:rFonts w:cstheme="minorHAnsi"/>
              </w:rPr>
            </w:pPr>
            <w:r w:rsidRPr="009E63C1">
              <w:rPr>
                <w:rFonts w:cstheme="minorHAnsi"/>
              </w:rPr>
              <w:t>3,309</w:t>
            </w:r>
          </w:p>
        </w:tc>
      </w:tr>
      <w:tr w:rsidR="00732D24" w:rsidRPr="009E63C1" w14:paraId="2196D58F" w14:textId="77777777" w:rsidTr="00D33989">
        <w:tc>
          <w:tcPr>
            <w:tcW w:w="3970" w:type="dxa"/>
          </w:tcPr>
          <w:p w14:paraId="44A6C514" w14:textId="77777777" w:rsidR="00732D24" w:rsidRPr="009E63C1" w:rsidRDefault="00732D24" w:rsidP="000B4161">
            <w:pPr>
              <w:spacing w:line="480" w:lineRule="auto"/>
              <w:rPr>
                <w:rFonts w:cstheme="minorHAnsi"/>
              </w:rPr>
            </w:pPr>
            <w:r w:rsidRPr="009E63C1">
              <w:rPr>
                <w:rFonts w:cstheme="minorHAnsi"/>
              </w:rPr>
              <w:t>Age (years), mean (SD)</w:t>
            </w:r>
          </w:p>
        </w:tc>
        <w:tc>
          <w:tcPr>
            <w:tcW w:w="2551" w:type="dxa"/>
          </w:tcPr>
          <w:p w14:paraId="4CE36708" w14:textId="77777777" w:rsidR="00732D24" w:rsidRPr="009E63C1" w:rsidRDefault="00732D24" w:rsidP="000B4161">
            <w:pPr>
              <w:spacing w:line="480" w:lineRule="auto"/>
              <w:jc w:val="center"/>
              <w:rPr>
                <w:rFonts w:cstheme="minorHAnsi"/>
              </w:rPr>
            </w:pPr>
            <w:r w:rsidRPr="009E63C1">
              <w:rPr>
                <w:rFonts w:cstheme="minorHAnsi"/>
              </w:rPr>
              <w:t>49.0 (18.8)</w:t>
            </w:r>
          </w:p>
        </w:tc>
        <w:tc>
          <w:tcPr>
            <w:tcW w:w="2642" w:type="dxa"/>
          </w:tcPr>
          <w:p w14:paraId="4AF484C8" w14:textId="77777777" w:rsidR="00732D24" w:rsidRPr="009E63C1" w:rsidRDefault="00732D24" w:rsidP="000B4161">
            <w:pPr>
              <w:spacing w:line="480" w:lineRule="auto"/>
              <w:jc w:val="center"/>
              <w:rPr>
                <w:rFonts w:cstheme="minorHAnsi"/>
              </w:rPr>
            </w:pPr>
            <w:r w:rsidRPr="009E63C1">
              <w:rPr>
                <w:rFonts w:cstheme="minorHAnsi"/>
              </w:rPr>
              <w:t>47.5 (19.0)</w:t>
            </w:r>
          </w:p>
        </w:tc>
      </w:tr>
      <w:tr w:rsidR="00732D24" w:rsidRPr="009E63C1" w14:paraId="61F28E8C" w14:textId="77777777" w:rsidTr="00D33989">
        <w:tc>
          <w:tcPr>
            <w:tcW w:w="3970" w:type="dxa"/>
          </w:tcPr>
          <w:p w14:paraId="328B8DD1" w14:textId="77777777" w:rsidR="00732D24" w:rsidRPr="009E63C1" w:rsidRDefault="00732D24" w:rsidP="000B4161">
            <w:pPr>
              <w:spacing w:line="480" w:lineRule="auto"/>
              <w:rPr>
                <w:rFonts w:cstheme="minorHAnsi"/>
              </w:rPr>
            </w:pPr>
            <w:r w:rsidRPr="009E63C1">
              <w:rPr>
                <w:rFonts w:cstheme="minorHAnsi"/>
              </w:rPr>
              <w:t>Waist circumference (cm), mean (SD)</w:t>
            </w:r>
          </w:p>
        </w:tc>
        <w:tc>
          <w:tcPr>
            <w:tcW w:w="2551" w:type="dxa"/>
          </w:tcPr>
          <w:p w14:paraId="2ECC4D9D" w14:textId="77777777" w:rsidR="00732D24" w:rsidRPr="009E63C1" w:rsidRDefault="00732D24" w:rsidP="000B4161">
            <w:pPr>
              <w:spacing w:line="480" w:lineRule="auto"/>
              <w:jc w:val="center"/>
              <w:rPr>
                <w:rFonts w:cstheme="minorHAnsi"/>
              </w:rPr>
            </w:pPr>
            <w:r w:rsidRPr="009E63C1">
              <w:rPr>
                <w:rFonts w:cstheme="minorHAnsi"/>
              </w:rPr>
              <w:t>90.9 (13.8)</w:t>
            </w:r>
          </w:p>
        </w:tc>
        <w:tc>
          <w:tcPr>
            <w:tcW w:w="2642" w:type="dxa"/>
          </w:tcPr>
          <w:p w14:paraId="6ECA4CD6" w14:textId="77777777" w:rsidR="00732D24" w:rsidRPr="009E63C1" w:rsidRDefault="00732D24" w:rsidP="000B4161">
            <w:pPr>
              <w:spacing w:line="480" w:lineRule="auto"/>
              <w:jc w:val="center"/>
              <w:rPr>
                <w:rFonts w:cstheme="minorHAnsi"/>
              </w:rPr>
            </w:pPr>
            <w:r w:rsidRPr="009E63C1">
              <w:rPr>
                <w:rFonts w:cstheme="minorHAnsi"/>
              </w:rPr>
              <w:t>94.2 (12.3)</w:t>
            </w:r>
          </w:p>
        </w:tc>
      </w:tr>
      <w:tr w:rsidR="00732D24" w:rsidRPr="009E63C1" w14:paraId="49702FBC" w14:textId="77777777" w:rsidTr="00D33989">
        <w:tc>
          <w:tcPr>
            <w:tcW w:w="3970" w:type="dxa"/>
          </w:tcPr>
          <w:p w14:paraId="315384C6" w14:textId="77777777" w:rsidR="00732D24" w:rsidRPr="009E63C1" w:rsidRDefault="00732D24" w:rsidP="000B4161">
            <w:pPr>
              <w:spacing w:line="480" w:lineRule="auto"/>
              <w:rPr>
                <w:rFonts w:cstheme="minorHAnsi"/>
              </w:rPr>
            </w:pPr>
            <w:r w:rsidRPr="009E63C1">
              <w:rPr>
                <w:rFonts w:cstheme="minorHAnsi"/>
              </w:rPr>
              <w:t>SBP (mm Hg), mean (SD)</w:t>
            </w:r>
          </w:p>
        </w:tc>
        <w:tc>
          <w:tcPr>
            <w:tcW w:w="2551" w:type="dxa"/>
          </w:tcPr>
          <w:p w14:paraId="6C1979B1" w14:textId="77777777" w:rsidR="00732D24" w:rsidRPr="009E63C1" w:rsidRDefault="00732D24" w:rsidP="000B4161">
            <w:pPr>
              <w:spacing w:line="480" w:lineRule="auto"/>
              <w:jc w:val="center"/>
              <w:rPr>
                <w:rFonts w:cstheme="minorHAnsi"/>
              </w:rPr>
            </w:pPr>
            <w:r w:rsidRPr="009E63C1">
              <w:rPr>
                <w:rFonts w:cstheme="minorHAnsi"/>
              </w:rPr>
              <w:t>128.2 (44.9)</w:t>
            </w:r>
          </w:p>
        </w:tc>
        <w:tc>
          <w:tcPr>
            <w:tcW w:w="2642" w:type="dxa"/>
          </w:tcPr>
          <w:p w14:paraId="285E6C5F" w14:textId="77777777" w:rsidR="00732D24" w:rsidRPr="009E63C1" w:rsidRDefault="00732D24" w:rsidP="000B4161">
            <w:pPr>
              <w:spacing w:line="480" w:lineRule="auto"/>
              <w:jc w:val="center"/>
              <w:rPr>
                <w:rFonts w:cstheme="minorHAnsi"/>
              </w:rPr>
            </w:pPr>
            <w:r w:rsidRPr="009E63C1">
              <w:rPr>
                <w:rFonts w:cstheme="minorHAnsi"/>
              </w:rPr>
              <w:t>134.8 (35.9)</w:t>
            </w:r>
          </w:p>
        </w:tc>
      </w:tr>
      <w:tr w:rsidR="00732D24" w:rsidRPr="009E63C1" w14:paraId="3827F392" w14:textId="77777777" w:rsidTr="00D33989">
        <w:tc>
          <w:tcPr>
            <w:tcW w:w="3970" w:type="dxa"/>
          </w:tcPr>
          <w:p w14:paraId="6FE4141D" w14:textId="77777777" w:rsidR="00732D24" w:rsidRPr="009E63C1" w:rsidRDefault="00732D24" w:rsidP="000B4161">
            <w:pPr>
              <w:spacing w:line="480" w:lineRule="auto"/>
              <w:rPr>
                <w:rFonts w:cstheme="minorHAnsi"/>
              </w:rPr>
            </w:pPr>
            <w:r w:rsidRPr="009E63C1">
              <w:rPr>
                <w:rFonts w:cstheme="minorHAnsi"/>
              </w:rPr>
              <w:t>DBP (mm Hg), mean (SD)</w:t>
            </w:r>
          </w:p>
        </w:tc>
        <w:tc>
          <w:tcPr>
            <w:tcW w:w="2551" w:type="dxa"/>
          </w:tcPr>
          <w:p w14:paraId="1BE48E0E" w14:textId="77777777" w:rsidR="00732D24" w:rsidRPr="009E63C1" w:rsidRDefault="00732D24" w:rsidP="000B4161">
            <w:pPr>
              <w:spacing w:line="480" w:lineRule="auto"/>
              <w:jc w:val="center"/>
              <w:rPr>
                <w:rFonts w:cstheme="minorHAnsi"/>
              </w:rPr>
            </w:pPr>
            <w:r w:rsidRPr="009E63C1">
              <w:rPr>
                <w:rFonts w:cstheme="minorHAnsi"/>
              </w:rPr>
              <w:t>76.8 (42.3)</w:t>
            </w:r>
          </w:p>
        </w:tc>
        <w:tc>
          <w:tcPr>
            <w:tcW w:w="2642" w:type="dxa"/>
          </w:tcPr>
          <w:p w14:paraId="2A2A69C2" w14:textId="77777777" w:rsidR="00732D24" w:rsidRPr="009E63C1" w:rsidRDefault="00732D24" w:rsidP="000B4161">
            <w:pPr>
              <w:spacing w:line="480" w:lineRule="auto"/>
              <w:jc w:val="center"/>
              <w:rPr>
                <w:rFonts w:cstheme="minorHAnsi"/>
              </w:rPr>
            </w:pPr>
            <w:r w:rsidRPr="009E63C1">
              <w:rPr>
                <w:rFonts w:cstheme="minorHAnsi"/>
              </w:rPr>
              <w:t>81.2 (32.2)</w:t>
            </w:r>
          </w:p>
        </w:tc>
      </w:tr>
      <w:tr w:rsidR="00732D24" w:rsidRPr="009E63C1" w14:paraId="3B340B69" w14:textId="77777777" w:rsidTr="00D33989">
        <w:tc>
          <w:tcPr>
            <w:tcW w:w="3970" w:type="dxa"/>
          </w:tcPr>
          <w:p w14:paraId="6FB7F570" w14:textId="743AC061" w:rsidR="00732D24" w:rsidRPr="009E63C1" w:rsidRDefault="00732D24" w:rsidP="000B4161">
            <w:pPr>
              <w:spacing w:line="480" w:lineRule="auto"/>
              <w:rPr>
                <w:rFonts w:cstheme="minorHAnsi"/>
              </w:rPr>
            </w:pPr>
            <w:r w:rsidRPr="009E63C1">
              <w:rPr>
                <w:rFonts w:cstheme="minorHAnsi"/>
              </w:rPr>
              <w:t>Fasting glucose (</w:t>
            </w:r>
            <w:r w:rsidR="00D33989">
              <w:rPr>
                <w:rFonts w:cstheme="minorHAnsi"/>
              </w:rPr>
              <w:t>mmol</w:t>
            </w:r>
            <w:r w:rsidRPr="009E63C1">
              <w:rPr>
                <w:rFonts w:cstheme="minorHAnsi"/>
              </w:rPr>
              <w:t>/</w:t>
            </w:r>
            <w:r w:rsidR="00D33989">
              <w:rPr>
                <w:rFonts w:cstheme="minorHAnsi"/>
              </w:rPr>
              <w:t>L</w:t>
            </w:r>
            <w:r w:rsidRPr="009E63C1">
              <w:rPr>
                <w:rFonts w:cstheme="minorHAnsi"/>
              </w:rPr>
              <w:t>), mean (SD)</w:t>
            </w:r>
          </w:p>
        </w:tc>
        <w:tc>
          <w:tcPr>
            <w:tcW w:w="2551" w:type="dxa"/>
          </w:tcPr>
          <w:p w14:paraId="7F4FBBE0" w14:textId="4CFCC9C9" w:rsidR="00732D24" w:rsidRPr="009E63C1" w:rsidRDefault="00D33989" w:rsidP="000B4161">
            <w:pPr>
              <w:spacing w:line="480" w:lineRule="auto"/>
              <w:jc w:val="center"/>
              <w:rPr>
                <w:rFonts w:cstheme="minorHAnsi"/>
              </w:rPr>
            </w:pPr>
            <w:r>
              <w:rPr>
                <w:rFonts w:cstheme="minorHAnsi"/>
              </w:rPr>
              <w:t>5</w:t>
            </w:r>
            <w:r w:rsidR="00732D24" w:rsidRPr="009E63C1">
              <w:rPr>
                <w:rFonts w:cstheme="minorHAnsi"/>
              </w:rPr>
              <w:t>.4 (</w:t>
            </w:r>
            <w:r>
              <w:rPr>
                <w:rFonts w:cstheme="minorHAnsi"/>
              </w:rPr>
              <w:t>1.9</w:t>
            </w:r>
            <w:r w:rsidR="00732D24" w:rsidRPr="009E63C1">
              <w:rPr>
                <w:rFonts w:cstheme="minorHAnsi"/>
              </w:rPr>
              <w:t>)</w:t>
            </w:r>
          </w:p>
        </w:tc>
        <w:tc>
          <w:tcPr>
            <w:tcW w:w="2642" w:type="dxa"/>
          </w:tcPr>
          <w:p w14:paraId="30E779AF" w14:textId="7DE9CF8E" w:rsidR="00732D24" w:rsidRPr="009E63C1" w:rsidRDefault="008431BF" w:rsidP="000B4161">
            <w:pPr>
              <w:spacing w:line="480" w:lineRule="auto"/>
              <w:jc w:val="center"/>
              <w:rPr>
                <w:rFonts w:cstheme="minorHAnsi"/>
              </w:rPr>
            </w:pPr>
            <w:r>
              <w:rPr>
                <w:rFonts w:cstheme="minorHAnsi"/>
              </w:rPr>
              <w:t>5.5</w:t>
            </w:r>
            <w:r w:rsidR="00732D24" w:rsidRPr="009E63C1">
              <w:rPr>
                <w:rFonts w:cstheme="minorHAnsi"/>
              </w:rPr>
              <w:t xml:space="preserve"> (</w:t>
            </w:r>
            <w:r w:rsidR="00825075">
              <w:rPr>
                <w:rFonts w:cstheme="minorHAnsi"/>
              </w:rPr>
              <w:t>1.8</w:t>
            </w:r>
            <w:r w:rsidR="00732D24" w:rsidRPr="009E63C1">
              <w:rPr>
                <w:rFonts w:cstheme="minorHAnsi"/>
              </w:rPr>
              <w:t>)</w:t>
            </w:r>
          </w:p>
        </w:tc>
      </w:tr>
      <w:tr w:rsidR="00732D24" w:rsidRPr="009E63C1" w14:paraId="20937A00" w14:textId="77777777" w:rsidTr="00D33989">
        <w:tc>
          <w:tcPr>
            <w:tcW w:w="3970" w:type="dxa"/>
          </w:tcPr>
          <w:p w14:paraId="56A69701" w14:textId="76D4B79B" w:rsidR="00732D24" w:rsidRPr="009E63C1" w:rsidRDefault="00732D24" w:rsidP="000B4161">
            <w:pPr>
              <w:spacing w:line="480" w:lineRule="auto"/>
              <w:rPr>
                <w:rFonts w:cstheme="minorHAnsi"/>
              </w:rPr>
            </w:pPr>
            <w:r w:rsidRPr="009E63C1">
              <w:rPr>
                <w:rFonts w:cstheme="minorHAnsi"/>
              </w:rPr>
              <w:t>HDL cholesterol (</w:t>
            </w:r>
            <w:r w:rsidR="00D33989">
              <w:rPr>
                <w:rFonts w:cstheme="minorHAnsi"/>
              </w:rPr>
              <w:t>mmol</w:t>
            </w:r>
            <w:r w:rsidRPr="009E63C1">
              <w:rPr>
                <w:rFonts w:cstheme="minorHAnsi"/>
              </w:rPr>
              <w:t>/</w:t>
            </w:r>
            <w:r w:rsidR="00D33989">
              <w:rPr>
                <w:rFonts w:cstheme="minorHAnsi"/>
              </w:rPr>
              <w:t>L</w:t>
            </w:r>
            <w:r w:rsidRPr="009E63C1">
              <w:rPr>
                <w:rFonts w:cstheme="minorHAnsi"/>
              </w:rPr>
              <w:t>), mean (SD)</w:t>
            </w:r>
          </w:p>
        </w:tc>
        <w:tc>
          <w:tcPr>
            <w:tcW w:w="2551" w:type="dxa"/>
          </w:tcPr>
          <w:p w14:paraId="4FFBF5BA" w14:textId="2F624819" w:rsidR="00732D24" w:rsidRPr="009E63C1" w:rsidRDefault="00825075" w:rsidP="000B4161">
            <w:pPr>
              <w:spacing w:line="480" w:lineRule="auto"/>
              <w:jc w:val="center"/>
              <w:rPr>
                <w:rFonts w:cstheme="minorHAnsi"/>
              </w:rPr>
            </w:pPr>
            <w:r>
              <w:rPr>
                <w:rFonts w:cstheme="minorHAnsi"/>
              </w:rPr>
              <w:t>2.7</w:t>
            </w:r>
            <w:r w:rsidR="00732D24" w:rsidRPr="009E63C1">
              <w:rPr>
                <w:rFonts w:cstheme="minorHAnsi"/>
              </w:rPr>
              <w:t xml:space="preserve"> (</w:t>
            </w:r>
            <w:r>
              <w:rPr>
                <w:rFonts w:cstheme="minorHAnsi"/>
              </w:rPr>
              <w:t>0.7</w:t>
            </w:r>
            <w:r w:rsidR="00732D24" w:rsidRPr="009E63C1">
              <w:rPr>
                <w:rFonts w:cstheme="minorHAnsi"/>
              </w:rPr>
              <w:t>)</w:t>
            </w:r>
          </w:p>
        </w:tc>
        <w:tc>
          <w:tcPr>
            <w:tcW w:w="2642" w:type="dxa"/>
          </w:tcPr>
          <w:p w14:paraId="100EBDC9" w14:textId="33D19A58" w:rsidR="00732D24" w:rsidRPr="009E63C1" w:rsidRDefault="00825075" w:rsidP="000B4161">
            <w:pPr>
              <w:spacing w:line="480" w:lineRule="auto"/>
              <w:jc w:val="center"/>
              <w:rPr>
                <w:rFonts w:cstheme="minorHAnsi"/>
              </w:rPr>
            </w:pPr>
            <w:r>
              <w:rPr>
                <w:rFonts w:cstheme="minorHAnsi"/>
              </w:rPr>
              <w:t>2.4</w:t>
            </w:r>
            <w:r w:rsidR="00732D24" w:rsidRPr="009E63C1">
              <w:rPr>
                <w:rFonts w:cstheme="minorHAnsi"/>
              </w:rPr>
              <w:t xml:space="preserve"> (</w:t>
            </w:r>
            <w:r w:rsidR="00560668">
              <w:rPr>
                <w:rFonts w:cstheme="minorHAnsi"/>
              </w:rPr>
              <w:t>0.7</w:t>
            </w:r>
            <w:r w:rsidR="00732D24" w:rsidRPr="009E63C1">
              <w:rPr>
                <w:rFonts w:cstheme="minorHAnsi"/>
              </w:rPr>
              <w:t>)</w:t>
            </w:r>
          </w:p>
        </w:tc>
      </w:tr>
      <w:tr w:rsidR="00732D24" w:rsidRPr="009E63C1" w14:paraId="223B6701" w14:textId="77777777" w:rsidTr="00D33989">
        <w:tc>
          <w:tcPr>
            <w:tcW w:w="3970" w:type="dxa"/>
          </w:tcPr>
          <w:p w14:paraId="54BC0B65" w14:textId="0A8D3241" w:rsidR="00732D24" w:rsidRPr="009E63C1" w:rsidRDefault="00732D24" w:rsidP="000B4161">
            <w:pPr>
              <w:spacing w:line="480" w:lineRule="auto"/>
              <w:rPr>
                <w:rFonts w:cstheme="minorHAnsi"/>
              </w:rPr>
            </w:pPr>
            <w:r w:rsidRPr="009E63C1">
              <w:rPr>
                <w:rFonts w:cstheme="minorHAnsi"/>
              </w:rPr>
              <w:t>Serum triglycerides (</w:t>
            </w:r>
            <w:r w:rsidR="00D33989">
              <w:rPr>
                <w:rFonts w:cstheme="minorHAnsi"/>
              </w:rPr>
              <w:t>mmol</w:t>
            </w:r>
            <w:r w:rsidRPr="009E63C1">
              <w:rPr>
                <w:rFonts w:cstheme="minorHAnsi"/>
              </w:rPr>
              <w:t>/</w:t>
            </w:r>
            <w:r w:rsidR="00D33989">
              <w:rPr>
                <w:rFonts w:cstheme="minorHAnsi"/>
              </w:rPr>
              <w:t>L</w:t>
            </w:r>
            <w:r w:rsidRPr="009E63C1">
              <w:rPr>
                <w:rFonts w:cstheme="minorHAnsi"/>
              </w:rPr>
              <w:t>), mean (SD)</w:t>
            </w:r>
          </w:p>
        </w:tc>
        <w:tc>
          <w:tcPr>
            <w:tcW w:w="2551" w:type="dxa"/>
          </w:tcPr>
          <w:p w14:paraId="4D0E00C6" w14:textId="5D4ADF9B" w:rsidR="00732D24" w:rsidRPr="009E63C1" w:rsidRDefault="00560668" w:rsidP="000B4161">
            <w:pPr>
              <w:spacing w:line="480" w:lineRule="auto"/>
              <w:jc w:val="center"/>
              <w:rPr>
                <w:rFonts w:cstheme="minorHAnsi"/>
              </w:rPr>
            </w:pPr>
            <w:r>
              <w:rPr>
                <w:rFonts w:cstheme="minorHAnsi"/>
              </w:rPr>
              <w:t>7.5</w:t>
            </w:r>
            <w:r w:rsidR="00732D24" w:rsidRPr="009E63C1">
              <w:rPr>
                <w:rFonts w:cstheme="minorHAnsi"/>
              </w:rPr>
              <w:t xml:space="preserve"> (</w:t>
            </w:r>
            <w:r>
              <w:rPr>
                <w:rFonts w:cstheme="minorHAnsi"/>
              </w:rPr>
              <w:t>4.7</w:t>
            </w:r>
            <w:r w:rsidR="00732D24" w:rsidRPr="009E63C1">
              <w:rPr>
                <w:rFonts w:cstheme="minorHAnsi"/>
              </w:rPr>
              <w:t>)</w:t>
            </w:r>
          </w:p>
        </w:tc>
        <w:tc>
          <w:tcPr>
            <w:tcW w:w="2642" w:type="dxa"/>
          </w:tcPr>
          <w:p w14:paraId="2D409907" w14:textId="4D2CA7E9" w:rsidR="00732D24" w:rsidRPr="009E63C1" w:rsidRDefault="00560668" w:rsidP="000B4161">
            <w:pPr>
              <w:spacing w:line="480" w:lineRule="auto"/>
              <w:jc w:val="center"/>
              <w:rPr>
                <w:rFonts w:cstheme="minorHAnsi"/>
              </w:rPr>
            </w:pPr>
            <w:r>
              <w:rPr>
                <w:rFonts w:cstheme="minorHAnsi"/>
              </w:rPr>
              <w:t>8.</w:t>
            </w:r>
            <w:r w:rsidR="00732D24" w:rsidRPr="009E63C1">
              <w:rPr>
                <w:rFonts w:cstheme="minorHAnsi"/>
              </w:rPr>
              <w:t>7 (</w:t>
            </w:r>
            <w:r>
              <w:rPr>
                <w:rFonts w:cstheme="minorHAnsi"/>
              </w:rPr>
              <w:t>6.7</w:t>
            </w:r>
            <w:r w:rsidR="00732D24" w:rsidRPr="009E63C1">
              <w:rPr>
                <w:rFonts w:cstheme="minorHAnsi"/>
              </w:rPr>
              <w:t>)</w:t>
            </w:r>
          </w:p>
        </w:tc>
      </w:tr>
    </w:tbl>
    <w:p w14:paraId="5BEB5373" w14:textId="77777777" w:rsidR="00732D24" w:rsidRPr="009E63C1" w:rsidRDefault="00732D24" w:rsidP="00732D24">
      <w:pPr>
        <w:spacing w:line="480" w:lineRule="auto"/>
        <w:rPr>
          <w:rFonts w:cstheme="minorHAnsi"/>
          <w:b/>
          <w:bCs/>
        </w:rPr>
      </w:pPr>
      <w:r w:rsidRPr="009E63C1">
        <w:rPr>
          <w:rFonts w:eastAsiaTheme="minorHAnsi" w:cstheme="minorHAnsi"/>
          <w:sz w:val="20"/>
          <w:szCs w:val="20"/>
          <w:lang w:eastAsia="en-GB"/>
        </w:rPr>
        <w:t>SBP: Systolic Blood Pressure;</w:t>
      </w:r>
      <w:r w:rsidRPr="009E63C1">
        <w:rPr>
          <w:rFonts w:cstheme="minorHAnsi"/>
          <w:sz w:val="20"/>
          <w:szCs w:val="20"/>
        </w:rPr>
        <w:t xml:space="preserve"> </w:t>
      </w:r>
      <w:r w:rsidRPr="009E63C1">
        <w:rPr>
          <w:rFonts w:eastAsiaTheme="minorHAnsi" w:cstheme="minorHAnsi"/>
          <w:sz w:val="20"/>
          <w:szCs w:val="20"/>
          <w:lang w:eastAsia="en-GB"/>
        </w:rPr>
        <w:t>DBP: Diastolic Blood Pressure.</w:t>
      </w:r>
    </w:p>
    <w:p w14:paraId="6DED448E" w14:textId="77777777" w:rsidR="00732D24" w:rsidRPr="009E63C1" w:rsidRDefault="00732D24" w:rsidP="00732D24">
      <w:pPr>
        <w:jc w:val="center"/>
        <w:rPr>
          <w:rFonts w:cstheme="minorHAnsi"/>
          <w:b/>
          <w:bCs/>
        </w:rPr>
      </w:pPr>
      <w:r w:rsidRPr="009E63C1">
        <w:rPr>
          <w:rFonts w:cstheme="minorHAnsi"/>
        </w:rPr>
        <w:br w:type="page"/>
      </w:r>
      <w:r w:rsidRPr="009E63C1">
        <w:rPr>
          <w:rFonts w:cstheme="minorHAnsi"/>
          <w:b/>
          <w:bCs/>
          <w:noProof/>
          <w:lang w:val="es-CL" w:eastAsia="es-CL"/>
        </w:rPr>
        <w:lastRenderedPageBreak/>
        <w:drawing>
          <wp:inline distT="0" distB="0" distL="0" distR="0" wp14:anchorId="3199B2F1" wp14:editId="70729E51">
            <wp:extent cx="5400000" cy="3040277"/>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6084" t="4611" r="7389"/>
                    <a:stretch/>
                  </pic:blipFill>
                  <pic:spPr bwMode="auto">
                    <a:xfrm>
                      <a:off x="0" y="0"/>
                      <a:ext cx="5400000" cy="3040277"/>
                    </a:xfrm>
                    <a:prstGeom prst="rect">
                      <a:avLst/>
                    </a:prstGeom>
                    <a:noFill/>
                    <a:ln>
                      <a:noFill/>
                    </a:ln>
                    <a:extLst>
                      <a:ext uri="{53640926-AAD7-44D8-BBD7-CCE9431645EC}">
                        <a14:shadowObscured xmlns:a14="http://schemas.microsoft.com/office/drawing/2010/main"/>
                      </a:ext>
                    </a:extLst>
                  </pic:spPr>
                </pic:pic>
              </a:graphicData>
            </a:graphic>
          </wp:inline>
        </w:drawing>
      </w:r>
    </w:p>
    <w:p w14:paraId="426BFD5D" w14:textId="77777777" w:rsidR="00732D24" w:rsidRPr="009E63C1" w:rsidRDefault="00732D24" w:rsidP="00732D24">
      <w:pPr>
        <w:rPr>
          <w:rFonts w:cstheme="minorHAnsi"/>
          <w:b/>
          <w:bCs/>
        </w:rPr>
      </w:pPr>
      <w:r>
        <w:rPr>
          <w:rFonts w:cstheme="minorHAnsi"/>
          <w:b/>
          <w:bCs/>
        </w:rPr>
        <w:t>Supplementary F</w:t>
      </w:r>
      <w:r w:rsidRPr="009E63C1">
        <w:rPr>
          <w:rFonts w:cstheme="minorHAnsi"/>
          <w:b/>
          <w:bCs/>
        </w:rPr>
        <w:t xml:space="preserve">igure </w:t>
      </w:r>
      <w:r>
        <w:rPr>
          <w:rFonts w:cstheme="minorHAnsi"/>
          <w:b/>
          <w:bCs/>
        </w:rPr>
        <w:t>1</w:t>
      </w:r>
      <w:r w:rsidRPr="009E63C1">
        <w:rPr>
          <w:rFonts w:cstheme="minorHAnsi"/>
          <w:b/>
          <w:bCs/>
        </w:rPr>
        <w:t>. Probability density function (PDF) and empirical cumulative density function (ECDF) for males (A1 and A2) and females (B1 and B2).</w:t>
      </w:r>
    </w:p>
    <w:p w14:paraId="43E3A357" w14:textId="77777777" w:rsidR="00732D24" w:rsidRPr="009E63C1" w:rsidRDefault="00732D24" w:rsidP="00732D24">
      <w:pPr>
        <w:spacing w:after="0" w:line="276" w:lineRule="auto"/>
        <w:jc w:val="both"/>
        <w:rPr>
          <w:rFonts w:cstheme="minorHAnsi"/>
        </w:rPr>
      </w:pPr>
      <w:r>
        <w:rPr>
          <w:rFonts w:cstheme="minorHAnsi"/>
        </w:rPr>
        <w:t xml:space="preserve">Figures A1 and B1 show the basic descriptive statistic of the bootstrapping analyses. </w:t>
      </w:r>
      <w:r w:rsidRPr="009E63C1">
        <w:rPr>
          <w:rFonts w:cstheme="minorHAnsi"/>
        </w:rPr>
        <w:t xml:space="preserve">PDFs </w:t>
      </w:r>
      <w:r>
        <w:rPr>
          <w:rFonts w:cstheme="minorHAnsi"/>
        </w:rPr>
        <w:t>are</w:t>
      </w:r>
      <w:r w:rsidRPr="009E63C1">
        <w:rPr>
          <w:rFonts w:cstheme="minorHAnsi"/>
        </w:rPr>
        <w:t xml:space="preserve"> not normally distributed and in consequence, mean (92.6 cm for men and 88.4 cm for women) and mode (93.4 cm for men and 89.0 cm for women) values are not the same (Figures A1 and B1). </w:t>
      </w:r>
    </w:p>
    <w:p w14:paraId="0EFE102F" w14:textId="77777777" w:rsidR="00732D24" w:rsidRPr="009E63C1" w:rsidRDefault="00732D24" w:rsidP="00732D24">
      <w:pPr>
        <w:spacing w:line="276" w:lineRule="auto"/>
        <w:jc w:val="both"/>
        <w:rPr>
          <w:rFonts w:cstheme="minorHAnsi"/>
          <w:b/>
          <w:bCs/>
        </w:rPr>
      </w:pPr>
      <w:r>
        <w:rPr>
          <w:rFonts w:cstheme="minorHAnsi"/>
        </w:rPr>
        <w:t>Figures A2 and B2 represent t</w:t>
      </w:r>
      <w:r w:rsidRPr="009E63C1">
        <w:rPr>
          <w:rFonts w:cstheme="minorHAnsi"/>
        </w:rPr>
        <w:t xml:space="preserve">he probability of having a </w:t>
      </w:r>
      <w:r>
        <w:rPr>
          <w:rFonts w:cstheme="minorHAnsi"/>
        </w:rPr>
        <w:t>cut-off point according to the</w:t>
      </w:r>
      <w:r w:rsidRPr="009E63C1">
        <w:rPr>
          <w:rFonts w:cstheme="minorHAnsi"/>
        </w:rPr>
        <w:t xml:space="preserve"> WHO/IDF (90.0 ± 1.0 and 80.0</w:t>
      </w:r>
      <w:r>
        <w:rPr>
          <w:rFonts w:cstheme="minorHAnsi"/>
        </w:rPr>
        <w:t xml:space="preserve"> </w:t>
      </w:r>
      <w:r w:rsidRPr="009E63C1">
        <w:rPr>
          <w:rFonts w:cstheme="minorHAnsi"/>
        </w:rPr>
        <w:t xml:space="preserve">± 1.0 cm) </w:t>
      </w:r>
      <w:r>
        <w:rPr>
          <w:rFonts w:cstheme="minorHAnsi"/>
        </w:rPr>
        <w:t xml:space="preserve">and </w:t>
      </w:r>
      <w:r w:rsidRPr="009E63C1">
        <w:rPr>
          <w:rFonts w:cstheme="minorHAnsi"/>
        </w:rPr>
        <w:t>the ATP III (102.0 ± 1.0 and 88.0 ± 1.0 cm)</w:t>
      </w:r>
      <w:r>
        <w:rPr>
          <w:rFonts w:cstheme="minorHAnsi"/>
        </w:rPr>
        <w:t>.</w:t>
      </w:r>
    </w:p>
    <w:p w14:paraId="43BF8ACE" w14:textId="77777777" w:rsidR="00732D24" w:rsidRPr="009E63C1" w:rsidRDefault="00732D24" w:rsidP="00732D24">
      <w:pPr>
        <w:rPr>
          <w:rFonts w:cstheme="minorHAnsi"/>
        </w:rPr>
      </w:pPr>
    </w:p>
    <w:p w14:paraId="263CCF5D" w14:textId="77777777" w:rsidR="00732D24" w:rsidRPr="009E63C1" w:rsidRDefault="00732D24" w:rsidP="00732D24">
      <w:pPr>
        <w:jc w:val="center"/>
        <w:rPr>
          <w:rFonts w:cstheme="minorHAnsi"/>
          <w:b/>
          <w:bCs/>
        </w:rPr>
      </w:pPr>
      <w:r w:rsidRPr="009E63C1">
        <w:rPr>
          <w:rFonts w:cstheme="minorHAnsi"/>
          <w:b/>
          <w:noProof/>
          <w:lang w:val="es-CL" w:eastAsia="es-CL"/>
        </w:rPr>
        <w:lastRenderedPageBreak/>
        <w:drawing>
          <wp:inline distT="0" distB="0" distL="0" distR="0" wp14:anchorId="7830704D" wp14:editId="755122F2">
            <wp:extent cx="5400000" cy="45026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5523" t="5105" r="6553"/>
                    <a:stretch/>
                  </pic:blipFill>
                  <pic:spPr bwMode="auto">
                    <a:xfrm>
                      <a:off x="0" y="0"/>
                      <a:ext cx="5400000" cy="4502604"/>
                    </a:xfrm>
                    <a:prstGeom prst="rect">
                      <a:avLst/>
                    </a:prstGeom>
                    <a:noFill/>
                    <a:ln>
                      <a:noFill/>
                    </a:ln>
                    <a:extLst>
                      <a:ext uri="{53640926-AAD7-44D8-BBD7-CCE9431645EC}">
                        <a14:shadowObscured xmlns:a14="http://schemas.microsoft.com/office/drawing/2010/main"/>
                      </a:ext>
                    </a:extLst>
                  </pic:spPr>
                </pic:pic>
              </a:graphicData>
            </a:graphic>
          </wp:inline>
        </w:drawing>
      </w:r>
      <w:r w:rsidRPr="009E63C1">
        <w:rPr>
          <w:rFonts w:cstheme="minorHAnsi"/>
          <w:b/>
        </w:rPr>
        <w:t xml:space="preserve">Supplementary Figure </w:t>
      </w:r>
      <w:r>
        <w:rPr>
          <w:rFonts w:cstheme="minorHAnsi"/>
          <w:b/>
        </w:rPr>
        <w:t>2</w:t>
      </w:r>
      <w:r w:rsidRPr="009E63C1">
        <w:rPr>
          <w:rFonts w:cstheme="minorHAnsi"/>
          <w:b/>
        </w:rPr>
        <w:t xml:space="preserve">. </w:t>
      </w:r>
      <w:r w:rsidRPr="009E63C1">
        <w:rPr>
          <w:rFonts w:cstheme="minorHAnsi"/>
          <w:b/>
          <w:bCs/>
        </w:rPr>
        <w:t xml:space="preserve">ROC analyses for waist circumference in the definition of </w:t>
      </w:r>
      <w:proofErr w:type="spellStart"/>
      <w:r w:rsidRPr="009E63C1">
        <w:rPr>
          <w:rFonts w:cstheme="minorHAnsi"/>
          <w:b/>
          <w:bCs/>
        </w:rPr>
        <w:t>MetS</w:t>
      </w:r>
      <w:proofErr w:type="spellEnd"/>
      <w:r w:rsidRPr="009E63C1">
        <w:rPr>
          <w:rFonts w:cstheme="minorHAnsi"/>
          <w:b/>
          <w:bCs/>
        </w:rPr>
        <w:t xml:space="preserve"> by sex and age</w:t>
      </w:r>
    </w:p>
    <w:p w14:paraId="05EBE40D" w14:textId="77777777" w:rsidR="00732D24" w:rsidRPr="009E63C1" w:rsidRDefault="00732D24" w:rsidP="00732D24">
      <w:pPr>
        <w:autoSpaceDE w:val="0"/>
        <w:autoSpaceDN w:val="0"/>
        <w:adjustRightInd w:val="0"/>
        <w:spacing w:after="0" w:line="240" w:lineRule="auto"/>
        <w:jc w:val="both"/>
        <w:rPr>
          <w:rFonts w:cstheme="minorHAnsi"/>
          <w:sz w:val="20"/>
          <w:szCs w:val="20"/>
        </w:rPr>
      </w:pPr>
      <w:r w:rsidRPr="009E63C1">
        <w:rPr>
          <w:rFonts w:cstheme="minorHAnsi"/>
          <w:sz w:val="20"/>
          <w:szCs w:val="20"/>
        </w:rPr>
        <w:t>Figure A1 and A2 show the optimal cut-off point for men under and above 60 years, respectively, in Chile. Figure B1 and B2 show the same information for women.</w:t>
      </w:r>
    </w:p>
    <w:p w14:paraId="45988237" w14:textId="045EFBB2" w:rsidR="00732D24" w:rsidRPr="009E63C1" w:rsidRDefault="00732D24" w:rsidP="00732D24">
      <w:pPr>
        <w:rPr>
          <w:rFonts w:eastAsiaTheme="minorHAnsi" w:cstheme="minorHAnsi"/>
          <w:sz w:val="20"/>
          <w:szCs w:val="20"/>
          <w:lang w:eastAsia="en-GB"/>
        </w:rPr>
      </w:pPr>
      <w:proofErr w:type="spellStart"/>
      <w:r w:rsidRPr="009E63C1">
        <w:rPr>
          <w:rFonts w:cstheme="minorHAnsi"/>
          <w:sz w:val="20"/>
          <w:szCs w:val="20"/>
        </w:rPr>
        <w:t>MetS</w:t>
      </w:r>
      <w:proofErr w:type="spellEnd"/>
      <w:r w:rsidRPr="009E63C1">
        <w:rPr>
          <w:rFonts w:cstheme="minorHAnsi"/>
          <w:sz w:val="20"/>
          <w:szCs w:val="20"/>
        </w:rPr>
        <w:t xml:space="preserve"> was defined as the presence of ≥2 of the following conditions:  </w:t>
      </w:r>
      <w:r w:rsidRPr="009E63C1">
        <w:rPr>
          <w:rFonts w:eastAsiaTheme="minorHAnsi" w:cstheme="minorHAnsi"/>
          <w:sz w:val="20"/>
          <w:szCs w:val="20"/>
          <w:lang w:eastAsia="en-GB"/>
        </w:rPr>
        <w:t>triglycerides ≥1</w:t>
      </w:r>
      <w:r w:rsidR="00F73B63">
        <w:rPr>
          <w:rFonts w:eastAsiaTheme="minorHAnsi" w:cstheme="minorHAnsi"/>
          <w:sz w:val="20"/>
          <w:szCs w:val="20"/>
          <w:lang w:eastAsia="en-GB"/>
        </w:rPr>
        <w:t>.7 mmol/L</w:t>
      </w:r>
      <w:r w:rsidRPr="009E63C1">
        <w:rPr>
          <w:rFonts w:eastAsiaTheme="minorHAnsi" w:cstheme="minorHAnsi"/>
          <w:sz w:val="20"/>
          <w:szCs w:val="20"/>
          <w:lang w:eastAsia="en-GB"/>
        </w:rPr>
        <w:t>; HDL cholesterol: &lt;</w:t>
      </w:r>
      <w:r w:rsidR="00F73B63">
        <w:rPr>
          <w:rFonts w:eastAsiaTheme="minorHAnsi" w:cstheme="minorHAnsi"/>
          <w:sz w:val="20"/>
          <w:szCs w:val="20"/>
          <w:lang w:eastAsia="en-GB"/>
        </w:rPr>
        <w:t>1.3</w:t>
      </w:r>
      <w:r w:rsidRPr="009E63C1">
        <w:rPr>
          <w:rFonts w:eastAsiaTheme="minorHAnsi" w:cstheme="minorHAnsi"/>
          <w:sz w:val="20"/>
          <w:szCs w:val="20"/>
          <w:lang w:eastAsia="en-GB"/>
        </w:rPr>
        <w:t xml:space="preserve"> </w:t>
      </w:r>
      <w:r w:rsidR="00F73B63">
        <w:rPr>
          <w:rFonts w:eastAsiaTheme="minorHAnsi" w:cstheme="minorHAnsi"/>
          <w:sz w:val="20"/>
          <w:szCs w:val="20"/>
          <w:lang w:eastAsia="en-GB"/>
        </w:rPr>
        <w:t xml:space="preserve">mmol/L </w:t>
      </w:r>
      <w:r w:rsidRPr="009E63C1">
        <w:rPr>
          <w:rFonts w:eastAsiaTheme="minorHAnsi" w:cstheme="minorHAnsi"/>
          <w:sz w:val="20"/>
          <w:szCs w:val="20"/>
          <w:lang w:eastAsia="en-GB"/>
        </w:rPr>
        <w:t>in women and &lt;</w:t>
      </w:r>
      <w:r w:rsidR="00F73B63">
        <w:rPr>
          <w:rFonts w:eastAsiaTheme="minorHAnsi" w:cstheme="minorHAnsi"/>
          <w:sz w:val="20"/>
          <w:szCs w:val="20"/>
          <w:lang w:eastAsia="en-GB"/>
        </w:rPr>
        <w:t>1.</w:t>
      </w:r>
      <w:r w:rsidRPr="009E63C1">
        <w:rPr>
          <w:rFonts w:eastAsiaTheme="minorHAnsi" w:cstheme="minorHAnsi"/>
          <w:sz w:val="20"/>
          <w:szCs w:val="20"/>
          <w:lang w:eastAsia="en-GB"/>
        </w:rPr>
        <w:t>0 m</w:t>
      </w:r>
      <w:r w:rsidR="00F73B63">
        <w:rPr>
          <w:rFonts w:eastAsiaTheme="minorHAnsi" w:cstheme="minorHAnsi"/>
          <w:sz w:val="20"/>
          <w:szCs w:val="20"/>
          <w:lang w:eastAsia="en-GB"/>
        </w:rPr>
        <w:t xml:space="preserve">mol/L </w:t>
      </w:r>
      <w:r w:rsidRPr="009E63C1">
        <w:rPr>
          <w:rFonts w:eastAsiaTheme="minorHAnsi" w:cstheme="minorHAnsi"/>
          <w:sz w:val="20"/>
          <w:szCs w:val="20"/>
          <w:lang w:eastAsia="en-GB"/>
        </w:rPr>
        <w:t>in men; SBP ≥130 mm Hg and/or DBP ≥85 mm Hg; fasting glucose ≥</w:t>
      </w:r>
      <w:r w:rsidR="00F73B63">
        <w:rPr>
          <w:rFonts w:eastAsiaTheme="minorHAnsi" w:cstheme="minorHAnsi"/>
          <w:sz w:val="20"/>
          <w:szCs w:val="20"/>
          <w:lang w:eastAsia="en-GB"/>
        </w:rPr>
        <w:t>5.6</w:t>
      </w:r>
      <w:r w:rsidRPr="009E63C1">
        <w:rPr>
          <w:rFonts w:eastAsiaTheme="minorHAnsi" w:cstheme="minorHAnsi"/>
          <w:sz w:val="20"/>
          <w:szCs w:val="20"/>
          <w:lang w:eastAsia="en-GB"/>
        </w:rPr>
        <w:t xml:space="preserve"> </w:t>
      </w:r>
      <w:r w:rsidR="00F73B63">
        <w:rPr>
          <w:rFonts w:eastAsiaTheme="minorHAnsi" w:cstheme="minorHAnsi"/>
          <w:sz w:val="20"/>
          <w:szCs w:val="20"/>
          <w:lang w:eastAsia="en-GB"/>
        </w:rPr>
        <w:t xml:space="preserve">mmol/L </w:t>
      </w:r>
      <w:r w:rsidRPr="009E63C1">
        <w:rPr>
          <w:rFonts w:eastAsiaTheme="minorHAnsi" w:cstheme="minorHAnsi"/>
          <w:sz w:val="20"/>
          <w:szCs w:val="20"/>
          <w:lang w:eastAsia="en-GB"/>
        </w:rPr>
        <w:t>or current treatment for diabetes.</w:t>
      </w:r>
    </w:p>
    <w:p w14:paraId="06C85A5D" w14:textId="77777777" w:rsidR="001960D4" w:rsidRDefault="00732D24" w:rsidP="00732D24">
      <w:pPr>
        <w:rPr>
          <w:rFonts w:eastAsiaTheme="minorHAnsi" w:cstheme="minorHAnsi"/>
          <w:sz w:val="20"/>
          <w:szCs w:val="20"/>
          <w:lang w:eastAsia="en-GB"/>
        </w:rPr>
      </w:pPr>
      <w:r w:rsidRPr="009E63C1">
        <w:rPr>
          <w:rFonts w:eastAsiaTheme="minorHAnsi" w:cstheme="minorHAnsi"/>
          <w:sz w:val="20"/>
          <w:szCs w:val="20"/>
          <w:lang w:eastAsia="en-GB"/>
        </w:rPr>
        <w:t>AUC: Area Under the Curve; ROC: Receiver Operating Characteristic.</w:t>
      </w:r>
    </w:p>
    <w:p w14:paraId="4135375D" w14:textId="348D7312" w:rsidR="00C10204" w:rsidRPr="00732D24" w:rsidRDefault="00C10204">
      <w:pPr>
        <w:rPr>
          <w:rFonts w:eastAsiaTheme="minorHAnsi" w:cstheme="minorHAnsi"/>
          <w:sz w:val="20"/>
          <w:szCs w:val="20"/>
          <w:lang w:eastAsia="en-GB"/>
        </w:rPr>
      </w:pPr>
      <w:bookmarkStart w:id="0" w:name="_GoBack"/>
      <w:bookmarkEnd w:id="0"/>
    </w:p>
    <w:sectPr w:rsidR="00C10204" w:rsidRPr="00732D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2NTEzMTQ1NzezNDBT0lEKTi0uzszPAykwqQUAsPUYmSwAAAA="/>
  </w:docVars>
  <w:rsids>
    <w:rsidRoot w:val="00732D24"/>
    <w:rsid w:val="000C378C"/>
    <w:rsid w:val="001960D4"/>
    <w:rsid w:val="002F6738"/>
    <w:rsid w:val="00560668"/>
    <w:rsid w:val="00732D24"/>
    <w:rsid w:val="00825075"/>
    <w:rsid w:val="008431BF"/>
    <w:rsid w:val="00C10204"/>
    <w:rsid w:val="00D33989"/>
    <w:rsid w:val="00F73B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190C"/>
  <w15:chartTrackingRefBased/>
  <w15:docId w15:val="{7A6367D8-D2E5-497F-B782-772E0AD4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2D2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2D2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2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D24"/>
    <w:rPr>
      <w:rFonts w:ascii="Segoe UI" w:eastAsiaTheme="minorEastAsia" w:hAnsi="Segoe UI" w:cs="Segoe UI"/>
      <w:sz w:val="18"/>
      <w:szCs w:val="18"/>
    </w:rPr>
  </w:style>
  <w:style w:type="paragraph" w:customStyle="1" w:styleId="EndNoteBibliography">
    <w:name w:val="EndNote Bibliography"/>
    <w:basedOn w:val="Normal"/>
    <w:link w:val="EndNoteBibliographyCarattere"/>
    <w:rsid w:val="001960D4"/>
    <w:pPr>
      <w:spacing w:line="240" w:lineRule="auto"/>
      <w:jc w:val="both"/>
    </w:pPr>
    <w:rPr>
      <w:rFonts w:ascii="Calibri" w:hAnsi="Calibri" w:cs="Calibri"/>
      <w:noProof/>
    </w:rPr>
  </w:style>
  <w:style w:type="character" w:customStyle="1" w:styleId="EndNoteBibliographyCarattere">
    <w:name w:val="EndNote Bibliography Carattere"/>
    <w:basedOn w:val="DefaultParagraphFont"/>
    <w:link w:val="EndNoteBibliography"/>
    <w:rsid w:val="001960D4"/>
    <w:rPr>
      <w:rFonts w:ascii="Calibri" w:eastAsiaTheme="minorEastAsia"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Petermann Rocha (student)</dc:creator>
  <cp:keywords/>
  <dc:description/>
  <cp:lastModifiedBy>Fanny Petermann Rocha (PGR)</cp:lastModifiedBy>
  <cp:revision>4</cp:revision>
  <dcterms:created xsi:type="dcterms:W3CDTF">2020-06-25T15:00:00Z</dcterms:created>
  <dcterms:modified xsi:type="dcterms:W3CDTF">2020-06-25T16:32:00Z</dcterms:modified>
</cp:coreProperties>
</file>