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B6A62" w14:textId="37EE54FB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Supplementary </w:t>
      </w:r>
      <w:r w:rsidR="007C7A78">
        <w:rPr>
          <w:rFonts w:ascii="Times New Roman" w:eastAsia="Times New Roman" w:hAnsi="Times New Roman" w:cs="Times New Roman"/>
          <w:b/>
        </w:rPr>
        <w:t>a</w:t>
      </w:r>
      <w:r>
        <w:rPr>
          <w:rFonts w:ascii="Times New Roman" w:eastAsia="Times New Roman" w:hAnsi="Times New Roman" w:cs="Times New Roman"/>
          <w:b/>
        </w:rPr>
        <w:t>nnex 1</w:t>
      </w:r>
      <w:r w:rsidR="00773C0A">
        <w:rPr>
          <w:rFonts w:ascii="Times New Roman" w:eastAsia="Times New Roman" w:hAnsi="Times New Roman" w:cs="Times New Roman"/>
          <w:b/>
        </w:rPr>
        <w:t xml:space="preserve">: </w:t>
      </w:r>
      <w:r w:rsidR="007C7A78">
        <w:rPr>
          <w:rFonts w:ascii="Times New Roman" w:eastAsia="Times New Roman" w:hAnsi="Times New Roman" w:cs="Times New Roman"/>
          <w:b/>
        </w:rPr>
        <w:t>c</w:t>
      </w:r>
      <w:r w:rsidR="00773C0A">
        <w:rPr>
          <w:rFonts w:ascii="Times New Roman" w:eastAsia="Times New Roman" w:hAnsi="Times New Roman" w:cs="Times New Roman"/>
          <w:b/>
        </w:rPr>
        <w:t>oding category definitions</w:t>
      </w:r>
    </w:p>
    <w:p w14:paraId="3378C937" w14:textId="77777777" w:rsidR="00773C0A" w:rsidRDefault="00773C0A" w:rsidP="006F7ADF">
      <w:pPr>
        <w:spacing w:line="480" w:lineRule="auto"/>
        <w:rPr>
          <w:rFonts w:ascii="Times New Roman" w:eastAsia="Times New Roman" w:hAnsi="Times New Roman" w:cs="Times New Roman"/>
          <w:b/>
        </w:rPr>
      </w:pPr>
    </w:p>
    <w:p w14:paraId="1C5CF32B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Definitions of non-food and health policy-related tweets:</w:t>
      </w:r>
    </w:p>
    <w:p w14:paraId="34E969A1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Brand, product or service advertising: Content with the purpose of promoting a brand, product or service of a Twitter account, such as a company’s logo, an image of a food, or a report or fact sheet prepared for stakeholders.</w:t>
      </w:r>
    </w:p>
    <w:p w14:paraId="79860805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</w:rPr>
      </w:pPr>
    </w:p>
    <w:p w14:paraId="25EEB369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Career opportunities, working culture, awards and benefits: Content with the purpose of showcasing opportunities provided by working with a company, such as job roles, personal and professional development opportunities, awards and certifications. </w:t>
      </w:r>
    </w:p>
    <w:p w14:paraId="516585E8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</w:rPr>
      </w:pPr>
    </w:p>
    <w:p w14:paraId="3ECEE90D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Company strategy and results: Content reporting on strategic or investment-related decisions, such as annual finance reports, board appointments and mergers and acquisitions.</w:t>
      </w:r>
    </w:p>
    <w:p w14:paraId="22CF7469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</w:rPr>
      </w:pPr>
    </w:p>
    <w:p w14:paraId="0BB1AE13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Consumer inquiries / engagement: Content directed to individual consumers, typically in response to their enquiry about a product, brand or service.</w:t>
      </w:r>
    </w:p>
    <w:p w14:paraId="3A6FBEC8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</w:rPr>
      </w:pPr>
    </w:p>
    <w:p w14:paraId="6BF6DB1E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Events and PR: Content showcasing events, such as conferences, and public relations content that focuses on corporate activities rather than products, such as media profiling a board member’s aspirations and credentials.</w:t>
      </w:r>
    </w:p>
    <w:p w14:paraId="7840ED47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</w:rPr>
      </w:pPr>
    </w:p>
    <w:p w14:paraId="6DDBC5D6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Media clarifications: Content clarifying media inquiries or reporting that concerns the account. </w:t>
      </w:r>
    </w:p>
    <w:p w14:paraId="23418520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</w:rPr>
      </w:pPr>
    </w:p>
    <w:p w14:paraId="239CE322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Notable dates (e.g. public holidays): Content using a particularly noteworthy date, such as public holiday messages or anniversaries.</w:t>
      </w:r>
    </w:p>
    <w:p w14:paraId="54C26644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</w:rPr>
      </w:pPr>
    </w:p>
    <w:p w14:paraId="40DA3384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Research and development: Content promoting research and development initiatives, including the funding of in-house research </w:t>
      </w:r>
      <w:proofErr w:type="spellStart"/>
      <w:r>
        <w:rPr>
          <w:rFonts w:ascii="Times New Roman" w:eastAsia="Times New Roman" w:hAnsi="Times New Roman" w:cs="Times New Roman"/>
        </w:rPr>
        <w:t>centres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DF72F9D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</w:rPr>
      </w:pPr>
    </w:p>
    <w:p w14:paraId="5EEA59A6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Other policy debates not linked to food and health: Content that was not interpreted as having a primary interest in reshaping food and health policy debates, such as construction or mining policy.</w:t>
      </w:r>
    </w:p>
    <w:p w14:paraId="5F7E174F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</w:rPr>
      </w:pPr>
    </w:p>
    <w:p w14:paraId="03512205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Behind paywall: Content that could not be interpreted without accessing a link that was being paywall, such as tweeting a pay-walled newspaper link without comment.</w:t>
      </w:r>
    </w:p>
    <w:p w14:paraId="5A92D801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</w:rPr>
      </w:pPr>
    </w:p>
    <w:p w14:paraId="4E75956D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Link expired: Content that could not be accessed due to an outdated link.</w:t>
      </w:r>
    </w:p>
    <w:p w14:paraId="0FF25922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</w:rPr>
      </w:pPr>
    </w:p>
    <w:p w14:paraId="5F521B5B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Non-English language: Content published in a language other than English.</w:t>
      </w:r>
    </w:p>
    <w:p w14:paraId="6BF06020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</w:rPr>
      </w:pPr>
    </w:p>
    <w:p w14:paraId="7FA4A54E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  <w:u w:val="single"/>
        </w:rPr>
      </w:pPr>
      <w:r>
        <w:br w:type="page"/>
      </w:r>
    </w:p>
    <w:p w14:paraId="6A66A0F0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lastRenderedPageBreak/>
        <w:t>Definitions of food and health policy-related influencing strategies and tactics:</w:t>
      </w:r>
    </w:p>
    <w:p w14:paraId="7E38FDE9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Co-opt public health narratives</w:t>
      </w:r>
    </w:p>
    <w:p w14:paraId="5A34E367" w14:textId="68C67C92" w:rsidR="00F06896" w:rsidRDefault="00F06896" w:rsidP="006F7ADF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Acknowledge overarching policy problem: Content that acknowledges there is an overall policy problem, such as obesity</w:t>
      </w:r>
      <w:r w:rsidR="00BD7DCD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malnutrition</w:t>
      </w:r>
      <w:r w:rsidR="00BD7DCD">
        <w:rPr>
          <w:rFonts w:ascii="Times New Roman" w:eastAsia="Times New Roman" w:hAnsi="Times New Roman" w:cs="Times New Roman"/>
        </w:rPr>
        <w:t xml:space="preserve"> or food waste</w:t>
      </w:r>
      <w:r>
        <w:rPr>
          <w:rFonts w:ascii="Times New Roman" w:eastAsia="Times New Roman" w:hAnsi="Times New Roman" w:cs="Times New Roman"/>
        </w:rPr>
        <w:t xml:space="preserve">, but </w:t>
      </w:r>
      <w:r w:rsidR="008C5925">
        <w:rPr>
          <w:rFonts w:ascii="Times New Roman" w:eastAsia="Times New Roman" w:hAnsi="Times New Roman" w:cs="Times New Roman"/>
        </w:rPr>
        <w:t xml:space="preserve">is not necessarily supported with </w:t>
      </w:r>
      <w:r w:rsidR="00AA3651">
        <w:rPr>
          <w:rFonts w:ascii="Times New Roman" w:eastAsia="Times New Roman" w:hAnsi="Times New Roman" w:cs="Times New Roman"/>
        </w:rPr>
        <w:t xml:space="preserve">policy responses to improve dietary </w:t>
      </w:r>
      <w:proofErr w:type="spellStart"/>
      <w:r w:rsidR="00AA3651">
        <w:rPr>
          <w:rFonts w:ascii="Times New Roman" w:eastAsia="Times New Roman" w:hAnsi="Times New Roman" w:cs="Times New Roman"/>
        </w:rPr>
        <w:t>behaviours</w:t>
      </w:r>
      <w:proofErr w:type="spellEnd"/>
      <w:r w:rsidR="00AA3651">
        <w:rPr>
          <w:rFonts w:ascii="Times New Roman" w:eastAsia="Times New Roman" w:hAnsi="Times New Roman" w:cs="Times New Roman"/>
        </w:rPr>
        <w:t xml:space="preserve"> or weight status that are supported by</w:t>
      </w:r>
      <w:r>
        <w:rPr>
          <w:rFonts w:ascii="Times New Roman" w:eastAsia="Times New Roman" w:hAnsi="Times New Roman" w:cs="Times New Roman"/>
        </w:rPr>
        <w:t xml:space="preserve"> peer-reviewed academic evidence.</w:t>
      </w:r>
    </w:p>
    <w:p w14:paraId="664193C3" w14:textId="77777777" w:rsidR="00F06896" w:rsidRDefault="00F06896" w:rsidP="006F7ADF">
      <w:pPr>
        <w:spacing w:line="480" w:lineRule="auto"/>
        <w:rPr>
          <w:rFonts w:ascii="Times New Roman" w:eastAsia="Times New Roman" w:hAnsi="Times New Roman" w:cs="Times New Roman"/>
        </w:rPr>
      </w:pPr>
    </w:p>
    <w:p w14:paraId="6B71D4F8" w14:textId="3A04D3E4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Align messaging with NGOs / health groups: Content that shares or promotes the work of NGOs or health </w:t>
      </w:r>
      <w:proofErr w:type="spellStart"/>
      <w:r>
        <w:rPr>
          <w:rFonts w:ascii="Times New Roman" w:eastAsia="Times New Roman" w:hAnsi="Times New Roman" w:cs="Times New Roman"/>
        </w:rPr>
        <w:t>organisations</w:t>
      </w:r>
      <w:proofErr w:type="spellEnd"/>
      <w:r>
        <w:rPr>
          <w:rFonts w:ascii="Times New Roman" w:eastAsia="Times New Roman" w:hAnsi="Times New Roman" w:cs="Times New Roman"/>
        </w:rPr>
        <w:t xml:space="preserve"> in Australia, including philanthropic partnerships.</w:t>
      </w:r>
    </w:p>
    <w:p w14:paraId="09041BB8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</w:rPr>
      </w:pPr>
    </w:p>
    <w:p w14:paraId="7DA80B6D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Align messaging with national health institutions: Content that shares or promotes the work of national health institutions, such as CSIRO, either to clarify legitimate concerns or inaccuracies, or to substantiate influencing arguments.</w:t>
      </w:r>
    </w:p>
    <w:p w14:paraId="32CB4D88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</w:rPr>
      </w:pPr>
    </w:p>
    <w:p w14:paraId="3C6A3AD7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Align messaging with global health institutions: Content that shares or promotes the work of global health institutions, such as the World Health Organization Sustainable Development Goals, to associate an account with the activities of that </w:t>
      </w:r>
      <w:proofErr w:type="spellStart"/>
      <w:r>
        <w:rPr>
          <w:rFonts w:ascii="Times New Roman" w:eastAsia="Times New Roman" w:hAnsi="Times New Roman" w:cs="Times New Roman"/>
        </w:rPr>
        <w:t>organisation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52601B2D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</w:rPr>
      </w:pPr>
    </w:p>
    <w:p w14:paraId="4BFF7BB7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Critique evidence or rationale underpinning policy proposal: Content that engages with policy-related evidence and research, such as to raise questions about the nature of the study, or contest its use as a justification for policy intervention.</w:t>
      </w:r>
    </w:p>
    <w:p w14:paraId="233A0AAD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</w:rPr>
      </w:pPr>
    </w:p>
    <w:p w14:paraId="04B8579B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Depict health stakeholders as misinformed, radical or not credible: Content that may have the consequence of presenting health stakeholders as not being reliable sources of information about policy debates, such as </w:t>
      </w:r>
      <w:proofErr w:type="spellStart"/>
      <w:r>
        <w:rPr>
          <w:rFonts w:ascii="Times New Roman" w:eastAsia="Times New Roman" w:hAnsi="Times New Roman" w:cs="Times New Roman"/>
        </w:rPr>
        <w:t>criticising</w:t>
      </w:r>
      <w:proofErr w:type="spellEnd"/>
      <w:r>
        <w:rPr>
          <w:rFonts w:ascii="Times New Roman" w:eastAsia="Times New Roman" w:hAnsi="Times New Roman" w:cs="Times New Roman"/>
        </w:rPr>
        <w:t xml:space="preserve"> their </w:t>
      </w:r>
      <w:proofErr w:type="spellStart"/>
      <w:r>
        <w:rPr>
          <w:rFonts w:ascii="Times New Roman" w:eastAsia="Times New Roman" w:hAnsi="Times New Roman" w:cs="Times New Roman"/>
        </w:rPr>
        <w:t>rigour</w:t>
      </w:r>
      <w:proofErr w:type="spellEnd"/>
      <w:r>
        <w:rPr>
          <w:rFonts w:ascii="Times New Roman" w:eastAsia="Times New Roman" w:hAnsi="Times New Roman" w:cs="Times New Roman"/>
        </w:rPr>
        <w:t xml:space="preserve"> or depicting them as a policy adversary.</w:t>
      </w:r>
    </w:p>
    <w:p w14:paraId="2F059719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</w:rPr>
      </w:pPr>
    </w:p>
    <w:p w14:paraId="04825FFE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Message / input into health stakeholder conversations: Content that connected an actor with a health stakeholder, either organically through a message or in an ongoing chain of messages, such as to dispute or query policy discussions, or invite them to work collaboratively.</w:t>
      </w:r>
    </w:p>
    <w:p w14:paraId="05828947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</w:rPr>
      </w:pPr>
    </w:p>
    <w:p w14:paraId="7BD91E37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Engage policy processes and decision-makers</w:t>
      </w:r>
    </w:p>
    <w:p w14:paraId="53691160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Attend or host political events: Content that promotes an event or activity attended or hosted by an account, such as attending speeches related to the annual budget, or hosting tours of manufacturing facilities for Parliamentarians.</w:t>
      </w:r>
    </w:p>
    <w:p w14:paraId="00CC7136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3E1FD638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Create electorate-specific data: Content that is designed to showcase activity within a particular Federal electorate.</w:t>
      </w:r>
    </w:p>
    <w:p w14:paraId="666A059F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</w:rPr>
      </w:pPr>
    </w:p>
    <w:p w14:paraId="0C66A3EB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Publicise government policy: Content that amplifies coverage of a political policy-decision. </w:t>
      </w:r>
    </w:p>
    <w:p w14:paraId="58AB2B36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</w:rPr>
      </w:pPr>
    </w:p>
    <w:p w14:paraId="39A5A357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Publicise tribunal or court decisions: Content that amplifies coverage of a judicial or tribunal policy-decision, such as disputes between trade </w:t>
      </w:r>
      <w:proofErr w:type="spellStart"/>
      <w:r>
        <w:rPr>
          <w:rFonts w:ascii="Times New Roman" w:eastAsia="Times New Roman" w:hAnsi="Times New Roman" w:cs="Times New Roman"/>
        </w:rPr>
        <w:t>organisations</w:t>
      </w:r>
      <w:proofErr w:type="spellEnd"/>
      <w:r>
        <w:rPr>
          <w:rFonts w:ascii="Times New Roman" w:eastAsia="Times New Roman" w:hAnsi="Times New Roman" w:cs="Times New Roman"/>
        </w:rPr>
        <w:t xml:space="preserve"> and trade unions. </w:t>
      </w:r>
    </w:p>
    <w:p w14:paraId="22780996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</w:rPr>
      </w:pPr>
    </w:p>
    <w:p w14:paraId="7214962E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Reference historical political figures: Content that amplifies information from a historical political figure, such as a quote or opinion piece.</w:t>
      </w:r>
    </w:p>
    <w:p w14:paraId="1AD268FC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</w:rPr>
      </w:pPr>
    </w:p>
    <w:p w14:paraId="15125235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Retweet policy maker / institution: Content that retweets the account of a policy-maker or institution.</w:t>
      </w:r>
    </w:p>
    <w:p w14:paraId="7AE879BE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</w:rPr>
      </w:pPr>
    </w:p>
    <w:p w14:paraId="43935A98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Tag or mention policy maker / institution: Content that retweets the account of a policy-maker or institution, either by using their Twitter handle or mentioning their status (e.g. ‘The Opposition’).</w:t>
      </w:r>
    </w:p>
    <w:p w14:paraId="07075AB4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</w:rPr>
      </w:pPr>
    </w:p>
    <w:p w14:paraId="402F6AEE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Link policy environment to need for ongoing profitability</w:t>
      </w:r>
    </w:p>
    <w:p w14:paraId="7626077F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Champion vitalness of sector to economy: Content that showcases the contributions of an actor to the Australian economy.</w:t>
      </w:r>
    </w:p>
    <w:p w14:paraId="2BFA8794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</w:rPr>
      </w:pPr>
    </w:p>
    <w:p w14:paraId="452FF6BB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Current economic climate difficult enough without policy intervention: Content that may create the implication that the economic status-quo is sufficiently constraining for corporate actors, that further market intervention would be inappropriate or not viable.</w:t>
      </w:r>
    </w:p>
    <w:p w14:paraId="5C194617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</w:rPr>
      </w:pPr>
    </w:p>
    <w:p w14:paraId="50A2B83F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Emphasise</w:t>
      </w:r>
      <w:proofErr w:type="spellEnd"/>
      <w:r>
        <w:rPr>
          <w:rFonts w:ascii="Times New Roman" w:eastAsia="Times New Roman" w:hAnsi="Times New Roman" w:cs="Times New Roman"/>
        </w:rPr>
        <w:t xml:space="preserve"> tax revenue contributions: Content that features the argument that companies are contributing to Australian society by virtue of paying tax domestically.</w:t>
      </w:r>
    </w:p>
    <w:p w14:paraId="0D832534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</w:rPr>
      </w:pPr>
    </w:p>
    <w:p w14:paraId="7B36E6F9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Fiscal policies as discriminatory / regressive: Content that positions fiscal measures on ultra-processed foods and drinks as regressive or discriminatory, including when overlooking the economic externalities of diet-related morbidity and mortality.</w:t>
      </w:r>
    </w:p>
    <w:p w14:paraId="0447C94F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</w:rPr>
      </w:pPr>
    </w:p>
    <w:p w14:paraId="51029013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Link policy environment to adverse cost implications: Content that positions the current policy environment, or potential changes to this environment, as damaging the economic opportunities of an actor.</w:t>
      </w:r>
    </w:p>
    <w:p w14:paraId="6A5E0177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</w:rPr>
      </w:pPr>
    </w:p>
    <w:p w14:paraId="336B26E5" w14:textId="29F0C379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Link policy environment to adverse employment implications: Content that positions the current policy environment, or potential changes to this environment, as damaging the prospects of an actor to be a local employer.</w:t>
      </w:r>
    </w:p>
    <w:p w14:paraId="30BFF1EA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</w:rPr>
      </w:pPr>
    </w:p>
    <w:p w14:paraId="4EB065DD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Support ‘business-friendly’ policy reforms: Content that positions the current policy environment in need for reform in </w:t>
      </w:r>
      <w:proofErr w:type="spellStart"/>
      <w:r>
        <w:rPr>
          <w:rFonts w:ascii="Times New Roman" w:eastAsia="Times New Roman" w:hAnsi="Times New Roman" w:cs="Times New Roman"/>
        </w:rPr>
        <w:t>favour</w:t>
      </w:r>
      <w:proofErr w:type="spellEnd"/>
      <w:r>
        <w:rPr>
          <w:rFonts w:ascii="Times New Roman" w:eastAsia="Times New Roman" w:hAnsi="Times New Roman" w:cs="Times New Roman"/>
        </w:rPr>
        <w:t xml:space="preserve"> of neoliberal economic policy.</w:t>
      </w:r>
    </w:p>
    <w:p w14:paraId="6040B08A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</w:rPr>
      </w:pPr>
    </w:p>
    <w:p w14:paraId="2CC1957F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Support trade </w:t>
      </w:r>
      <w:proofErr w:type="spellStart"/>
      <w:r>
        <w:rPr>
          <w:rFonts w:ascii="Times New Roman" w:eastAsia="Times New Roman" w:hAnsi="Times New Roman" w:cs="Times New Roman"/>
        </w:rPr>
        <w:t>liberalisation</w:t>
      </w:r>
      <w:proofErr w:type="spellEnd"/>
      <w:r>
        <w:rPr>
          <w:rFonts w:ascii="Times New Roman" w:eastAsia="Times New Roman" w:hAnsi="Times New Roman" w:cs="Times New Roman"/>
        </w:rPr>
        <w:t xml:space="preserve"> and global exports: Content that positions the current policy environment in need for reform in </w:t>
      </w:r>
      <w:proofErr w:type="spellStart"/>
      <w:r>
        <w:rPr>
          <w:rFonts w:ascii="Times New Roman" w:eastAsia="Times New Roman" w:hAnsi="Times New Roman" w:cs="Times New Roman"/>
        </w:rPr>
        <w:t>favour</w:t>
      </w:r>
      <w:proofErr w:type="spellEnd"/>
      <w:r>
        <w:rPr>
          <w:rFonts w:ascii="Times New Roman" w:eastAsia="Times New Roman" w:hAnsi="Times New Roman" w:cs="Times New Roman"/>
        </w:rPr>
        <w:t xml:space="preserve"> of global growth, exports and trade </w:t>
      </w:r>
      <w:proofErr w:type="spellStart"/>
      <w:r>
        <w:rPr>
          <w:rFonts w:ascii="Times New Roman" w:eastAsia="Times New Roman" w:hAnsi="Times New Roman" w:cs="Times New Roman"/>
        </w:rPr>
        <w:t>liberalisation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1990EA2D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</w:rPr>
      </w:pPr>
    </w:p>
    <w:p w14:paraId="67748D4C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Oppose regulation</w:t>
      </w:r>
    </w:p>
    <w:p w14:paraId="7D5D8B5A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Dispute or reject regulatory policy proposals: Content that challenges whether a food or health policy should be introduced.</w:t>
      </w:r>
    </w:p>
    <w:p w14:paraId="08B7E75F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</w:rPr>
      </w:pPr>
    </w:p>
    <w:p w14:paraId="1233DBBD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Existing regulations are strict enough: Content that suggests existing regulatory frameworks are sufficiently stringent to address a food or health policy issue.</w:t>
      </w:r>
    </w:p>
    <w:p w14:paraId="6A81AC49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</w:rPr>
      </w:pPr>
    </w:p>
    <w:p w14:paraId="0BBB696E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Existing regulations are burdensome, complex or inefficient: Content that suggests existing regulatory frameworks are an economic or bureaucratic inconvenience to corporate activities.</w:t>
      </w:r>
    </w:p>
    <w:p w14:paraId="2FC84C92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</w:rPr>
      </w:pPr>
    </w:p>
    <w:p w14:paraId="322E4BF1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Regulatory stakeholders are authoritarian or ‘nanny-statist’: Content that suggests political actors should not adopt a ‘paternalistic’ approach to policy-making.</w:t>
      </w:r>
    </w:p>
    <w:p w14:paraId="35241A4B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</w:rPr>
      </w:pPr>
    </w:p>
    <w:p w14:paraId="45117C7F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Risk of regulatory creep: Content that suggests policy debates are a ‘thin end of the wedge’, with the risk of more wide-ranging disruption in the long-term.</w:t>
      </w:r>
    </w:p>
    <w:p w14:paraId="4AE1F864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</w:rPr>
      </w:pPr>
    </w:p>
    <w:p w14:paraId="5A02EF84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Shape public perceptions and value judgements</w:t>
      </w:r>
    </w:p>
    <w:p w14:paraId="3DAB76F7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Align with socially-desirable characteristics: Content that aligns with characteristics likely to be well-received by a public audience, such as convenience or freshness.</w:t>
      </w:r>
    </w:p>
    <w:p w14:paraId="75FFBDAA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</w:rPr>
      </w:pPr>
    </w:p>
    <w:p w14:paraId="6F1C1E16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Corporate social responsibility campaigns (CSR): Content that attempts to showcase an actor as an ethical or dependable actor to deliver on health and sustainability issues in the absence of further government action.</w:t>
      </w:r>
    </w:p>
    <w:p w14:paraId="24BB3199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</w:rPr>
      </w:pPr>
    </w:p>
    <w:p w14:paraId="3C6A7AF2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Highlight local components of supply chains: Content that showcases the local components of a food or drink, such as a manufacturing plant or where a product was created. </w:t>
      </w:r>
    </w:p>
    <w:p w14:paraId="5BFB70E0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</w:rPr>
      </w:pPr>
    </w:p>
    <w:p w14:paraId="58262ED8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Support voluntary, self- or co-regulatory policies</w:t>
      </w:r>
    </w:p>
    <w:p w14:paraId="4BDFFCC5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Advocate ‘downstream’ interventions: Content that supports policy environments that broadly intervene at the individual-level rather than the population-level, such as targeted </w:t>
      </w:r>
      <w:proofErr w:type="spellStart"/>
      <w:r>
        <w:rPr>
          <w:rFonts w:ascii="Times New Roman" w:eastAsia="Times New Roman" w:hAnsi="Times New Roman" w:cs="Times New Roman"/>
        </w:rPr>
        <w:t>programmes</w:t>
      </w:r>
      <w:proofErr w:type="spellEnd"/>
      <w:r>
        <w:rPr>
          <w:rFonts w:ascii="Times New Roman" w:eastAsia="Times New Roman" w:hAnsi="Times New Roman" w:cs="Times New Roman"/>
        </w:rPr>
        <w:t xml:space="preserve"> or education.</w:t>
      </w:r>
    </w:p>
    <w:p w14:paraId="6AF0E569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</w:rPr>
      </w:pPr>
    </w:p>
    <w:p w14:paraId="369DD0CD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Advocate balanced diets, choice, exercise or personal / parental responsibility: Content that infers a burden of responsibility for avoiding diet-related disease on individuals, parents, or downplays the role of caloric overconsumption to weight by focusing on balance, moderation or physical activity.</w:t>
      </w:r>
    </w:p>
    <w:p w14:paraId="5F60126D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</w:rPr>
      </w:pPr>
    </w:p>
    <w:p w14:paraId="03AFC428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Industry </w:t>
      </w:r>
      <w:proofErr w:type="spellStart"/>
      <w:r>
        <w:rPr>
          <w:rFonts w:ascii="Times New Roman" w:eastAsia="Times New Roman" w:hAnsi="Times New Roman" w:cs="Times New Roman"/>
        </w:rPr>
        <w:t>recognises</w:t>
      </w:r>
      <w:proofErr w:type="spellEnd"/>
      <w:r>
        <w:rPr>
          <w:rFonts w:ascii="Times New Roman" w:eastAsia="Times New Roman" w:hAnsi="Times New Roman" w:cs="Times New Roman"/>
        </w:rPr>
        <w:t xml:space="preserve"> role to provide healthier alternatives: Content that presents actors as a responsible and self-aware stakeholder of their need to provide healthier options across their product portfolio.</w:t>
      </w:r>
    </w:p>
    <w:p w14:paraId="0904DCDF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</w:rPr>
      </w:pPr>
    </w:p>
    <w:p w14:paraId="1A99FC2E" w14:textId="4FC2284C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Support self- / co-regulation with government: Content that presents actors as a responsible stakeholder in co-designing policy environments, either with the freedom to do so largely independent of governments (e.g. voluntary pledges or self-regulation), or co-regulatory agreements with gover</w:t>
      </w:r>
      <w:r w:rsidR="001B2358"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</w:rPr>
        <w:t>ment departments.</w:t>
      </w:r>
    </w:p>
    <w:p w14:paraId="206C27C9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</w:rPr>
      </w:pPr>
    </w:p>
    <w:p w14:paraId="703F10E6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Support delays to policy timelines: Content that advocates for a delay in the introduction of a policy, or in a policy’s timeline more broadly.</w:t>
      </w:r>
    </w:p>
    <w:p w14:paraId="3E784150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  <w:u w:val="single"/>
        </w:rPr>
      </w:pPr>
    </w:p>
    <w:p w14:paraId="266E7A59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Use ignorance claims to distort policy narratives</w:t>
      </w:r>
    </w:p>
    <w:p w14:paraId="77586B77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Complexity / ‘</w:t>
      </w:r>
      <w:proofErr w:type="spellStart"/>
      <w:r>
        <w:rPr>
          <w:rFonts w:ascii="Times New Roman" w:eastAsia="Times New Roman" w:hAnsi="Times New Roman" w:cs="Times New Roman"/>
        </w:rPr>
        <w:t>whataboutism</w:t>
      </w:r>
      <w:proofErr w:type="spellEnd"/>
      <w:r>
        <w:rPr>
          <w:rFonts w:ascii="Times New Roman" w:eastAsia="Times New Roman" w:hAnsi="Times New Roman" w:cs="Times New Roman"/>
        </w:rPr>
        <w:t>’ to contest single interventions: Content that juxtaposes the fact tackling obesity is a complex policy issue, and that caloric overconsumption can come from many different discretionary foods and drinks, with individual evidence-based interventions to improve the food supply.</w:t>
      </w:r>
    </w:p>
    <w:p w14:paraId="161FAAD8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</w:rPr>
      </w:pPr>
    </w:p>
    <w:p w14:paraId="57E9E8A0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Limited global uptake suggests policy ineffectual: Content that </w:t>
      </w:r>
      <w:proofErr w:type="spellStart"/>
      <w:r>
        <w:rPr>
          <w:rFonts w:ascii="Times New Roman" w:eastAsia="Times New Roman" w:hAnsi="Times New Roman" w:cs="Times New Roman"/>
        </w:rPr>
        <w:t>mobilises</w:t>
      </w:r>
      <w:proofErr w:type="spellEnd"/>
      <w:r>
        <w:rPr>
          <w:rFonts w:ascii="Times New Roman" w:eastAsia="Times New Roman" w:hAnsi="Times New Roman" w:cs="Times New Roman"/>
        </w:rPr>
        <w:t xml:space="preserve"> the absence of a policy in global jurisdictions, relative to its implementation, as a suggestion that the policy has been rejected or </w:t>
      </w:r>
      <w:r>
        <w:rPr>
          <w:rFonts w:ascii="Times New Roman" w:eastAsia="Times New Roman" w:hAnsi="Times New Roman" w:cs="Times New Roman"/>
        </w:rPr>
        <w:lastRenderedPageBreak/>
        <w:t>deemed ineffective. This may not take into account how long policies have been introduced for, or the political factors underpinning why a policy may have been enacted and subsequently removed.</w:t>
      </w:r>
    </w:p>
    <w:p w14:paraId="438E18E4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</w:rPr>
      </w:pPr>
    </w:p>
    <w:p w14:paraId="3D5DC9B5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Mischaracterise</w:t>
      </w:r>
      <w:proofErr w:type="spellEnd"/>
      <w:r>
        <w:rPr>
          <w:rFonts w:ascii="Times New Roman" w:eastAsia="Times New Roman" w:hAnsi="Times New Roman" w:cs="Times New Roman"/>
        </w:rPr>
        <w:t xml:space="preserve"> policy outcomes (e.g. single interventions reducing BMI): Content that may infer that because single interventions may not alter population-level weight status, as a long-term outcome that relies on multiple changes to the food supply, they are ineffective.</w:t>
      </w:r>
    </w:p>
    <w:p w14:paraId="520FE74A" w14:textId="77777777" w:rsidR="006F7ADF" w:rsidRDefault="006F7ADF" w:rsidP="006F7ADF">
      <w:pPr>
        <w:spacing w:line="480" w:lineRule="auto"/>
        <w:rPr>
          <w:rFonts w:ascii="Times New Roman" w:eastAsia="Times New Roman" w:hAnsi="Times New Roman" w:cs="Times New Roman"/>
        </w:rPr>
      </w:pPr>
    </w:p>
    <w:p w14:paraId="358837B3" w14:textId="6FA745F2" w:rsidR="006F7ADF" w:rsidRPr="006F7ADF" w:rsidRDefault="006F7ADF" w:rsidP="008D7182">
      <w:pPr>
        <w:spacing w:line="48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Publicising</w:t>
      </w:r>
      <w:proofErr w:type="spellEnd"/>
      <w:r>
        <w:rPr>
          <w:rFonts w:ascii="Times New Roman" w:eastAsia="Times New Roman" w:hAnsi="Times New Roman" w:cs="Times New Roman"/>
        </w:rPr>
        <w:t xml:space="preserve"> content of front-groups / </w:t>
      </w:r>
      <w:proofErr w:type="spellStart"/>
      <w:r>
        <w:rPr>
          <w:rFonts w:ascii="Times New Roman" w:eastAsia="Times New Roman" w:hAnsi="Times New Roman" w:cs="Times New Roman"/>
        </w:rPr>
        <w:t>astroturf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organisations</w:t>
      </w:r>
      <w:proofErr w:type="spellEnd"/>
      <w:r>
        <w:rPr>
          <w:rFonts w:ascii="Times New Roman" w:eastAsia="Times New Roman" w:hAnsi="Times New Roman" w:cs="Times New Roman"/>
        </w:rPr>
        <w:t xml:space="preserve">: Content that has been produced by a third-party </w:t>
      </w:r>
      <w:proofErr w:type="spellStart"/>
      <w:r>
        <w:rPr>
          <w:rFonts w:ascii="Times New Roman" w:eastAsia="Times New Roman" w:hAnsi="Times New Roman" w:cs="Times New Roman"/>
        </w:rPr>
        <w:t>organisation</w:t>
      </w:r>
      <w:proofErr w:type="spellEnd"/>
      <w:r>
        <w:rPr>
          <w:rFonts w:ascii="Times New Roman" w:eastAsia="Times New Roman" w:hAnsi="Times New Roman" w:cs="Times New Roman"/>
        </w:rPr>
        <w:t xml:space="preserve"> that serves a party or interest whose sponsorship is hidden or hardly mentioned.</w:t>
      </w:r>
    </w:p>
    <w:sectPr w:rsidR="006F7ADF" w:rsidRPr="006F7ADF" w:rsidSect="00F53F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3947E9" w14:textId="77777777" w:rsidR="00463130" w:rsidRDefault="00463130" w:rsidP="00031517">
      <w:pPr>
        <w:spacing w:line="240" w:lineRule="auto"/>
      </w:pPr>
      <w:r>
        <w:separator/>
      </w:r>
    </w:p>
  </w:endnote>
  <w:endnote w:type="continuationSeparator" w:id="0">
    <w:p w14:paraId="0FB10ADE" w14:textId="77777777" w:rsidR="00463130" w:rsidRDefault="00463130" w:rsidP="000315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3387336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A782A7C" w14:textId="5C3096C0" w:rsidR="00031517" w:rsidRDefault="00031517" w:rsidP="009C089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469D562" w14:textId="77777777" w:rsidR="00031517" w:rsidRDefault="00031517" w:rsidP="0003151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655731841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 w:cs="Times New Roman"/>
        <w:sz w:val="24"/>
        <w:szCs w:val="24"/>
      </w:rPr>
    </w:sdtEndPr>
    <w:sdtContent>
      <w:p w14:paraId="0B057F76" w14:textId="4848A7B3" w:rsidR="00031517" w:rsidRDefault="00031517" w:rsidP="009C089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B7AE901" w14:textId="77777777" w:rsidR="00031517" w:rsidRDefault="00031517" w:rsidP="0003151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F9F50" w14:textId="77777777" w:rsidR="00031517" w:rsidRDefault="000315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6D05EA" w14:textId="77777777" w:rsidR="00463130" w:rsidRDefault="00463130" w:rsidP="00031517">
      <w:pPr>
        <w:spacing w:line="240" w:lineRule="auto"/>
      </w:pPr>
      <w:r>
        <w:separator/>
      </w:r>
    </w:p>
  </w:footnote>
  <w:footnote w:type="continuationSeparator" w:id="0">
    <w:p w14:paraId="66735E55" w14:textId="77777777" w:rsidR="00463130" w:rsidRDefault="00463130" w:rsidP="000315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4FFCF" w14:textId="77777777" w:rsidR="00031517" w:rsidRDefault="000315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63353" w14:textId="77777777" w:rsidR="00031517" w:rsidRDefault="000315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75BCB" w14:textId="77777777" w:rsidR="00031517" w:rsidRDefault="000315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ADF"/>
    <w:rsid w:val="00031517"/>
    <w:rsid w:val="0019517B"/>
    <w:rsid w:val="001B2358"/>
    <w:rsid w:val="00463130"/>
    <w:rsid w:val="004748F7"/>
    <w:rsid w:val="006F7ADF"/>
    <w:rsid w:val="00773C0A"/>
    <w:rsid w:val="007C7A78"/>
    <w:rsid w:val="008C5925"/>
    <w:rsid w:val="008D7182"/>
    <w:rsid w:val="009B2E4C"/>
    <w:rsid w:val="009C46C2"/>
    <w:rsid w:val="00A477B5"/>
    <w:rsid w:val="00AA3651"/>
    <w:rsid w:val="00BD7DCD"/>
    <w:rsid w:val="00BF4959"/>
    <w:rsid w:val="00F06896"/>
    <w:rsid w:val="00F323F1"/>
    <w:rsid w:val="00F5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631DE1"/>
  <w15:chartTrackingRefBased/>
  <w15:docId w15:val="{547310A9-BCDF-6E47-9125-6A9C4707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ADF"/>
    <w:pPr>
      <w:spacing w:line="276" w:lineRule="auto"/>
    </w:pPr>
    <w:rPr>
      <w:rFonts w:ascii="Arial" w:eastAsia="Arial" w:hAnsi="Arial" w:cs="Arial"/>
      <w:sz w:val="22"/>
      <w:szCs w:val="22"/>
      <w:lang w:val="e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3F1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3F1"/>
    <w:rPr>
      <w:rFonts w:ascii="Times New Roman" w:eastAsia="Arial" w:hAnsi="Times New Roman" w:cs="Times New Roman"/>
      <w:sz w:val="18"/>
      <w:szCs w:val="18"/>
      <w:lang w:val="en" w:eastAsia="en-GB"/>
    </w:rPr>
  </w:style>
  <w:style w:type="paragraph" w:styleId="BodyText">
    <w:name w:val="Body Text"/>
    <w:basedOn w:val="Normal"/>
    <w:link w:val="BodyTextChar"/>
    <w:rsid w:val="0019517B"/>
    <w:pPr>
      <w:widowControl w:val="0"/>
      <w:spacing w:after="283" w:line="240" w:lineRule="auto"/>
    </w:pPr>
    <w:rPr>
      <w:rFonts w:ascii="Liberation Serif" w:eastAsia="Arial Unicode MS" w:hAnsi="Liberation Serif" w:cs="Arial Unicode MS"/>
      <w:sz w:val="24"/>
      <w:szCs w:val="24"/>
      <w:lang w:val="en-GB" w:eastAsia="zh-CN" w:bidi="hi-IN"/>
    </w:rPr>
  </w:style>
  <w:style w:type="character" w:customStyle="1" w:styleId="BodyTextChar">
    <w:name w:val="Body Text Char"/>
    <w:basedOn w:val="DefaultParagraphFont"/>
    <w:link w:val="BodyText"/>
    <w:rsid w:val="0019517B"/>
    <w:rPr>
      <w:rFonts w:ascii="Liberation Serif" w:eastAsia="Arial Unicode MS" w:hAnsi="Liberation Serif" w:cs="Arial Unicode MS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19517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151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517"/>
    <w:rPr>
      <w:rFonts w:ascii="Arial" w:eastAsia="Arial" w:hAnsi="Arial" w:cs="Arial"/>
      <w:sz w:val="22"/>
      <w:szCs w:val="22"/>
      <w:lang w:val="en" w:eastAsia="en-GB"/>
    </w:rPr>
  </w:style>
  <w:style w:type="paragraph" w:styleId="Footer">
    <w:name w:val="footer"/>
    <w:basedOn w:val="Normal"/>
    <w:link w:val="FooterChar"/>
    <w:uiPriority w:val="99"/>
    <w:unhideWhenUsed/>
    <w:rsid w:val="0003151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517"/>
    <w:rPr>
      <w:rFonts w:ascii="Arial" w:eastAsia="Arial" w:hAnsi="Arial" w:cs="Arial"/>
      <w:sz w:val="22"/>
      <w:szCs w:val="22"/>
      <w:lang w:val="en" w:eastAsia="en-GB"/>
    </w:rPr>
  </w:style>
  <w:style w:type="character" w:styleId="PageNumber">
    <w:name w:val="page number"/>
    <w:basedOn w:val="DefaultParagraphFont"/>
    <w:uiPriority w:val="99"/>
    <w:semiHidden/>
    <w:unhideWhenUsed/>
    <w:rsid w:val="00031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1575</Words>
  <Characters>8978</Characters>
  <Application>Microsoft Office Word</Application>
  <DocSecurity>0</DocSecurity>
  <Lines>74</Lines>
  <Paragraphs>21</Paragraphs>
  <ScaleCrop>false</ScaleCrop>
  <Company/>
  <LinksUpToDate>false</LinksUpToDate>
  <CharactersWithSpaces>10532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Hunt</dc:creator>
  <cp:keywords/>
  <dc:description/>
  <cp:lastModifiedBy>Daniel Hunt</cp:lastModifiedBy>
  <cp:revision>9</cp:revision>
  <dcterms:created xsi:type="dcterms:W3CDTF">2020-05-18T09:29:00Z</dcterms:created>
  <dcterms:modified xsi:type="dcterms:W3CDTF">2020-05-25T19:09:00Z</dcterms:modified>
</cp:coreProperties>
</file>