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F640" w14:textId="3AB2F6EB" w:rsidR="00A8452C" w:rsidRPr="00230DD5" w:rsidRDefault="00A8452C" w:rsidP="00A8452C">
      <w:pPr>
        <w:spacing w:line="240" w:lineRule="auto"/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  <w:b/>
        </w:rPr>
        <w:t>Annex Table 1.</w:t>
      </w:r>
      <w:r w:rsidRPr="00230DD5">
        <w:rPr>
          <w:rFonts w:ascii="Times New Roman" w:hAnsi="Times New Roman" w:cs="Times New Roman"/>
        </w:rPr>
        <w:t xml:space="preserve"> Multivariate associations of relative density of CLO food outlets with diet quality and </w:t>
      </w:r>
      <w:r w:rsidR="006A50B0">
        <w:rPr>
          <w:rFonts w:ascii="Times New Roman" w:hAnsi="Times New Roman" w:cs="Times New Roman"/>
        </w:rPr>
        <w:t>daily vegetables and fruit servings</w:t>
      </w:r>
      <w:r w:rsidRPr="00230DD5">
        <w:rPr>
          <w:rFonts w:ascii="Times New Roman" w:hAnsi="Times New Roman" w:cs="Times New Roman"/>
        </w:rPr>
        <w:t xml:space="preserve"> for each level of absolute exposure to all food outlets within </w:t>
      </w:r>
      <w:proofErr w:type="gramStart"/>
      <w:r w:rsidRPr="00230DD5">
        <w:rPr>
          <w:rFonts w:ascii="Times New Roman" w:hAnsi="Times New Roman" w:cs="Times New Roman"/>
        </w:rPr>
        <w:t>1600 meter</w:t>
      </w:r>
      <w:proofErr w:type="gramEnd"/>
      <w:r w:rsidRPr="00230DD5">
        <w:rPr>
          <w:rFonts w:ascii="Times New Roman" w:hAnsi="Times New Roman" w:cs="Times New Roman"/>
        </w:rPr>
        <w:t xml:space="preserve"> buffers around schools</w:t>
      </w:r>
    </w:p>
    <w:tbl>
      <w:tblPr>
        <w:tblStyle w:val="TableGrid"/>
        <w:tblW w:w="48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258"/>
        <w:gridCol w:w="1170"/>
        <w:gridCol w:w="2425"/>
        <w:gridCol w:w="1168"/>
        <w:gridCol w:w="2425"/>
        <w:gridCol w:w="1083"/>
      </w:tblGrid>
      <w:tr w:rsidR="00230DD5" w:rsidRPr="00230DD5" w14:paraId="5C2F90E8" w14:textId="77777777" w:rsidTr="004B1949">
        <w:trPr>
          <w:trHeight w:val="285"/>
        </w:trPr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</w:tcPr>
          <w:p w14:paraId="3D62D755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BA8CE" w14:textId="117AF81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Lower (</w:t>
            </w:r>
            <w:r w:rsidR="00C36456" w:rsidRPr="00230DD5">
              <w:rPr>
                <w:rFonts w:ascii="Times New Roman" w:hAnsi="Times New Roman" w:cs="Times New Roman"/>
              </w:rPr>
              <w:t>≤</w:t>
            </w:r>
            <w:r w:rsidRPr="00230DD5">
              <w:rPr>
                <w:rFonts w:ascii="Times New Roman" w:hAnsi="Times New Roman" w:cs="Times New Roman"/>
              </w:rPr>
              <w:t>33 outlets)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52B7A0E8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4B55A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Medium (34-54 outlets)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6ECE2C10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D5101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Higher (55+ outlets)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4099827B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5E4F43E1" w14:textId="77777777" w:rsidTr="004B1949">
        <w:trPr>
          <w:trHeight w:val="268"/>
        </w:trPr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14:paraId="27D70786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%CLO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86117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 xml:space="preserve">Coefficient (95% </w:t>
            </w:r>
            <w:proofErr w:type="gramStart"/>
            <w:r w:rsidRPr="00230DD5">
              <w:rPr>
                <w:rFonts w:ascii="Times New Roman" w:hAnsi="Times New Roman" w:cs="Times New Roman"/>
              </w:rPr>
              <w:t>CI)</w:t>
            </w:r>
            <w:r w:rsidRPr="00230DD5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16C19F27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34EF2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 xml:space="preserve">Coefficient (95% </w:t>
            </w:r>
            <w:proofErr w:type="gramStart"/>
            <w:r w:rsidRPr="00230DD5">
              <w:rPr>
                <w:rFonts w:ascii="Times New Roman" w:hAnsi="Times New Roman" w:cs="Times New Roman"/>
              </w:rPr>
              <w:t>CI)</w:t>
            </w:r>
            <w:r w:rsidRPr="00230DD5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22F86119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1C4FD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 xml:space="preserve">Coefficient (95% </w:t>
            </w:r>
            <w:proofErr w:type="gramStart"/>
            <w:r w:rsidRPr="00230DD5">
              <w:rPr>
                <w:rFonts w:ascii="Times New Roman" w:hAnsi="Times New Roman" w:cs="Times New Roman"/>
              </w:rPr>
              <w:t>CI)</w:t>
            </w:r>
            <w:r w:rsidRPr="00230DD5">
              <w:rPr>
                <w:rFonts w:ascii="Times New Roman" w:hAnsi="Times New Roman" w:cs="Times New Roman"/>
                <w:vertAlign w:val="superscript"/>
              </w:rPr>
              <w:t>a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14:paraId="17DEEDA3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</w:tr>
      <w:tr w:rsidR="00230DD5" w:rsidRPr="00230DD5" w14:paraId="0571591F" w14:textId="77777777" w:rsidTr="0034688E">
        <w:trPr>
          <w:trHeight w:val="258"/>
        </w:trPr>
        <w:tc>
          <w:tcPr>
            <w:tcW w:w="771" w:type="pct"/>
            <w:tcBorders>
              <w:top w:val="single" w:sz="4" w:space="0" w:color="auto"/>
            </w:tcBorders>
          </w:tcPr>
          <w:p w14:paraId="21EBFB63" w14:textId="77777777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Y-HEI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14:paraId="7517C6F9" w14:textId="77E2D18A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2C393FA3" w14:textId="035891ED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2B4B0963" w14:textId="5D14D5BD" w:rsidR="00A8452C" w:rsidRPr="00230DD5" w:rsidRDefault="00A8452C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vAlign w:val="center"/>
          </w:tcPr>
          <w:p w14:paraId="78B3E524" w14:textId="20C5BDF3" w:rsidR="00A8452C" w:rsidRPr="00230DD5" w:rsidRDefault="00A8452C" w:rsidP="004B194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14:paraId="286A8F8A" w14:textId="7EE48B6D" w:rsidR="00A8452C" w:rsidRPr="00230DD5" w:rsidRDefault="00A8452C" w:rsidP="004B1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11658C" w14:textId="6056D98B" w:rsidR="00A8452C" w:rsidRPr="00230DD5" w:rsidRDefault="00A8452C" w:rsidP="004B1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88E" w:rsidRPr="00230DD5" w14:paraId="0759D804" w14:textId="77777777" w:rsidTr="00590F35">
        <w:trPr>
          <w:trHeight w:val="68"/>
        </w:trPr>
        <w:tc>
          <w:tcPr>
            <w:tcW w:w="771" w:type="pct"/>
          </w:tcPr>
          <w:p w14:paraId="7431D07C" w14:textId="3C9E3732" w:rsidR="0034688E" w:rsidRPr="00230DD5" w:rsidRDefault="0034688E" w:rsidP="0034688E">
            <w:pPr>
              <w:ind w:left="255"/>
              <w:rPr>
                <w:rFonts w:ascii="Times New Roman" w:hAnsi="Times New Roman" w:cs="Times New Roman"/>
              </w:rPr>
            </w:pPr>
            <w:r w:rsidRPr="00C655FD">
              <w:rPr>
                <w:rFonts w:ascii="Times New Roman" w:hAnsi="Times New Roman" w:cs="Times New Roman"/>
                <w:szCs w:val="24"/>
              </w:rPr>
              <w:t>%CLO</w:t>
            </w:r>
          </w:p>
        </w:tc>
        <w:tc>
          <w:tcPr>
            <w:tcW w:w="907" w:type="pct"/>
            <w:vAlign w:val="center"/>
          </w:tcPr>
          <w:p w14:paraId="36182686" w14:textId="1B4667FB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2.40 (-0.092, 4.90)</w:t>
            </w:r>
          </w:p>
        </w:tc>
        <w:tc>
          <w:tcPr>
            <w:tcW w:w="470" w:type="pct"/>
            <w:vAlign w:val="center"/>
          </w:tcPr>
          <w:p w14:paraId="578AB7B9" w14:textId="770FD911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974" w:type="pct"/>
            <w:vAlign w:val="center"/>
          </w:tcPr>
          <w:p w14:paraId="7FB71443" w14:textId="3607514F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-0.24 (-1.52, 1.05)</w:t>
            </w:r>
          </w:p>
        </w:tc>
        <w:tc>
          <w:tcPr>
            <w:tcW w:w="469" w:type="pct"/>
            <w:vAlign w:val="center"/>
          </w:tcPr>
          <w:p w14:paraId="2D91494C" w14:textId="51C703C3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0.720</w:t>
            </w:r>
          </w:p>
        </w:tc>
        <w:tc>
          <w:tcPr>
            <w:tcW w:w="974" w:type="pct"/>
            <w:vAlign w:val="center"/>
          </w:tcPr>
          <w:p w14:paraId="39B5C54C" w14:textId="5AE8354B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-4.12 (-5.94, -2.30)</w:t>
            </w:r>
          </w:p>
        </w:tc>
        <w:tc>
          <w:tcPr>
            <w:tcW w:w="435" w:type="pct"/>
            <w:shd w:val="clear" w:color="auto" w:fill="auto"/>
            <w:vAlign w:val="bottom"/>
          </w:tcPr>
          <w:p w14:paraId="0D5EC28A" w14:textId="195155D7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34688E" w:rsidRPr="00230DD5" w14:paraId="5E7C3E50" w14:textId="77777777" w:rsidTr="0034688E">
        <w:trPr>
          <w:trHeight w:val="68"/>
        </w:trPr>
        <w:tc>
          <w:tcPr>
            <w:tcW w:w="771" w:type="pct"/>
          </w:tcPr>
          <w:p w14:paraId="22BD1FF4" w14:textId="28940058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Daily VF servings</w:t>
            </w:r>
          </w:p>
        </w:tc>
        <w:tc>
          <w:tcPr>
            <w:tcW w:w="907" w:type="pct"/>
            <w:vAlign w:val="center"/>
          </w:tcPr>
          <w:p w14:paraId="4C7FA83C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Align w:val="center"/>
          </w:tcPr>
          <w:p w14:paraId="5865E268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vAlign w:val="center"/>
          </w:tcPr>
          <w:p w14:paraId="57AB9D1A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Align w:val="center"/>
          </w:tcPr>
          <w:p w14:paraId="6DB6C8CE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vAlign w:val="center"/>
          </w:tcPr>
          <w:p w14:paraId="1842894A" w14:textId="77777777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B999880" w14:textId="77777777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688E" w:rsidRPr="00230DD5" w14:paraId="2B8FC85E" w14:textId="77777777" w:rsidTr="0034688E">
        <w:trPr>
          <w:trHeight w:val="68"/>
        </w:trPr>
        <w:tc>
          <w:tcPr>
            <w:tcW w:w="771" w:type="pct"/>
            <w:tcBorders>
              <w:bottom w:val="single" w:sz="4" w:space="0" w:color="auto"/>
            </w:tcBorders>
          </w:tcPr>
          <w:p w14:paraId="6874A2A5" w14:textId="0294676A" w:rsidR="0034688E" w:rsidRPr="00230DD5" w:rsidRDefault="0034688E" w:rsidP="0034688E">
            <w:pPr>
              <w:ind w:left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%CLO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5D909079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0.16 (-0.54, 0.85)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E034774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0.657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2ED8EA49" w14:textId="77777777" w:rsidR="0034688E" w:rsidRPr="00230DD5" w:rsidRDefault="0034688E" w:rsidP="0034688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-0.18 (-0.54, 0.18)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52A0AE63" w14:textId="77777777" w:rsidR="0034688E" w:rsidRPr="00230DD5" w:rsidRDefault="0034688E" w:rsidP="0034688E">
            <w:pPr>
              <w:rPr>
                <w:rFonts w:ascii="Times New Roman" w:hAnsi="Times New Roman" w:cs="Times New Roman"/>
                <w:bCs/>
              </w:rPr>
            </w:pPr>
            <w:r w:rsidRPr="00230DD5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794EEAD2" w14:textId="2AF8DF47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-0.95 (-1.45, -0.44)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378D7" w14:textId="77777777" w:rsidR="0034688E" w:rsidRPr="00230DD5" w:rsidRDefault="0034688E" w:rsidP="0034688E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3653BB44" w14:textId="77777777" w:rsidR="005E5FC9" w:rsidRPr="00230DD5" w:rsidRDefault="005E5FC9" w:rsidP="00A8452C">
      <w:pPr>
        <w:spacing w:line="240" w:lineRule="auto"/>
        <w:rPr>
          <w:rFonts w:ascii="Times New Roman" w:hAnsi="Times New Roman" w:cs="Times New Roman"/>
        </w:rPr>
      </w:pPr>
    </w:p>
    <w:p w14:paraId="792C7EBA" w14:textId="07F6084B" w:rsidR="00A8452C" w:rsidRPr="00230DD5" w:rsidRDefault="00A8452C" w:rsidP="00A8452C">
      <w:pPr>
        <w:spacing w:line="240" w:lineRule="auto"/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</w:rPr>
        <w:t>Abbreviations: Y-HEI = Youth Healthy Eating Index; VF = Vegetable</w:t>
      </w:r>
      <w:r w:rsidR="00226AB5">
        <w:rPr>
          <w:rFonts w:ascii="Times New Roman" w:hAnsi="Times New Roman" w:cs="Times New Roman"/>
        </w:rPr>
        <w:t>s</w:t>
      </w:r>
      <w:r w:rsidRPr="00230DD5">
        <w:rPr>
          <w:rFonts w:ascii="Times New Roman" w:hAnsi="Times New Roman" w:cs="Times New Roman"/>
        </w:rPr>
        <w:t xml:space="preserve"> and Fruit; CLO = Choose Least Often; CI = confidence interval.</w:t>
      </w:r>
    </w:p>
    <w:p w14:paraId="3B068E65" w14:textId="0F0AF2FE" w:rsidR="00A8452C" w:rsidRPr="00230DD5" w:rsidRDefault="00A8452C" w:rsidP="00A8452C">
      <w:pPr>
        <w:spacing w:line="240" w:lineRule="auto"/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</w:rPr>
        <w:t>Notes: Lower refers to 1600 met</w:t>
      </w:r>
      <w:r w:rsidR="00615047" w:rsidRPr="00230DD5">
        <w:rPr>
          <w:rFonts w:ascii="Times New Roman" w:hAnsi="Times New Roman" w:cs="Times New Roman"/>
        </w:rPr>
        <w:t>re</w:t>
      </w:r>
      <w:r w:rsidRPr="00230DD5">
        <w:rPr>
          <w:rFonts w:ascii="Times New Roman" w:hAnsi="Times New Roman" w:cs="Times New Roman"/>
        </w:rPr>
        <w:t xml:space="preserve"> buffers with </w:t>
      </w:r>
      <w:r w:rsidR="00C36456" w:rsidRPr="00230DD5">
        <w:rPr>
          <w:rFonts w:ascii="Times New Roman" w:hAnsi="Times New Roman" w:cs="Times New Roman"/>
        </w:rPr>
        <w:t>≤</w:t>
      </w:r>
      <w:r w:rsidRPr="00230DD5">
        <w:rPr>
          <w:rFonts w:ascii="Times New Roman" w:hAnsi="Times New Roman" w:cs="Times New Roman"/>
        </w:rPr>
        <w:t>33 total food outlets; Medium refers to 1600 met</w:t>
      </w:r>
      <w:r w:rsidR="00E76BFC" w:rsidRPr="00230DD5">
        <w:rPr>
          <w:rFonts w:ascii="Times New Roman" w:hAnsi="Times New Roman" w:cs="Times New Roman"/>
        </w:rPr>
        <w:t>re</w:t>
      </w:r>
      <w:r w:rsidRPr="00230DD5">
        <w:rPr>
          <w:rFonts w:ascii="Times New Roman" w:hAnsi="Times New Roman" w:cs="Times New Roman"/>
        </w:rPr>
        <w:t xml:space="preserve"> buffers with 34-54 total food outlets; Higher refers to 1600 metr</w:t>
      </w:r>
      <w:r w:rsidR="00E76BFC" w:rsidRPr="00230DD5">
        <w:rPr>
          <w:rFonts w:ascii="Times New Roman" w:hAnsi="Times New Roman" w:cs="Times New Roman"/>
        </w:rPr>
        <w:t>e</w:t>
      </w:r>
      <w:r w:rsidRPr="00230DD5">
        <w:rPr>
          <w:rFonts w:ascii="Times New Roman" w:hAnsi="Times New Roman" w:cs="Times New Roman"/>
        </w:rPr>
        <w:t xml:space="preserve"> buffers with 55</w:t>
      </w:r>
      <w:r w:rsidR="00CF5C68" w:rsidRPr="00230DD5">
        <w:rPr>
          <w:rFonts w:ascii="Times New Roman" w:hAnsi="Times New Roman" w:cs="Times New Roman"/>
        </w:rPr>
        <w:t xml:space="preserve"> </w:t>
      </w:r>
      <w:r w:rsidRPr="00230DD5">
        <w:rPr>
          <w:rFonts w:ascii="Times New Roman" w:hAnsi="Times New Roman" w:cs="Times New Roman"/>
        </w:rPr>
        <w:t>or more total food outlets.</w:t>
      </w:r>
    </w:p>
    <w:p w14:paraId="0CA3AB9B" w14:textId="5E2B5DDB" w:rsidR="00A42033" w:rsidRPr="00230DD5" w:rsidRDefault="00A8452C" w:rsidP="00A42033">
      <w:pPr>
        <w:spacing w:line="240" w:lineRule="auto"/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  <w:vertAlign w:val="superscript"/>
        </w:rPr>
        <w:t xml:space="preserve">a </w:t>
      </w:r>
      <w:r w:rsidRPr="00230DD5">
        <w:rPr>
          <w:rFonts w:ascii="Times New Roman" w:hAnsi="Times New Roman" w:cs="Times New Roman"/>
        </w:rPr>
        <w:t>Coefficients and 95% CIs from multilevel mixed-effect linear regression models (multiplied by 10). All models adjusted for gender, total energy intake</w:t>
      </w:r>
      <w:r w:rsidR="00A42033" w:rsidRPr="00230DD5">
        <w:rPr>
          <w:rFonts w:ascii="Times New Roman" w:hAnsi="Times New Roman" w:cs="Times New Roman"/>
        </w:rPr>
        <w:t xml:space="preserve">, </w:t>
      </w:r>
      <w:r w:rsidRPr="00230DD5">
        <w:rPr>
          <w:rFonts w:ascii="Times New Roman" w:hAnsi="Times New Roman" w:cs="Times New Roman"/>
        </w:rPr>
        <w:t>parental education, household income, and area-level material deprivation.</w:t>
      </w:r>
    </w:p>
    <w:p w14:paraId="2971D3E4" w14:textId="0EDA9544" w:rsidR="000F1D36" w:rsidRPr="00230DD5" w:rsidRDefault="000F1D36">
      <w:pPr>
        <w:rPr>
          <w:rFonts w:ascii="Times New Roman" w:hAnsi="Times New Roman" w:cs="Times New Roman"/>
        </w:rPr>
      </w:pPr>
    </w:p>
    <w:p w14:paraId="729D1775" w14:textId="0F99E7D5" w:rsidR="000F1D36" w:rsidRPr="00230DD5" w:rsidRDefault="000F1D36">
      <w:pPr>
        <w:rPr>
          <w:rFonts w:ascii="Times New Roman" w:hAnsi="Times New Roman" w:cs="Times New Roman"/>
        </w:rPr>
      </w:pPr>
    </w:p>
    <w:p w14:paraId="1E5F8177" w14:textId="50F676B7" w:rsidR="000F1D36" w:rsidRPr="00230DD5" w:rsidRDefault="000F1D36">
      <w:pPr>
        <w:rPr>
          <w:rFonts w:ascii="Times New Roman" w:hAnsi="Times New Roman" w:cs="Times New Roman"/>
        </w:rPr>
      </w:pPr>
    </w:p>
    <w:p w14:paraId="1A352512" w14:textId="03DBEE2C" w:rsidR="000F1D36" w:rsidRPr="00230DD5" w:rsidRDefault="000F1D36">
      <w:pPr>
        <w:rPr>
          <w:rFonts w:ascii="Times New Roman" w:hAnsi="Times New Roman" w:cs="Times New Roman"/>
        </w:rPr>
      </w:pPr>
    </w:p>
    <w:p w14:paraId="3F424108" w14:textId="148ACCC6" w:rsidR="000F1D36" w:rsidRPr="00230DD5" w:rsidRDefault="00BF2C3C" w:rsidP="000F1D36">
      <w:pPr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</w:rPr>
        <w:br w:type="page"/>
      </w:r>
      <w:r w:rsidR="000F1D36" w:rsidRPr="00230DD5">
        <w:rPr>
          <w:rFonts w:ascii="Times New Roman" w:hAnsi="Times New Roman" w:cs="Times New Roman"/>
        </w:rPr>
        <w:lastRenderedPageBreak/>
        <w:t xml:space="preserve">Supplementary Table 1. </w:t>
      </w:r>
      <w:r w:rsidR="00A42033" w:rsidRPr="00230DD5">
        <w:rPr>
          <w:rFonts w:ascii="Times New Roman" w:hAnsi="Times New Roman" w:cs="Times New Roman"/>
        </w:rPr>
        <w:t>Sensitivity analysis of f</w:t>
      </w:r>
      <w:r w:rsidR="000F1D36" w:rsidRPr="00230DD5">
        <w:rPr>
          <w:rFonts w:ascii="Times New Roman" w:hAnsi="Times New Roman" w:cs="Times New Roman"/>
        </w:rPr>
        <w:t>ully adjusted models with and without income included as a covariate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1480"/>
        <w:gridCol w:w="2880"/>
        <w:gridCol w:w="1530"/>
      </w:tblGrid>
      <w:tr w:rsidR="00230DD5" w:rsidRPr="00230DD5" w14:paraId="19C420AD" w14:textId="77777777" w:rsidTr="00DA4F8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5A46C" w14:textId="77777777" w:rsidR="000F1D36" w:rsidRPr="00230DD5" w:rsidRDefault="000F1D36" w:rsidP="004B1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1BF3E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With income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78AE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C65CE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Without income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A6B53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674017E7" w14:textId="77777777" w:rsidTr="00DA4F8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6584E" w14:textId="0C06DD89" w:rsidR="000F1D36" w:rsidRPr="00230DD5" w:rsidRDefault="000F1D36" w:rsidP="004B19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65871" w14:textId="651C896B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Coef</w:t>
            </w:r>
            <w:r w:rsidR="00AB7F80" w:rsidRPr="00230DD5">
              <w:rPr>
                <w:rFonts w:ascii="Times New Roman" w:hAnsi="Times New Roman" w:cs="Times New Roman"/>
              </w:rPr>
              <w:t>ficient</w:t>
            </w:r>
            <w:r w:rsidRPr="00230DD5">
              <w:rPr>
                <w:rFonts w:ascii="Times New Roman" w:hAnsi="Times New Roman" w:cs="Times New Roman"/>
              </w:rPr>
              <w:t xml:space="preserve"> (95% CI)</w:t>
            </w:r>
            <w:r w:rsidR="002F584C" w:rsidRPr="00230DD5">
              <w:rPr>
                <w:szCs w:val="24"/>
                <w:vertAlign w:val="superscript"/>
              </w:rPr>
              <w:t xml:space="preserve"> a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B20D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A961C" w14:textId="48213A28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proofErr w:type="gramStart"/>
            <w:r w:rsidRPr="00230DD5">
              <w:rPr>
                <w:rFonts w:ascii="Times New Roman" w:hAnsi="Times New Roman" w:cs="Times New Roman"/>
              </w:rPr>
              <w:t>Coef</w:t>
            </w:r>
            <w:r w:rsidR="00AB7F80" w:rsidRPr="00230DD5">
              <w:rPr>
                <w:rFonts w:ascii="Times New Roman" w:hAnsi="Times New Roman" w:cs="Times New Roman"/>
              </w:rPr>
              <w:t xml:space="preserve">ficient </w:t>
            </w:r>
            <w:r w:rsidRPr="00230DD5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230DD5">
              <w:rPr>
                <w:rFonts w:ascii="Times New Roman" w:hAnsi="Times New Roman" w:cs="Times New Roman"/>
              </w:rPr>
              <w:t>95% CI)</w:t>
            </w:r>
            <w:r w:rsidR="002F584C" w:rsidRPr="00230DD5">
              <w:rPr>
                <w:szCs w:val="24"/>
                <w:vertAlign w:val="superscript"/>
              </w:rPr>
              <w:t xml:space="preserve"> 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D6D8A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</w:tr>
      <w:tr w:rsidR="00230DD5" w:rsidRPr="00230DD5" w14:paraId="3478BD53" w14:textId="77777777" w:rsidTr="00DA4F8E"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4BD701F3" w14:textId="7E6D9B2B" w:rsidR="00DA4F8E" w:rsidRPr="00230DD5" w:rsidRDefault="00DA4F8E" w:rsidP="004B1949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YHEI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12729DE6" w14:textId="77777777" w:rsidR="00DA4F8E" w:rsidRPr="00230DD5" w:rsidRDefault="00DA4F8E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14:paraId="52203321" w14:textId="77777777" w:rsidR="00DA4F8E" w:rsidRPr="00230DD5" w:rsidRDefault="00DA4F8E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38566A21" w14:textId="77777777" w:rsidR="00DA4F8E" w:rsidRPr="00230DD5" w:rsidRDefault="00DA4F8E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6325877" w14:textId="77777777" w:rsidR="00DA4F8E" w:rsidRPr="00230DD5" w:rsidRDefault="00DA4F8E" w:rsidP="004B1949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3C6EBDE0" w14:textId="77777777" w:rsidTr="00DA4F8E">
        <w:tc>
          <w:tcPr>
            <w:tcW w:w="2590" w:type="dxa"/>
            <w:shd w:val="clear" w:color="auto" w:fill="auto"/>
          </w:tcPr>
          <w:p w14:paraId="20E1F1C8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590" w:type="dxa"/>
            <w:shd w:val="clear" w:color="auto" w:fill="auto"/>
          </w:tcPr>
          <w:p w14:paraId="1705389C" w14:textId="4E70B8B5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-1.09 (-2.23, 0.045)</w:t>
            </w:r>
          </w:p>
        </w:tc>
        <w:tc>
          <w:tcPr>
            <w:tcW w:w="1480" w:type="dxa"/>
            <w:shd w:val="clear" w:color="auto" w:fill="auto"/>
          </w:tcPr>
          <w:p w14:paraId="3E597FEE" w14:textId="7FBAD195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2880" w:type="dxa"/>
            <w:shd w:val="clear" w:color="auto" w:fill="auto"/>
          </w:tcPr>
          <w:p w14:paraId="0A8D9D57" w14:textId="5B17438D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-1.14 (-2.29, 0.065)</w:t>
            </w:r>
          </w:p>
        </w:tc>
        <w:tc>
          <w:tcPr>
            <w:tcW w:w="1530" w:type="dxa"/>
            <w:shd w:val="clear" w:color="auto" w:fill="auto"/>
          </w:tcPr>
          <w:p w14:paraId="75D9B7D8" w14:textId="33BF7AD1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0.051</w:t>
            </w:r>
          </w:p>
        </w:tc>
      </w:tr>
      <w:tr w:rsidR="00230DD5" w:rsidRPr="00230DD5" w14:paraId="71643124" w14:textId="77777777" w:rsidTr="00DA4F8E">
        <w:tc>
          <w:tcPr>
            <w:tcW w:w="2590" w:type="dxa"/>
            <w:shd w:val="clear" w:color="auto" w:fill="auto"/>
          </w:tcPr>
          <w:p w14:paraId="7F76FD22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590" w:type="dxa"/>
            <w:shd w:val="clear" w:color="auto" w:fill="auto"/>
          </w:tcPr>
          <w:p w14:paraId="12D9FB7D" w14:textId="0C40028B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0.15 (-0.27, 0.56)</w:t>
            </w:r>
          </w:p>
        </w:tc>
        <w:tc>
          <w:tcPr>
            <w:tcW w:w="1480" w:type="dxa"/>
            <w:shd w:val="clear" w:color="auto" w:fill="auto"/>
          </w:tcPr>
          <w:p w14:paraId="4F91A0E2" w14:textId="4F36D2D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0.493</w:t>
            </w:r>
          </w:p>
        </w:tc>
        <w:tc>
          <w:tcPr>
            <w:tcW w:w="2880" w:type="dxa"/>
            <w:shd w:val="clear" w:color="auto" w:fill="auto"/>
          </w:tcPr>
          <w:p w14:paraId="20D5D9F7" w14:textId="08ABD0BB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0.049 (-0.37, 0.47)</w:t>
            </w:r>
          </w:p>
        </w:tc>
        <w:tc>
          <w:tcPr>
            <w:tcW w:w="1530" w:type="dxa"/>
            <w:shd w:val="clear" w:color="auto" w:fill="auto"/>
          </w:tcPr>
          <w:p w14:paraId="4717A6BB" w14:textId="5B52B8A2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0.819</w:t>
            </w:r>
          </w:p>
        </w:tc>
      </w:tr>
      <w:tr w:rsidR="00230DD5" w:rsidRPr="00230DD5" w14:paraId="5CF0FEE6" w14:textId="77777777" w:rsidTr="00DA4F8E">
        <w:tc>
          <w:tcPr>
            <w:tcW w:w="2590" w:type="dxa"/>
            <w:shd w:val="clear" w:color="auto" w:fill="auto"/>
          </w:tcPr>
          <w:p w14:paraId="2BBE30C9" w14:textId="56AEC453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 xml:space="preserve">Daily </w:t>
            </w:r>
            <w:r w:rsidR="00A42033" w:rsidRPr="00230DD5">
              <w:rPr>
                <w:rFonts w:ascii="Times New Roman" w:hAnsi="Times New Roman" w:cs="Times New Roman"/>
                <w:b/>
                <w:bCs/>
              </w:rPr>
              <w:t>VF</w:t>
            </w:r>
            <w:r w:rsidRPr="00230DD5">
              <w:rPr>
                <w:rFonts w:ascii="Times New Roman" w:hAnsi="Times New Roman" w:cs="Times New Roman"/>
                <w:b/>
                <w:bCs/>
              </w:rPr>
              <w:t xml:space="preserve"> Consumption</w:t>
            </w:r>
          </w:p>
        </w:tc>
        <w:tc>
          <w:tcPr>
            <w:tcW w:w="2590" w:type="dxa"/>
            <w:shd w:val="clear" w:color="auto" w:fill="auto"/>
          </w:tcPr>
          <w:p w14:paraId="3A62487D" w14:textId="590258EE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14:paraId="6783C976" w14:textId="2D16A69B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45D49CD7" w14:textId="511EFE82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891D04E" w14:textId="34663C2B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1883056C" w14:textId="77777777" w:rsidTr="00DA4F8E">
        <w:tc>
          <w:tcPr>
            <w:tcW w:w="2590" w:type="dxa"/>
            <w:shd w:val="clear" w:color="auto" w:fill="auto"/>
          </w:tcPr>
          <w:p w14:paraId="246FB119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590" w:type="dxa"/>
            <w:shd w:val="clear" w:color="auto" w:fill="auto"/>
          </w:tcPr>
          <w:p w14:paraId="6BE9C301" w14:textId="214CED46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-0.34 (-0.64, -0.04)</w:t>
            </w:r>
          </w:p>
        </w:tc>
        <w:tc>
          <w:tcPr>
            <w:tcW w:w="1480" w:type="dxa"/>
            <w:shd w:val="clear" w:color="auto" w:fill="auto"/>
          </w:tcPr>
          <w:p w14:paraId="01EADCAD" w14:textId="2B036DF3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  <w:tc>
          <w:tcPr>
            <w:tcW w:w="2880" w:type="dxa"/>
            <w:shd w:val="clear" w:color="auto" w:fill="auto"/>
          </w:tcPr>
          <w:p w14:paraId="2A208E20" w14:textId="1470F3CC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 xml:space="preserve">-0.34 (-0.64, </w:t>
            </w:r>
            <w:r w:rsidR="00E43D79" w:rsidRPr="00230DD5">
              <w:rPr>
                <w:rFonts w:ascii="Times New Roman" w:hAnsi="Times New Roman" w:cs="Times New Roman"/>
                <w:b/>
                <w:bCs/>
              </w:rPr>
              <w:t>-</w:t>
            </w:r>
            <w:r w:rsidRPr="00230DD5">
              <w:rPr>
                <w:rFonts w:ascii="Times New Roman" w:hAnsi="Times New Roman" w:cs="Times New Roman"/>
                <w:b/>
                <w:bCs/>
              </w:rPr>
              <w:t>0.042)</w:t>
            </w:r>
          </w:p>
        </w:tc>
        <w:tc>
          <w:tcPr>
            <w:tcW w:w="1530" w:type="dxa"/>
            <w:shd w:val="clear" w:color="auto" w:fill="auto"/>
          </w:tcPr>
          <w:p w14:paraId="3DF91AB9" w14:textId="6C84B43A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</w:tr>
      <w:tr w:rsidR="00230DD5" w:rsidRPr="00230DD5" w14:paraId="103DF15C" w14:textId="77777777" w:rsidTr="00DA4F8E">
        <w:tc>
          <w:tcPr>
            <w:tcW w:w="2590" w:type="dxa"/>
            <w:shd w:val="clear" w:color="auto" w:fill="auto"/>
          </w:tcPr>
          <w:p w14:paraId="7573CE62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590" w:type="dxa"/>
            <w:shd w:val="clear" w:color="auto" w:fill="auto"/>
          </w:tcPr>
          <w:p w14:paraId="76C170BF" w14:textId="1E96E6C1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0.0027 (-0.11, 0.11)</w:t>
            </w:r>
          </w:p>
        </w:tc>
        <w:tc>
          <w:tcPr>
            <w:tcW w:w="1480" w:type="dxa"/>
            <w:shd w:val="clear" w:color="auto" w:fill="auto"/>
          </w:tcPr>
          <w:p w14:paraId="760F45FF" w14:textId="30078A4B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0.961</w:t>
            </w:r>
          </w:p>
        </w:tc>
        <w:tc>
          <w:tcPr>
            <w:tcW w:w="2880" w:type="dxa"/>
            <w:shd w:val="clear" w:color="auto" w:fill="auto"/>
          </w:tcPr>
          <w:p w14:paraId="42FD3628" w14:textId="3F789BA9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-0.0074 (-0.12, 0.10)</w:t>
            </w:r>
          </w:p>
        </w:tc>
        <w:tc>
          <w:tcPr>
            <w:tcW w:w="1530" w:type="dxa"/>
            <w:shd w:val="clear" w:color="auto" w:fill="auto"/>
          </w:tcPr>
          <w:p w14:paraId="07137360" w14:textId="27FF38C1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0.893</w:t>
            </w:r>
          </w:p>
        </w:tc>
      </w:tr>
      <w:tr w:rsidR="00230DD5" w:rsidRPr="00230DD5" w14:paraId="1C1D2F5A" w14:textId="77777777" w:rsidTr="00DA4F8E">
        <w:tc>
          <w:tcPr>
            <w:tcW w:w="2590" w:type="dxa"/>
            <w:shd w:val="clear" w:color="auto" w:fill="auto"/>
          </w:tcPr>
          <w:p w14:paraId="336114D7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BMI z-score</w:t>
            </w:r>
          </w:p>
        </w:tc>
        <w:tc>
          <w:tcPr>
            <w:tcW w:w="2590" w:type="dxa"/>
            <w:shd w:val="clear" w:color="auto" w:fill="auto"/>
          </w:tcPr>
          <w:p w14:paraId="2E693B59" w14:textId="793C3F6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auto"/>
          </w:tcPr>
          <w:p w14:paraId="16168480" w14:textId="078E4D6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78E5DAB1" w14:textId="77AECA2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2503C159" w14:textId="4A1A8D62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06FC9413" w14:textId="77777777" w:rsidTr="00DA4F8E">
        <w:tc>
          <w:tcPr>
            <w:tcW w:w="2590" w:type="dxa"/>
            <w:shd w:val="clear" w:color="auto" w:fill="auto"/>
          </w:tcPr>
          <w:p w14:paraId="26AE5621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590" w:type="dxa"/>
            <w:shd w:val="clear" w:color="auto" w:fill="auto"/>
          </w:tcPr>
          <w:p w14:paraId="092AFFF1" w14:textId="44BE67AF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0.15 (-0.0064, 0.30)</w:t>
            </w:r>
          </w:p>
        </w:tc>
        <w:tc>
          <w:tcPr>
            <w:tcW w:w="1480" w:type="dxa"/>
            <w:shd w:val="clear" w:color="auto" w:fill="auto"/>
          </w:tcPr>
          <w:p w14:paraId="51A96CC2" w14:textId="2C033F2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2880" w:type="dxa"/>
            <w:shd w:val="clear" w:color="auto" w:fill="auto"/>
          </w:tcPr>
          <w:p w14:paraId="6BBE2EC2" w14:textId="29A9FE0D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0.16 (-0.0024, 0.32)</w:t>
            </w:r>
          </w:p>
        </w:tc>
        <w:tc>
          <w:tcPr>
            <w:tcW w:w="1530" w:type="dxa"/>
            <w:shd w:val="clear" w:color="auto" w:fill="auto"/>
          </w:tcPr>
          <w:p w14:paraId="7A14B1F9" w14:textId="579B7495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0.054</w:t>
            </w:r>
          </w:p>
        </w:tc>
      </w:tr>
      <w:tr w:rsidR="00230DD5" w:rsidRPr="00230DD5" w14:paraId="6D6AECE2" w14:textId="77777777" w:rsidTr="00773B0E"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22C93EB2" w14:textId="77777777" w:rsidR="002E5CC8" w:rsidRPr="00230DD5" w:rsidRDefault="002E5CC8" w:rsidP="002E5CC8">
            <w:pPr>
              <w:rPr>
                <w:rFonts w:ascii="Times New Roman" w:hAnsi="Times New Roman" w:cs="Times New Roman"/>
                <w:bCs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1D77096F" w14:textId="4B984EE6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0.058 (0.0015, 0.12)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14:paraId="7AB1A7D6" w14:textId="02635501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0.044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C80A5A5" w14:textId="78033952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0.065 (0.0074, 0.12)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E5F69CF" w14:textId="543A4606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0.027</w:t>
            </w:r>
          </w:p>
        </w:tc>
      </w:tr>
      <w:tr w:rsidR="00230DD5" w:rsidRPr="00230DD5" w14:paraId="6D210CB0" w14:textId="77777777" w:rsidTr="00773B0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3153" w14:textId="77777777" w:rsidR="00773B0E" w:rsidRPr="00230DD5" w:rsidRDefault="00773B0E" w:rsidP="00773B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F0921" w14:textId="32D9363D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OR (95% CI)</w:t>
            </w:r>
            <w:r w:rsidR="002F584C" w:rsidRPr="00230DD5">
              <w:rPr>
                <w:szCs w:val="24"/>
                <w:vertAlign w:val="superscript"/>
              </w:rPr>
              <w:t xml:space="preserve"> b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E17DF" w14:textId="2DEA156B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9A9A" w14:textId="47729154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OR (95% CI)</w:t>
            </w:r>
            <w:r w:rsidR="002F584C" w:rsidRPr="00230DD5">
              <w:rPr>
                <w:szCs w:val="24"/>
                <w:vertAlign w:val="superscript"/>
              </w:rPr>
              <w:t xml:space="preserve"> b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608EB" w14:textId="4455F321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</w:tr>
      <w:tr w:rsidR="00230DD5" w:rsidRPr="00230DD5" w14:paraId="565574DD" w14:textId="77777777" w:rsidTr="00773B0E"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3A0E8D44" w14:textId="7777777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Overweight/obesity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5B4E4A96" w14:textId="768EFC8E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</w:tcPr>
          <w:p w14:paraId="65903102" w14:textId="7F302F2E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67B515BB" w14:textId="5DD994D9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90F9860" w14:textId="17597491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763C9E6C" w14:textId="77777777" w:rsidTr="00DA4F8E">
        <w:tc>
          <w:tcPr>
            <w:tcW w:w="2590" w:type="dxa"/>
            <w:shd w:val="clear" w:color="auto" w:fill="auto"/>
          </w:tcPr>
          <w:p w14:paraId="277121E5" w14:textId="7777777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590" w:type="dxa"/>
            <w:shd w:val="clear" w:color="auto" w:fill="auto"/>
          </w:tcPr>
          <w:p w14:paraId="3A2E1F57" w14:textId="70824F75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1.22 (0.96, 1.54)</w:t>
            </w:r>
          </w:p>
        </w:tc>
        <w:tc>
          <w:tcPr>
            <w:tcW w:w="1480" w:type="dxa"/>
            <w:shd w:val="clear" w:color="auto" w:fill="auto"/>
          </w:tcPr>
          <w:p w14:paraId="16751B95" w14:textId="79E436FB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2880" w:type="dxa"/>
            <w:shd w:val="clear" w:color="auto" w:fill="auto"/>
          </w:tcPr>
          <w:p w14:paraId="25AFE7D7" w14:textId="7AB0AD15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1.23 (0.97, 1.56)</w:t>
            </w:r>
          </w:p>
        </w:tc>
        <w:tc>
          <w:tcPr>
            <w:tcW w:w="1530" w:type="dxa"/>
            <w:shd w:val="clear" w:color="auto" w:fill="auto"/>
          </w:tcPr>
          <w:p w14:paraId="685DEC3C" w14:textId="2EAB0FAC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0.090</w:t>
            </w:r>
          </w:p>
        </w:tc>
      </w:tr>
      <w:tr w:rsidR="00773B0E" w:rsidRPr="00230DD5" w14:paraId="504EA825" w14:textId="77777777" w:rsidTr="00DA4F8E"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0E969344" w14:textId="77777777" w:rsidR="00773B0E" w:rsidRPr="00230DD5" w:rsidRDefault="00773B0E" w:rsidP="00773B0E">
            <w:pPr>
              <w:rPr>
                <w:rFonts w:ascii="Times New Roman" w:hAnsi="Times New Roman" w:cs="Times New Roman"/>
                <w:bCs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419C5F43" w14:textId="5403C029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1.08 (0.99, 1.17)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14:paraId="26FF52BA" w14:textId="3D4451AE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C1564B1" w14:textId="35399FC8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1.09 (1.00, 1.18)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BC499D7" w14:textId="46D1F078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0.051</w:t>
            </w:r>
          </w:p>
        </w:tc>
      </w:tr>
    </w:tbl>
    <w:p w14:paraId="39BD36F9" w14:textId="77777777" w:rsidR="002F584C" w:rsidRPr="00230DD5" w:rsidRDefault="002F584C" w:rsidP="002F584C">
      <w:pPr>
        <w:spacing w:line="240" w:lineRule="auto"/>
        <w:rPr>
          <w:szCs w:val="24"/>
        </w:rPr>
      </w:pPr>
    </w:p>
    <w:p w14:paraId="6EACCF79" w14:textId="1DB812FD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</w:rPr>
        <w:t>Abbreviations: Y-HEI = Youth Healthy Eating Index; CLO = Choose Least Often; VF = Vegetables and Fruit; BMI = Body Mass Index; %CLO = proportion of CLO food outlets relative to all; CI = confidence interval; OR = odds ratio.</w:t>
      </w:r>
    </w:p>
    <w:p w14:paraId="7E7D0865" w14:textId="77777777" w:rsidR="002F584C" w:rsidRPr="00230DD5" w:rsidRDefault="002F584C" w:rsidP="002F584C">
      <w:pPr>
        <w:spacing w:line="240" w:lineRule="auto"/>
        <w:ind w:left="142" w:hanging="142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  <w:vertAlign w:val="superscript"/>
        </w:rPr>
        <w:t xml:space="preserve">a </w:t>
      </w:r>
      <w:r w:rsidRPr="00230DD5">
        <w:rPr>
          <w:rFonts w:ascii="Times New Roman" w:hAnsi="Times New Roman" w:cs="Times New Roman"/>
          <w:szCs w:val="24"/>
        </w:rPr>
        <w:t>Coefficients and 95% CIs from multilevel mixed-effect linear regression models (multiplied by 10).</w:t>
      </w:r>
    </w:p>
    <w:p w14:paraId="4E7C205D" w14:textId="77777777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  <w:vertAlign w:val="superscript"/>
        </w:rPr>
        <w:t xml:space="preserve">b </w:t>
      </w:r>
      <w:r w:rsidRPr="00230DD5">
        <w:rPr>
          <w:rFonts w:ascii="Times New Roman" w:hAnsi="Times New Roman" w:cs="Times New Roman"/>
          <w:szCs w:val="24"/>
        </w:rPr>
        <w:t>ORs and 95% CIs from multilevel mixed-effect logistic regression models (multiplied by 10).</w:t>
      </w:r>
    </w:p>
    <w:p w14:paraId="31B9CA9D" w14:textId="1ED3DA52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</w:rPr>
        <w:t>Models are adjusted for absolute density of CLO outlets, gender, total energy intake (or physical activity for models examining BMI), parental education, household income, and area-level material deprivation.</w:t>
      </w:r>
    </w:p>
    <w:p w14:paraId="0732D917" w14:textId="1BDCA286" w:rsidR="002F584C" w:rsidRPr="00230DD5" w:rsidRDefault="002F584C" w:rsidP="002F584C">
      <w:pPr>
        <w:rPr>
          <w:szCs w:val="24"/>
        </w:rPr>
      </w:pPr>
      <w:r w:rsidRPr="00230DD5">
        <w:rPr>
          <w:rFonts w:ascii="Times New Roman" w:hAnsi="Times New Roman" w:cs="Times New Roman"/>
        </w:rPr>
        <w:t>Bolded terms are statistically significant (p&lt;0.05).</w:t>
      </w:r>
    </w:p>
    <w:p w14:paraId="57ECD370" w14:textId="77777777" w:rsidR="000F1D36" w:rsidRPr="00230DD5" w:rsidRDefault="000F1D36" w:rsidP="000F1D36">
      <w:pPr>
        <w:rPr>
          <w:rFonts w:ascii="Times New Roman" w:hAnsi="Times New Roman" w:cs="Times New Roman"/>
        </w:rPr>
      </w:pPr>
    </w:p>
    <w:p w14:paraId="337856F1" w14:textId="77777777" w:rsidR="000F1D36" w:rsidRPr="00230DD5" w:rsidRDefault="000F1D36" w:rsidP="000F1D36">
      <w:pPr>
        <w:rPr>
          <w:rFonts w:ascii="Times New Roman" w:hAnsi="Times New Roman" w:cs="Times New Roman"/>
        </w:rPr>
      </w:pPr>
    </w:p>
    <w:p w14:paraId="2AAC1A91" w14:textId="77777777" w:rsidR="000F1D36" w:rsidRPr="00230DD5" w:rsidRDefault="000F1D36" w:rsidP="000F1D36">
      <w:pPr>
        <w:rPr>
          <w:rFonts w:ascii="Times New Roman" w:hAnsi="Times New Roman" w:cs="Times New Roman"/>
        </w:rPr>
      </w:pPr>
    </w:p>
    <w:p w14:paraId="2783FD4D" w14:textId="77777777" w:rsidR="000F1D36" w:rsidRPr="00230DD5" w:rsidRDefault="000F1D36" w:rsidP="000F1D36">
      <w:pPr>
        <w:rPr>
          <w:rFonts w:ascii="Times New Roman" w:hAnsi="Times New Roman" w:cs="Times New Roman"/>
        </w:rPr>
      </w:pPr>
    </w:p>
    <w:p w14:paraId="39F9F33D" w14:textId="77777777" w:rsidR="000F1D36" w:rsidRPr="00230DD5" w:rsidRDefault="000F1D36" w:rsidP="000F1D36">
      <w:pPr>
        <w:rPr>
          <w:rFonts w:ascii="Times New Roman" w:hAnsi="Times New Roman" w:cs="Times New Roman"/>
        </w:rPr>
      </w:pPr>
    </w:p>
    <w:p w14:paraId="7017BFF2" w14:textId="5A5832FD" w:rsidR="000F1D36" w:rsidRPr="00230DD5" w:rsidRDefault="000F1D36" w:rsidP="000F1D36">
      <w:pPr>
        <w:rPr>
          <w:rFonts w:ascii="Times New Roman" w:hAnsi="Times New Roman" w:cs="Times New Roman"/>
        </w:rPr>
      </w:pPr>
      <w:r w:rsidRPr="00230DD5">
        <w:rPr>
          <w:rFonts w:ascii="Times New Roman" w:hAnsi="Times New Roman" w:cs="Times New Roman"/>
        </w:rPr>
        <w:lastRenderedPageBreak/>
        <w:t xml:space="preserve">Supplementary Table </w:t>
      </w:r>
      <w:r w:rsidR="002E5CC8" w:rsidRPr="00230DD5">
        <w:rPr>
          <w:rFonts w:ascii="Times New Roman" w:hAnsi="Times New Roman" w:cs="Times New Roman"/>
        </w:rPr>
        <w:t>2</w:t>
      </w:r>
      <w:r w:rsidRPr="00230DD5">
        <w:rPr>
          <w:rFonts w:ascii="Times New Roman" w:hAnsi="Times New Roman" w:cs="Times New Roman"/>
        </w:rPr>
        <w:t xml:space="preserve">. </w:t>
      </w:r>
      <w:r w:rsidR="002A2DCD" w:rsidRPr="00230DD5">
        <w:rPr>
          <w:rFonts w:ascii="Times New Roman" w:hAnsi="Times New Roman" w:cs="Times New Roman"/>
        </w:rPr>
        <w:t>Sensitivity analysis of f</w:t>
      </w:r>
      <w:r w:rsidRPr="00230DD5">
        <w:rPr>
          <w:rFonts w:ascii="Times New Roman" w:hAnsi="Times New Roman" w:cs="Times New Roman"/>
        </w:rPr>
        <w:t>ully adjusted models with and without parental education included as a covariate</w:t>
      </w:r>
    </w:p>
    <w:tbl>
      <w:tblPr>
        <w:tblStyle w:val="TableGrid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450"/>
        <w:gridCol w:w="1530"/>
        <w:gridCol w:w="2880"/>
        <w:gridCol w:w="1800"/>
      </w:tblGrid>
      <w:tr w:rsidR="00230DD5" w:rsidRPr="00230DD5" w14:paraId="7EAB31BE" w14:textId="77777777" w:rsidTr="002A2DCD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B8E50" w14:textId="77777777" w:rsidR="000F1D36" w:rsidRPr="00230DD5" w:rsidRDefault="000F1D36" w:rsidP="004B1949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47118218"/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8660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With education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FF9F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53C13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Without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E590D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6E278AF2" w14:textId="77777777" w:rsidTr="002A2DCD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04721" w14:textId="77777777" w:rsidR="000F1D36" w:rsidRPr="00230DD5" w:rsidRDefault="000F1D36" w:rsidP="004B1949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YHEI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56F45" w14:textId="2A7781C0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Coef</w:t>
            </w:r>
            <w:r w:rsidR="00AB7F80" w:rsidRPr="00230DD5">
              <w:rPr>
                <w:rFonts w:ascii="Times New Roman" w:hAnsi="Times New Roman" w:cs="Times New Roman"/>
              </w:rPr>
              <w:t>ficient</w:t>
            </w:r>
            <w:r w:rsidRPr="00230DD5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58F9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4170E" w14:textId="60BC0372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Coef</w:t>
            </w:r>
            <w:r w:rsidR="00AB7F80" w:rsidRPr="00230DD5">
              <w:rPr>
                <w:rFonts w:ascii="Times New Roman" w:hAnsi="Times New Roman" w:cs="Times New Roman"/>
              </w:rPr>
              <w:t>ficient</w:t>
            </w:r>
            <w:r w:rsidRPr="00230DD5">
              <w:rPr>
                <w:rFonts w:ascii="Times New Roman" w:hAnsi="Times New Roman" w:cs="Times New Roman"/>
              </w:rPr>
              <w:t xml:space="preserve"> (95% CI)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562AE" w14:textId="77777777" w:rsidR="000F1D36" w:rsidRPr="00230DD5" w:rsidRDefault="000F1D36" w:rsidP="004B1949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</w:tr>
      <w:tr w:rsidR="00230DD5" w:rsidRPr="00230DD5" w14:paraId="10391941" w14:textId="77777777" w:rsidTr="002A2DCD"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7E0A48AB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</w:tcPr>
          <w:p w14:paraId="6B92B18B" w14:textId="4370E7A5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-1.09 (-2.23, 0.045)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5B21136" w14:textId="32357771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4B4B3E3A" w14:textId="0DEDBA5C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-1.17 (-2.31, -0.033)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09F096B" w14:textId="185AD44F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0.044</w:t>
            </w:r>
          </w:p>
        </w:tc>
      </w:tr>
      <w:tr w:rsidR="00230DD5" w:rsidRPr="00230DD5" w14:paraId="1094EB36" w14:textId="77777777" w:rsidTr="002A2DCD">
        <w:tc>
          <w:tcPr>
            <w:tcW w:w="2590" w:type="dxa"/>
            <w:shd w:val="clear" w:color="auto" w:fill="auto"/>
          </w:tcPr>
          <w:p w14:paraId="798A7BBF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450" w:type="dxa"/>
            <w:shd w:val="clear" w:color="auto" w:fill="auto"/>
          </w:tcPr>
          <w:p w14:paraId="50BA43E0" w14:textId="742E04E9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0.15 (-0.27, 0.56)</w:t>
            </w:r>
          </w:p>
        </w:tc>
        <w:tc>
          <w:tcPr>
            <w:tcW w:w="1530" w:type="dxa"/>
            <w:shd w:val="clear" w:color="auto" w:fill="auto"/>
          </w:tcPr>
          <w:p w14:paraId="14CABB06" w14:textId="427B1E34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0.493</w:t>
            </w:r>
          </w:p>
        </w:tc>
        <w:tc>
          <w:tcPr>
            <w:tcW w:w="2880" w:type="dxa"/>
            <w:shd w:val="clear" w:color="auto" w:fill="auto"/>
          </w:tcPr>
          <w:p w14:paraId="40759611" w14:textId="7C639302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0.14 (-0.28, 0.55)</w:t>
            </w:r>
          </w:p>
        </w:tc>
        <w:tc>
          <w:tcPr>
            <w:tcW w:w="1800" w:type="dxa"/>
            <w:shd w:val="clear" w:color="auto" w:fill="auto"/>
          </w:tcPr>
          <w:p w14:paraId="7A0AEF8D" w14:textId="4031039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0.524</w:t>
            </w:r>
          </w:p>
        </w:tc>
      </w:tr>
      <w:tr w:rsidR="00230DD5" w:rsidRPr="00230DD5" w14:paraId="06A023E5" w14:textId="77777777" w:rsidTr="002A2DCD">
        <w:tc>
          <w:tcPr>
            <w:tcW w:w="2590" w:type="dxa"/>
            <w:shd w:val="clear" w:color="auto" w:fill="auto"/>
          </w:tcPr>
          <w:p w14:paraId="3C103B2D" w14:textId="46000B11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Daily V</w:t>
            </w:r>
            <w:r w:rsidR="00DA4F8E" w:rsidRPr="00230DD5">
              <w:rPr>
                <w:rFonts w:ascii="Times New Roman" w:hAnsi="Times New Roman" w:cs="Times New Roman"/>
                <w:b/>
                <w:bCs/>
              </w:rPr>
              <w:t>F</w:t>
            </w:r>
            <w:r w:rsidRPr="00230DD5">
              <w:rPr>
                <w:rFonts w:ascii="Times New Roman" w:hAnsi="Times New Roman" w:cs="Times New Roman"/>
                <w:b/>
                <w:bCs/>
              </w:rPr>
              <w:t xml:space="preserve"> Consumption</w:t>
            </w:r>
          </w:p>
        </w:tc>
        <w:tc>
          <w:tcPr>
            <w:tcW w:w="2450" w:type="dxa"/>
            <w:shd w:val="clear" w:color="auto" w:fill="auto"/>
          </w:tcPr>
          <w:p w14:paraId="55BB0EE7" w14:textId="153AAB84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0437A0CB" w14:textId="0BD2134A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5203C4C" w14:textId="649D910A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20B6246D" w14:textId="78515479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6BC71574" w14:textId="77777777" w:rsidTr="002A2DCD">
        <w:tc>
          <w:tcPr>
            <w:tcW w:w="2590" w:type="dxa"/>
            <w:shd w:val="clear" w:color="auto" w:fill="auto"/>
          </w:tcPr>
          <w:p w14:paraId="488DC7CE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450" w:type="dxa"/>
            <w:shd w:val="clear" w:color="auto" w:fill="auto"/>
          </w:tcPr>
          <w:p w14:paraId="02370BD9" w14:textId="66707FF0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-0.34 (-0.64, -0.04)</w:t>
            </w:r>
          </w:p>
        </w:tc>
        <w:tc>
          <w:tcPr>
            <w:tcW w:w="1530" w:type="dxa"/>
            <w:shd w:val="clear" w:color="auto" w:fill="auto"/>
          </w:tcPr>
          <w:p w14:paraId="14CE276D" w14:textId="144EAE87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0.025</w:t>
            </w:r>
          </w:p>
        </w:tc>
        <w:tc>
          <w:tcPr>
            <w:tcW w:w="2880" w:type="dxa"/>
            <w:shd w:val="clear" w:color="auto" w:fill="auto"/>
          </w:tcPr>
          <w:p w14:paraId="43CB3ECA" w14:textId="5CFFAEE5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-0.34 (-0.6</w:t>
            </w:r>
            <w:r w:rsidR="00E43D79" w:rsidRPr="00230DD5">
              <w:rPr>
                <w:rFonts w:ascii="Times New Roman" w:hAnsi="Times New Roman" w:cs="Times New Roman"/>
                <w:b/>
                <w:bCs/>
              </w:rPr>
              <w:t>4</w:t>
            </w:r>
            <w:r w:rsidRPr="00230DD5">
              <w:rPr>
                <w:rFonts w:ascii="Times New Roman" w:hAnsi="Times New Roman" w:cs="Times New Roman"/>
                <w:b/>
                <w:bCs/>
              </w:rPr>
              <w:t>, -0.04</w:t>
            </w:r>
            <w:r w:rsidR="00E43D79" w:rsidRPr="00230DD5">
              <w:rPr>
                <w:rFonts w:ascii="Times New Roman" w:hAnsi="Times New Roman" w:cs="Times New Roman"/>
                <w:b/>
                <w:bCs/>
              </w:rPr>
              <w:t>7</w:t>
            </w:r>
            <w:r w:rsidRPr="00230DD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6734B315" w14:textId="58C9B900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0.023</w:t>
            </w:r>
          </w:p>
        </w:tc>
      </w:tr>
      <w:tr w:rsidR="00230DD5" w:rsidRPr="00230DD5" w14:paraId="1956D778" w14:textId="77777777" w:rsidTr="002A2DCD">
        <w:tc>
          <w:tcPr>
            <w:tcW w:w="2590" w:type="dxa"/>
            <w:shd w:val="clear" w:color="auto" w:fill="auto"/>
          </w:tcPr>
          <w:p w14:paraId="4F8EE166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450" w:type="dxa"/>
            <w:shd w:val="clear" w:color="auto" w:fill="auto"/>
          </w:tcPr>
          <w:p w14:paraId="3769F360" w14:textId="01A0844F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0.0027 (-0.11, 0.11)</w:t>
            </w:r>
          </w:p>
        </w:tc>
        <w:tc>
          <w:tcPr>
            <w:tcW w:w="1530" w:type="dxa"/>
            <w:shd w:val="clear" w:color="auto" w:fill="auto"/>
          </w:tcPr>
          <w:p w14:paraId="76AA843C" w14:textId="5A8286B4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0.961</w:t>
            </w:r>
          </w:p>
        </w:tc>
        <w:tc>
          <w:tcPr>
            <w:tcW w:w="2880" w:type="dxa"/>
            <w:shd w:val="clear" w:color="auto" w:fill="auto"/>
          </w:tcPr>
          <w:p w14:paraId="069FF440" w14:textId="4A1E7E80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0.0089 (-0.099, 0.12)</w:t>
            </w:r>
          </w:p>
        </w:tc>
        <w:tc>
          <w:tcPr>
            <w:tcW w:w="1800" w:type="dxa"/>
            <w:shd w:val="clear" w:color="auto" w:fill="auto"/>
          </w:tcPr>
          <w:p w14:paraId="4169F7DE" w14:textId="710B6CEF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0.872</w:t>
            </w:r>
          </w:p>
        </w:tc>
      </w:tr>
      <w:tr w:rsidR="00230DD5" w:rsidRPr="00230DD5" w14:paraId="430DDB0B" w14:textId="77777777" w:rsidTr="002A2DCD">
        <w:tc>
          <w:tcPr>
            <w:tcW w:w="2590" w:type="dxa"/>
            <w:shd w:val="clear" w:color="auto" w:fill="auto"/>
          </w:tcPr>
          <w:p w14:paraId="3394C593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BMI z-score</w:t>
            </w:r>
          </w:p>
        </w:tc>
        <w:tc>
          <w:tcPr>
            <w:tcW w:w="2450" w:type="dxa"/>
            <w:shd w:val="clear" w:color="auto" w:fill="auto"/>
          </w:tcPr>
          <w:p w14:paraId="6D6C6DF8" w14:textId="07198008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14:paraId="73C3AD90" w14:textId="18762295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34E671DD" w14:textId="5C0A76A3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07AAEB34" w14:textId="06D2B22F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7E5CC1A2" w14:textId="77777777" w:rsidTr="002A2DCD">
        <w:tc>
          <w:tcPr>
            <w:tcW w:w="2590" w:type="dxa"/>
            <w:shd w:val="clear" w:color="auto" w:fill="auto"/>
          </w:tcPr>
          <w:p w14:paraId="059914D5" w14:textId="77777777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450" w:type="dxa"/>
            <w:shd w:val="clear" w:color="auto" w:fill="auto"/>
          </w:tcPr>
          <w:p w14:paraId="5CC0EF11" w14:textId="5F62BBF6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0.15 (-0.0064, 0.30)</w:t>
            </w:r>
          </w:p>
        </w:tc>
        <w:tc>
          <w:tcPr>
            <w:tcW w:w="1530" w:type="dxa"/>
            <w:shd w:val="clear" w:color="auto" w:fill="auto"/>
          </w:tcPr>
          <w:p w14:paraId="70A04826" w14:textId="2E4BE99D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2880" w:type="dxa"/>
            <w:shd w:val="clear" w:color="auto" w:fill="auto"/>
          </w:tcPr>
          <w:p w14:paraId="4FFCC600" w14:textId="26A0AEEF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</w:t>
            </w:r>
            <w:r w:rsidR="00AC157D" w:rsidRPr="00230DD5">
              <w:rPr>
                <w:rFonts w:ascii="Times New Roman" w:hAnsi="Times New Roman" w:cs="Times New Roman"/>
              </w:rPr>
              <w:t>4</w:t>
            </w:r>
            <w:r w:rsidRPr="00230DD5">
              <w:rPr>
                <w:rFonts w:ascii="Times New Roman" w:hAnsi="Times New Roman" w:cs="Times New Roman"/>
              </w:rPr>
              <w:t xml:space="preserve"> (-0.0</w:t>
            </w:r>
            <w:r w:rsidR="00AC157D" w:rsidRPr="00230DD5">
              <w:rPr>
                <w:rFonts w:ascii="Times New Roman" w:hAnsi="Times New Roman" w:cs="Times New Roman"/>
              </w:rPr>
              <w:t>14</w:t>
            </w:r>
            <w:r w:rsidRPr="00230DD5">
              <w:rPr>
                <w:rFonts w:ascii="Times New Roman" w:hAnsi="Times New Roman" w:cs="Times New Roman"/>
              </w:rPr>
              <w:t>, 0.30)</w:t>
            </w:r>
          </w:p>
        </w:tc>
        <w:tc>
          <w:tcPr>
            <w:tcW w:w="1800" w:type="dxa"/>
            <w:shd w:val="clear" w:color="auto" w:fill="auto"/>
          </w:tcPr>
          <w:p w14:paraId="2F44D2EE" w14:textId="2F83BA9C" w:rsidR="002E5CC8" w:rsidRPr="00230DD5" w:rsidRDefault="002E5CC8" w:rsidP="002E5CC8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</w:t>
            </w:r>
            <w:r w:rsidR="00AC157D" w:rsidRPr="00230DD5">
              <w:rPr>
                <w:rFonts w:ascii="Times New Roman" w:hAnsi="Times New Roman" w:cs="Times New Roman"/>
              </w:rPr>
              <w:t>75</w:t>
            </w:r>
          </w:p>
        </w:tc>
      </w:tr>
      <w:tr w:rsidR="00230DD5" w:rsidRPr="00230DD5" w14:paraId="3A70BB08" w14:textId="77777777" w:rsidTr="00773B0E"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477D6780" w14:textId="77777777" w:rsidR="002E5CC8" w:rsidRPr="00230DD5" w:rsidRDefault="002E5CC8" w:rsidP="002E5CC8">
            <w:pPr>
              <w:rPr>
                <w:rFonts w:ascii="Times New Roman" w:hAnsi="Times New Roman" w:cs="Times New Roman"/>
                <w:bCs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30F878E3" w14:textId="04E8F501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0.058 (0.0015, 0.12)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74258B5" w14:textId="0235C529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0.044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751F317" w14:textId="79FFF469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0.05</w:t>
            </w:r>
            <w:r w:rsidR="00AC157D" w:rsidRPr="00230DD5">
              <w:rPr>
                <w:rFonts w:ascii="Times New Roman" w:hAnsi="Times New Roman" w:cs="Times New Roman"/>
                <w:b/>
                <w:bCs/>
              </w:rPr>
              <w:t>6</w:t>
            </w:r>
            <w:r w:rsidRPr="00230DD5">
              <w:rPr>
                <w:rFonts w:ascii="Times New Roman" w:hAnsi="Times New Roman" w:cs="Times New Roman"/>
                <w:b/>
                <w:bCs/>
              </w:rPr>
              <w:t xml:space="preserve"> (0.00</w:t>
            </w:r>
            <w:r w:rsidR="00AC157D" w:rsidRPr="00230DD5">
              <w:rPr>
                <w:rFonts w:ascii="Times New Roman" w:hAnsi="Times New Roman" w:cs="Times New Roman"/>
                <w:b/>
                <w:bCs/>
              </w:rPr>
              <w:t>098</w:t>
            </w:r>
            <w:r w:rsidRPr="00230DD5">
              <w:rPr>
                <w:rFonts w:ascii="Times New Roman" w:hAnsi="Times New Roman" w:cs="Times New Roman"/>
                <w:b/>
                <w:bCs/>
              </w:rPr>
              <w:t>, 0.1</w:t>
            </w:r>
            <w:r w:rsidR="00AC157D" w:rsidRPr="00230DD5">
              <w:rPr>
                <w:rFonts w:ascii="Times New Roman" w:hAnsi="Times New Roman" w:cs="Times New Roman"/>
                <w:b/>
                <w:bCs/>
              </w:rPr>
              <w:t>1</w:t>
            </w:r>
            <w:r w:rsidRPr="00230DD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DE7A34D" w14:textId="06BADA6E" w:rsidR="002E5CC8" w:rsidRPr="00230DD5" w:rsidRDefault="002E5CC8" w:rsidP="002E5CC8">
            <w:pPr>
              <w:rPr>
                <w:rFonts w:ascii="Times New Roman" w:hAnsi="Times New Roman" w:cs="Times New Roman"/>
                <w:b/>
                <w:bCs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0.04</w:t>
            </w:r>
            <w:r w:rsidR="00AC157D" w:rsidRPr="00230DD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30DD5" w:rsidRPr="00230DD5" w14:paraId="31953FFD" w14:textId="77777777" w:rsidTr="00773B0E"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96197" w14:textId="77777777" w:rsidR="00773B0E" w:rsidRPr="00230DD5" w:rsidRDefault="00773B0E" w:rsidP="00773B0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1D5BD" w14:textId="02184FE9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A57B" w14:textId="79BE5F4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60FC9" w14:textId="175A2B7F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88363" w14:textId="7943658C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P-value</w:t>
            </w:r>
          </w:p>
        </w:tc>
      </w:tr>
      <w:tr w:rsidR="00230DD5" w:rsidRPr="00230DD5" w14:paraId="11EC2BE2" w14:textId="77777777" w:rsidTr="00773B0E"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</w:tcPr>
          <w:p w14:paraId="11C3F7B4" w14:textId="7777777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/>
                <w:bCs/>
              </w:rPr>
              <w:t>Overweight/obesity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auto"/>
          </w:tcPr>
          <w:p w14:paraId="2602670B" w14:textId="5BA147BF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537E2BE" w14:textId="40356645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0C027362" w14:textId="55E7FF2E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51140B4" w14:textId="299BB7D4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</w:p>
        </w:tc>
      </w:tr>
      <w:tr w:rsidR="00230DD5" w:rsidRPr="00230DD5" w14:paraId="591C1595" w14:textId="77777777" w:rsidTr="002A2DCD">
        <w:tc>
          <w:tcPr>
            <w:tcW w:w="2590" w:type="dxa"/>
            <w:shd w:val="clear" w:color="auto" w:fill="auto"/>
          </w:tcPr>
          <w:p w14:paraId="2C5C458F" w14:textId="7777777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  <w:bCs/>
              </w:rPr>
              <w:t>%CLO</w:t>
            </w:r>
          </w:p>
        </w:tc>
        <w:tc>
          <w:tcPr>
            <w:tcW w:w="2450" w:type="dxa"/>
            <w:shd w:val="clear" w:color="auto" w:fill="auto"/>
          </w:tcPr>
          <w:p w14:paraId="6AE54B39" w14:textId="79894A2C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1.22 (0.96, 1.54)</w:t>
            </w:r>
          </w:p>
        </w:tc>
        <w:tc>
          <w:tcPr>
            <w:tcW w:w="1530" w:type="dxa"/>
            <w:shd w:val="clear" w:color="auto" w:fill="auto"/>
          </w:tcPr>
          <w:p w14:paraId="7983C676" w14:textId="582C7563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2880" w:type="dxa"/>
            <w:shd w:val="clear" w:color="auto" w:fill="auto"/>
          </w:tcPr>
          <w:p w14:paraId="4F618757" w14:textId="6B20A21D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1.20 (0.95, 1.51)</w:t>
            </w:r>
          </w:p>
        </w:tc>
        <w:tc>
          <w:tcPr>
            <w:tcW w:w="1800" w:type="dxa"/>
            <w:shd w:val="clear" w:color="auto" w:fill="auto"/>
          </w:tcPr>
          <w:p w14:paraId="6B91F2CA" w14:textId="1446BF47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0.130</w:t>
            </w:r>
          </w:p>
        </w:tc>
      </w:tr>
      <w:tr w:rsidR="00773B0E" w:rsidRPr="00230DD5" w14:paraId="320B184C" w14:textId="77777777" w:rsidTr="002A2DCD"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14:paraId="2574EC0B" w14:textId="77777777" w:rsidR="00773B0E" w:rsidRPr="00230DD5" w:rsidRDefault="00773B0E" w:rsidP="00773B0E">
            <w:pPr>
              <w:rPr>
                <w:rFonts w:ascii="Times New Roman" w:hAnsi="Times New Roman" w:cs="Times New Roman"/>
                <w:bCs/>
              </w:rPr>
            </w:pPr>
            <w:r w:rsidRPr="00230DD5">
              <w:rPr>
                <w:rFonts w:ascii="Times New Roman" w:hAnsi="Times New Roman" w:cs="Times New Roman"/>
                <w:bCs/>
              </w:rPr>
              <w:t>#CLO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</w:tcPr>
          <w:p w14:paraId="11901F97" w14:textId="1163D6BB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1.08 (0.99, 1.17)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118A32B" w14:textId="0E8A5D1C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0938951F" w14:textId="64BB7D2F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1.08 (0.99, 1.17)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ABD7A56" w14:textId="2E40B355" w:rsidR="00773B0E" w:rsidRPr="00230DD5" w:rsidRDefault="00773B0E" w:rsidP="00773B0E">
            <w:pPr>
              <w:rPr>
                <w:rFonts w:ascii="Times New Roman" w:hAnsi="Times New Roman" w:cs="Times New Roman"/>
              </w:rPr>
            </w:pPr>
            <w:r w:rsidRPr="00230DD5">
              <w:rPr>
                <w:rFonts w:ascii="Times New Roman" w:hAnsi="Times New Roman" w:cs="Times New Roman"/>
              </w:rPr>
              <w:t>0.074</w:t>
            </w:r>
          </w:p>
        </w:tc>
      </w:tr>
      <w:bookmarkEnd w:id="0"/>
    </w:tbl>
    <w:p w14:paraId="2108541D" w14:textId="037E5008" w:rsidR="000F1D36" w:rsidRPr="00230DD5" w:rsidRDefault="000F1D36">
      <w:pPr>
        <w:rPr>
          <w:rFonts w:ascii="Times New Roman" w:hAnsi="Times New Roman" w:cs="Times New Roman"/>
        </w:rPr>
      </w:pPr>
    </w:p>
    <w:p w14:paraId="2CDF726A" w14:textId="77777777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</w:rPr>
        <w:t>Abbreviations: Y-HEI = Youth Healthy Eating Index; CLO = Choose Least Often; VF = Vegetables and Fruit; BMI = Body Mass Index; %CLO = proportion of CLO food outlets relative to all; CI = confidence interval; OR = odds ratio.</w:t>
      </w:r>
    </w:p>
    <w:p w14:paraId="13352201" w14:textId="77777777" w:rsidR="002F584C" w:rsidRPr="00230DD5" w:rsidRDefault="002F584C" w:rsidP="002F584C">
      <w:pPr>
        <w:spacing w:line="240" w:lineRule="auto"/>
        <w:ind w:left="142" w:hanging="142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  <w:vertAlign w:val="superscript"/>
        </w:rPr>
        <w:t xml:space="preserve">a </w:t>
      </w:r>
      <w:r w:rsidRPr="00230DD5">
        <w:rPr>
          <w:rFonts w:ascii="Times New Roman" w:hAnsi="Times New Roman" w:cs="Times New Roman"/>
          <w:szCs w:val="24"/>
        </w:rPr>
        <w:t>Coefficients and 95% CIs from multilevel mixed-effect linear regression models (multiplied by 10).</w:t>
      </w:r>
    </w:p>
    <w:p w14:paraId="78663D80" w14:textId="77777777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  <w:vertAlign w:val="superscript"/>
        </w:rPr>
        <w:t xml:space="preserve">b </w:t>
      </w:r>
      <w:r w:rsidRPr="00230DD5">
        <w:rPr>
          <w:rFonts w:ascii="Times New Roman" w:hAnsi="Times New Roman" w:cs="Times New Roman"/>
          <w:szCs w:val="24"/>
        </w:rPr>
        <w:t>ORs and 95% CIs from multilevel mixed-effect logistic regression models (multiplied by 10).</w:t>
      </w:r>
    </w:p>
    <w:p w14:paraId="05526019" w14:textId="27740189" w:rsidR="002F584C" w:rsidRPr="00230DD5" w:rsidRDefault="002F584C" w:rsidP="002F584C">
      <w:pPr>
        <w:spacing w:line="240" w:lineRule="auto"/>
        <w:rPr>
          <w:rFonts w:ascii="Times New Roman" w:hAnsi="Times New Roman" w:cs="Times New Roman"/>
          <w:szCs w:val="24"/>
        </w:rPr>
      </w:pPr>
      <w:r w:rsidRPr="00230DD5">
        <w:rPr>
          <w:rFonts w:ascii="Times New Roman" w:hAnsi="Times New Roman" w:cs="Times New Roman"/>
          <w:szCs w:val="24"/>
        </w:rPr>
        <w:t>Models are adjusted for absolute density of CLO outlets, gender, total energy intake (or physical activity for models examining BMI), parental education, household income, and area-level material deprivation.</w:t>
      </w:r>
    </w:p>
    <w:p w14:paraId="443D57A7" w14:textId="77777777" w:rsidR="002F584C" w:rsidRPr="00230DD5" w:rsidRDefault="002F584C" w:rsidP="002F584C">
      <w:pPr>
        <w:rPr>
          <w:szCs w:val="24"/>
        </w:rPr>
      </w:pPr>
      <w:r w:rsidRPr="00230DD5">
        <w:rPr>
          <w:rFonts w:ascii="Times New Roman" w:hAnsi="Times New Roman" w:cs="Times New Roman"/>
        </w:rPr>
        <w:t>Bolded terms are statistically significant (p&lt;0.05).</w:t>
      </w:r>
    </w:p>
    <w:p w14:paraId="1FD0EB4B" w14:textId="77777777" w:rsidR="002F584C" w:rsidRPr="00230DD5" w:rsidRDefault="002F584C">
      <w:pPr>
        <w:rPr>
          <w:rFonts w:ascii="Times New Roman" w:hAnsi="Times New Roman" w:cs="Times New Roman"/>
        </w:rPr>
      </w:pPr>
    </w:p>
    <w:sectPr w:rsidR="002F584C" w:rsidRPr="00230DD5" w:rsidSect="00A845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2C"/>
    <w:rsid w:val="000F1D36"/>
    <w:rsid w:val="001046D2"/>
    <w:rsid w:val="00222F5C"/>
    <w:rsid w:val="00226AB5"/>
    <w:rsid w:val="00230DD5"/>
    <w:rsid w:val="00293870"/>
    <w:rsid w:val="002A2DCD"/>
    <w:rsid w:val="002E5CC8"/>
    <w:rsid w:val="002F584C"/>
    <w:rsid w:val="0034688E"/>
    <w:rsid w:val="005A4C7A"/>
    <w:rsid w:val="005E5FC9"/>
    <w:rsid w:val="00615047"/>
    <w:rsid w:val="006424F2"/>
    <w:rsid w:val="006A50B0"/>
    <w:rsid w:val="007431AA"/>
    <w:rsid w:val="00773B0E"/>
    <w:rsid w:val="00940842"/>
    <w:rsid w:val="00A42033"/>
    <w:rsid w:val="00A8452C"/>
    <w:rsid w:val="00AB7F80"/>
    <w:rsid w:val="00AC157D"/>
    <w:rsid w:val="00AF3898"/>
    <w:rsid w:val="00BF2C3C"/>
    <w:rsid w:val="00C36456"/>
    <w:rsid w:val="00CF5C68"/>
    <w:rsid w:val="00DA4F8E"/>
    <w:rsid w:val="00E25858"/>
    <w:rsid w:val="00E43D79"/>
    <w:rsid w:val="00E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13EB"/>
  <w15:chartTrackingRefBased/>
  <w15:docId w15:val="{992E29BE-664B-48E0-BF70-429EE92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3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79"/>
    <w:rPr>
      <w:rFonts w:ascii="Segoe UI" w:hAnsi="Segoe UI" w:cs="Segoe UI"/>
      <w:sz w:val="18"/>
      <w:szCs w:val="18"/>
      <w:lang w:val="en-CA"/>
    </w:rPr>
  </w:style>
  <w:style w:type="paragraph" w:customStyle="1" w:styleId="tablelegend">
    <w:name w:val="tablelegend"/>
    <w:basedOn w:val="Normal"/>
    <w:next w:val="Normal"/>
    <w:rsid w:val="0034688E"/>
    <w:pPr>
      <w:overflowPunct w:val="0"/>
      <w:autoSpaceDE w:val="0"/>
      <w:autoSpaceDN w:val="0"/>
      <w:adjustRightInd w:val="0"/>
      <w:spacing w:before="120" w:after="0" w:line="36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sim</dc:creator>
  <cp:keywords/>
  <dc:description/>
  <cp:lastModifiedBy>shannon sim</cp:lastModifiedBy>
  <cp:revision>29</cp:revision>
  <dcterms:created xsi:type="dcterms:W3CDTF">2020-07-03T01:32:00Z</dcterms:created>
  <dcterms:modified xsi:type="dcterms:W3CDTF">2020-10-24T19:41:00Z</dcterms:modified>
</cp:coreProperties>
</file>