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3F2F5" w14:textId="77777777" w:rsidR="006426D0" w:rsidRPr="004D2DB6" w:rsidRDefault="00FF53B3" w:rsidP="003A070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D2DB6">
        <w:rPr>
          <w:rFonts w:ascii="Times New Roman" w:hAnsi="Times New Roman" w:cs="Times New Roman"/>
          <w:b/>
          <w:sz w:val="24"/>
        </w:rPr>
        <w:t xml:space="preserve">Supplementary Materials </w:t>
      </w:r>
    </w:p>
    <w:p w14:paraId="353C51A2" w14:textId="77777777" w:rsidR="00603BDB" w:rsidRPr="004D2DB6" w:rsidRDefault="00603BDB" w:rsidP="003A070B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66148945" w14:textId="0F40C1CD" w:rsidR="00C32CB5" w:rsidRPr="004D2DB6" w:rsidRDefault="00C32CB5" w:rsidP="003A070B">
      <w:pPr>
        <w:pStyle w:val="BodyText"/>
        <w:spacing w:before="10" w:line="360" w:lineRule="auto"/>
        <w:jc w:val="center"/>
        <w:rPr>
          <w:b/>
        </w:rPr>
      </w:pPr>
      <w:r w:rsidRPr="004D2DB6">
        <w:rPr>
          <w:b/>
        </w:rPr>
        <w:t xml:space="preserve">Association between tea drinking and plasma folate concentration among women </w:t>
      </w:r>
      <w:bookmarkStart w:id="0" w:name="_Hlk18350771"/>
      <w:r w:rsidR="00F93077" w:rsidRPr="004D2DB6">
        <w:rPr>
          <w:b/>
        </w:rPr>
        <w:t>aged 18 to 30 years old</w:t>
      </w:r>
      <w:bookmarkEnd w:id="0"/>
      <w:r w:rsidR="00F93077" w:rsidRPr="004D2DB6">
        <w:rPr>
          <w:b/>
        </w:rPr>
        <w:t xml:space="preserve"> in China</w:t>
      </w:r>
    </w:p>
    <w:p w14:paraId="3CE30F9B" w14:textId="77777777" w:rsidR="000C0280" w:rsidRPr="004D2DB6" w:rsidRDefault="000C0280" w:rsidP="003A070B">
      <w:pPr>
        <w:pStyle w:val="BodyText"/>
        <w:spacing w:before="10" w:line="360" w:lineRule="auto"/>
        <w:jc w:val="both"/>
      </w:pPr>
      <w:r w:rsidRPr="004D2DB6">
        <w:t>Authors and affiliation:</w:t>
      </w:r>
    </w:p>
    <w:p w14:paraId="6DDA8A98" w14:textId="77777777" w:rsidR="003A070B" w:rsidRPr="004D2DB6" w:rsidRDefault="003A070B" w:rsidP="003A070B">
      <w:pPr>
        <w:pStyle w:val="BodyText"/>
        <w:spacing w:line="360" w:lineRule="auto"/>
        <w:ind w:right="113"/>
        <w:jc w:val="both"/>
      </w:pPr>
      <w:r w:rsidRPr="004D2DB6">
        <w:rPr>
          <w:rFonts w:eastAsia="SimSun"/>
          <w:lang w:eastAsia="zh-CN"/>
        </w:rPr>
        <w:t>Xiaoqian Jia</w:t>
      </w:r>
      <w:r w:rsidRPr="004D2DB6">
        <w:rPr>
          <w:rFonts w:eastAsia="SimSun"/>
          <w:position w:val="11"/>
          <w:lang w:eastAsia="zh-CN"/>
        </w:rPr>
        <w:t>1</w:t>
      </w:r>
      <w:r w:rsidRPr="004D2DB6">
        <w:rPr>
          <w:position w:val="11"/>
        </w:rPr>
        <w:t>,</w:t>
      </w:r>
      <w:r w:rsidRPr="004D2DB6">
        <w:rPr>
          <w:rFonts w:eastAsia="SimSun"/>
          <w:position w:val="11"/>
          <w:lang w:eastAsia="zh-CN"/>
        </w:rPr>
        <w:t>2</w:t>
      </w:r>
      <w:r w:rsidRPr="004D2DB6">
        <w:t>; Mengyuan Ren</w:t>
      </w:r>
      <w:r w:rsidRPr="004D2DB6">
        <w:rPr>
          <w:rFonts w:eastAsia="SimSun"/>
          <w:position w:val="11"/>
          <w:lang w:eastAsia="zh-CN"/>
        </w:rPr>
        <w:t>1</w:t>
      </w:r>
      <w:r w:rsidRPr="004D2DB6">
        <w:rPr>
          <w:position w:val="11"/>
        </w:rPr>
        <w:t>,</w:t>
      </w:r>
      <w:r w:rsidRPr="004D2DB6">
        <w:rPr>
          <w:rFonts w:eastAsia="SimSun"/>
          <w:position w:val="11"/>
          <w:lang w:eastAsia="zh-CN"/>
        </w:rPr>
        <w:t>2</w:t>
      </w:r>
      <w:r w:rsidRPr="004D2DB6">
        <w:t>; Yali Zhang</w:t>
      </w:r>
      <w:r w:rsidRPr="004D2DB6">
        <w:rPr>
          <w:rFonts w:eastAsia="SimSun"/>
          <w:position w:val="11"/>
          <w:lang w:eastAsia="zh-CN"/>
        </w:rPr>
        <w:t>1</w:t>
      </w:r>
      <w:r w:rsidRPr="004D2DB6">
        <w:rPr>
          <w:position w:val="11"/>
        </w:rPr>
        <w:t>,</w:t>
      </w:r>
      <w:r w:rsidRPr="004D2DB6">
        <w:rPr>
          <w:rFonts w:eastAsia="SimSun"/>
          <w:position w:val="11"/>
          <w:lang w:eastAsia="zh-CN"/>
        </w:rPr>
        <w:t>2</w:t>
      </w:r>
      <w:r w:rsidRPr="004D2DB6">
        <w:t>;  Rongwei Ye</w:t>
      </w:r>
      <w:r w:rsidRPr="004D2DB6">
        <w:rPr>
          <w:rFonts w:eastAsia="SimSun"/>
          <w:position w:val="11"/>
          <w:lang w:eastAsia="zh-CN"/>
        </w:rPr>
        <w:t>1</w:t>
      </w:r>
      <w:r w:rsidRPr="004D2DB6">
        <w:rPr>
          <w:position w:val="11"/>
        </w:rPr>
        <w:t>,</w:t>
      </w:r>
      <w:r w:rsidRPr="004D2DB6">
        <w:rPr>
          <w:rFonts w:eastAsia="SimSun"/>
          <w:position w:val="11"/>
          <w:lang w:eastAsia="zh-CN"/>
        </w:rPr>
        <w:t>2</w:t>
      </w:r>
      <w:r w:rsidRPr="004D2DB6">
        <w:t>; Bin Wang</w:t>
      </w:r>
      <w:r w:rsidRPr="004D2DB6">
        <w:rPr>
          <w:rFonts w:eastAsia="SimSun"/>
          <w:position w:val="11"/>
          <w:lang w:eastAsia="zh-CN"/>
        </w:rPr>
        <w:t>1</w:t>
      </w:r>
      <w:r w:rsidRPr="004D2DB6">
        <w:rPr>
          <w:position w:val="11"/>
        </w:rPr>
        <w:t>,</w:t>
      </w:r>
      <w:r w:rsidRPr="004D2DB6">
        <w:rPr>
          <w:rFonts w:eastAsia="SimSun"/>
          <w:position w:val="11"/>
          <w:lang w:eastAsia="zh-CN"/>
        </w:rPr>
        <w:t>2</w:t>
      </w:r>
      <w:r w:rsidRPr="004D2DB6">
        <w:t xml:space="preserve">; </w:t>
      </w:r>
    </w:p>
    <w:p w14:paraId="7403C886" w14:textId="777EF48B" w:rsidR="003A070B" w:rsidRPr="004D2DB6" w:rsidRDefault="003A070B" w:rsidP="003A070B">
      <w:pPr>
        <w:pStyle w:val="BodyText"/>
        <w:spacing w:line="360" w:lineRule="auto"/>
        <w:ind w:right="113"/>
        <w:jc w:val="both"/>
        <w:rPr>
          <w:rFonts w:eastAsia="SimSun"/>
          <w:lang w:eastAsia="zh-CN"/>
        </w:rPr>
      </w:pPr>
      <w:r w:rsidRPr="004D2DB6">
        <w:t>Le Zhang</w:t>
      </w:r>
      <w:r w:rsidRPr="004D2DB6">
        <w:rPr>
          <w:vertAlign w:val="superscript"/>
        </w:rPr>
        <w:t xml:space="preserve"> </w:t>
      </w:r>
      <w:r w:rsidRPr="004D2DB6">
        <w:rPr>
          <w:rFonts w:eastAsia="SimSun"/>
          <w:position w:val="11"/>
          <w:lang w:eastAsia="zh-CN"/>
        </w:rPr>
        <w:t>1</w:t>
      </w:r>
      <w:r w:rsidRPr="004D2DB6">
        <w:rPr>
          <w:position w:val="11"/>
        </w:rPr>
        <w:t>,</w:t>
      </w:r>
      <w:r w:rsidRPr="004D2DB6">
        <w:rPr>
          <w:rFonts w:eastAsia="SimSun"/>
          <w:position w:val="11"/>
          <w:lang w:eastAsia="zh-CN"/>
        </w:rPr>
        <w:t>2,</w:t>
      </w:r>
      <w:r w:rsidRPr="004D2DB6">
        <w:rPr>
          <w:position w:val="11"/>
        </w:rPr>
        <w:t>*</w:t>
      </w:r>
      <w:r w:rsidRPr="004D2DB6">
        <w:t>;</w:t>
      </w:r>
      <w:r w:rsidRPr="004D2DB6">
        <w:rPr>
          <w:rFonts w:eastAsia="SimSun"/>
          <w:lang w:eastAsia="zh-CN"/>
        </w:rPr>
        <w:t xml:space="preserve"> </w:t>
      </w:r>
      <w:r w:rsidR="00F93077" w:rsidRPr="004D2DB6">
        <w:t xml:space="preserve">Zhiwen Li </w:t>
      </w:r>
      <w:r w:rsidR="00F93077" w:rsidRPr="004D2DB6">
        <w:rPr>
          <w:rFonts w:eastAsia="SimSun"/>
          <w:position w:val="11"/>
          <w:lang w:eastAsia="zh-CN"/>
        </w:rPr>
        <w:t>1</w:t>
      </w:r>
      <w:r w:rsidR="00F93077" w:rsidRPr="004D2DB6">
        <w:rPr>
          <w:position w:val="11"/>
        </w:rPr>
        <w:t>,</w:t>
      </w:r>
      <w:r w:rsidR="00F93077" w:rsidRPr="004D2DB6">
        <w:rPr>
          <w:rFonts w:eastAsia="SimSun"/>
          <w:position w:val="11"/>
          <w:lang w:eastAsia="zh-CN"/>
        </w:rPr>
        <w:t>2,</w:t>
      </w:r>
      <w:r w:rsidR="00F93077" w:rsidRPr="004D2DB6">
        <w:rPr>
          <w:position w:val="11"/>
        </w:rPr>
        <w:t>*</w:t>
      </w:r>
      <w:r w:rsidR="00F93077" w:rsidRPr="004D2DB6">
        <w:t>;</w:t>
      </w:r>
    </w:p>
    <w:p w14:paraId="5030BEAE" w14:textId="77777777" w:rsidR="003A070B" w:rsidRPr="004D2DB6" w:rsidRDefault="003A070B" w:rsidP="003A070B">
      <w:pPr>
        <w:pStyle w:val="BodyText"/>
        <w:spacing w:line="360" w:lineRule="auto"/>
        <w:jc w:val="both"/>
      </w:pPr>
      <w:r w:rsidRPr="004D2DB6">
        <w:rPr>
          <w:rFonts w:eastAsia="SimSun"/>
          <w:position w:val="11"/>
          <w:lang w:eastAsia="zh-CN"/>
        </w:rPr>
        <w:t xml:space="preserve">1 </w:t>
      </w:r>
      <w:bookmarkStart w:id="1" w:name="OLE_LINK25"/>
      <w:r w:rsidRPr="004D2DB6">
        <w:t>Institute of Reproductive and Child</w:t>
      </w:r>
      <w:r w:rsidRPr="004D2DB6">
        <w:rPr>
          <w:rFonts w:eastAsia="SimSun"/>
          <w:lang w:eastAsia="zh-CN"/>
        </w:rPr>
        <w:t xml:space="preserve"> </w:t>
      </w:r>
      <w:r w:rsidRPr="004D2DB6">
        <w:t>Health</w:t>
      </w:r>
      <w:bookmarkEnd w:id="1"/>
      <w:r w:rsidRPr="004D2DB6">
        <w:t>/</w:t>
      </w:r>
      <w:r w:rsidRPr="004D2DB6">
        <w:rPr>
          <w:rFonts w:eastAsia="SimSun"/>
          <w:lang w:eastAsia="zh-CN"/>
        </w:rPr>
        <w:t xml:space="preserve">National Health Commission </w:t>
      </w:r>
      <w:r w:rsidRPr="004D2DB6">
        <w:t>Key Laboratory of</w:t>
      </w:r>
      <w:r w:rsidRPr="004D2DB6">
        <w:rPr>
          <w:rFonts w:eastAsia="SimSun"/>
          <w:lang w:eastAsia="zh-CN"/>
        </w:rPr>
        <w:t xml:space="preserve"> </w:t>
      </w:r>
      <w:r w:rsidRPr="004D2DB6">
        <w:t>Reproductive Health, Peking University Health Science Center, Beijing 100191, China</w:t>
      </w:r>
    </w:p>
    <w:p w14:paraId="790FF8BE" w14:textId="77777777" w:rsidR="003A070B" w:rsidRPr="004D2DB6" w:rsidRDefault="003A070B" w:rsidP="003A070B">
      <w:pPr>
        <w:pStyle w:val="BodyText"/>
        <w:spacing w:line="360" w:lineRule="auto"/>
        <w:jc w:val="both"/>
      </w:pPr>
      <w:r w:rsidRPr="004D2DB6">
        <w:rPr>
          <w:rFonts w:eastAsia="SimSun"/>
          <w:position w:val="11"/>
          <w:lang w:eastAsia="zh-CN"/>
        </w:rPr>
        <w:t xml:space="preserve">2 </w:t>
      </w:r>
      <w:r w:rsidRPr="004D2DB6">
        <w:t>Department of Epidemiology and Biostatistics, School of Public Health, Peking University Health Science Center, Beijing 100191, China</w:t>
      </w:r>
    </w:p>
    <w:p w14:paraId="74C68190" w14:textId="77777777" w:rsidR="003A070B" w:rsidRPr="004D2DB6" w:rsidRDefault="003A070B" w:rsidP="003A070B">
      <w:pPr>
        <w:pStyle w:val="BodyText"/>
        <w:spacing w:before="10" w:line="360" w:lineRule="auto"/>
        <w:jc w:val="both"/>
        <w:rPr>
          <w:rFonts w:eastAsia="SimSun"/>
          <w:b/>
          <w:lang w:eastAsia="zh-CN"/>
        </w:rPr>
      </w:pPr>
      <w:r w:rsidRPr="004D2DB6">
        <w:rPr>
          <w:b/>
        </w:rPr>
        <w:t>Corresponding authors:</w:t>
      </w:r>
    </w:p>
    <w:p w14:paraId="3C78A3F1" w14:textId="77777777" w:rsidR="00F93077" w:rsidRPr="004D2DB6" w:rsidRDefault="00F93077" w:rsidP="00F93077">
      <w:pPr>
        <w:pStyle w:val="BodyText"/>
        <w:tabs>
          <w:tab w:val="left" w:pos="4650"/>
        </w:tabs>
        <w:spacing w:line="360" w:lineRule="auto"/>
        <w:jc w:val="both"/>
        <w:rPr>
          <w:rStyle w:val="Hyperlink"/>
          <w:rFonts w:eastAsia="SimSun"/>
          <w:color w:val="auto"/>
          <w:lang w:eastAsia="zh-CN"/>
        </w:rPr>
      </w:pPr>
      <w:r w:rsidRPr="004D2DB6">
        <w:rPr>
          <w:rFonts w:eastAsia="SimSun"/>
          <w:lang w:eastAsia="zh-CN"/>
        </w:rPr>
        <w:t xml:space="preserve">Dr. </w:t>
      </w:r>
      <w:r w:rsidRPr="004D2DB6">
        <w:t xml:space="preserve">Le Zhang, 100191, Tel: (+86) 13693647500, Fax: (10)82801141, E-mail: </w:t>
      </w:r>
      <w:hyperlink r:id="rId10" w:history="1">
        <w:r w:rsidRPr="004D2DB6">
          <w:rPr>
            <w:rStyle w:val="Hyperlink"/>
            <w:rFonts w:eastAsia="SimSun"/>
            <w:color w:val="auto"/>
            <w:lang w:eastAsia="zh-CN"/>
          </w:rPr>
          <w:t>zhangle@bjmu.edu.cn</w:t>
        </w:r>
      </w:hyperlink>
      <w:r w:rsidRPr="004D2DB6">
        <w:rPr>
          <w:rStyle w:val="Hyperlink"/>
          <w:rFonts w:eastAsia="SimSun"/>
          <w:color w:val="auto"/>
          <w:lang w:eastAsia="zh-CN"/>
        </w:rPr>
        <w:t>;</w:t>
      </w:r>
    </w:p>
    <w:p w14:paraId="7E656AEB" w14:textId="527DF68A" w:rsidR="003A070B" w:rsidRPr="004D2DB6" w:rsidRDefault="003A070B" w:rsidP="003A070B">
      <w:pPr>
        <w:pStyle w:val="BodyText"/>
        <w:tabs>
          <w:tab w:val="left" w:pos="4650"/>
        </w:tabs>
        <w:spacing w:line="360" w:lineRule="auto"/>
        <w:jc w:val="both"/>
        <w:rPr>
          <w:rFonts w:eastAsia="SimSun"/>
          <w:lang w:eastAsia="zh-CN"/>
        </w:rPr>
      </w:pPr>
      <w:r w:rsidRPr="004D2DB6">
        <w:t xml:space="preserve">Dr. Zhiwen Li, 100191, Tel: (+86) 13611102419, Fax: (10)82801141, E-mail: </w:t>
      </w:r>
      <w:hyperlink r:id="rId11" w:history="1">
        <w:r w:rsidRPr="004D2DB6">
          <w:rPr>
            <w:rStyle w:val="Hyperlink"/>
            <w:rFonts w:eastAsia="SimSun"/>
            <w:color w:val="auto"/>
            <w:lang w:eastAsia="zh-CN"/>
          </w:rPr>
          <w:t>lizw</w:t>
        </w:r>
        <w:r w:rsidRPr="004D2DB6">
          <w:rPr>
            <w:rStyle w:val="Hyperlink"/>
            <w:color w:val="auto"/>
          </w:rPr>
          <w:t>@bjmu.edu.cn</w:t>
        </w:r>
      </w:hyperlink>
      <w:r w:rsidRPr="004D2DB6">
        <w:rPr>
          <w:rFonts w:eastAsia="SimSun"/>
          <w:lang w:eastAsia="zh-CN"/>
        </w:rPr>
        <w:t>;</w:t>
      </w:r>
    </w:p>
    <w:p w14:paraId="55939B15" w14:textId="77777777" w:rsidR="000C0280" w:rsidRPr="004D2DB6" w:rsidRDefault="000C0280" w:rsidP="003A070B">
      <w:pPr>
        <w:pStyle w:val="BodyText"/>
        <w:spacing w:line="360" w:lineRule="auto"/>
        <w:jc w:val="both"/>
      </w:pPr>
    </w:p>
    <w:p w14:paraId="1AB14B19" w14:textId="77777777" w:rsidR="000C0280" w:rsidRPr="004D2DB6" w:rsidRDefault="000C0280" w:rsidP="003A070B">
      <w:pPr>
        <w:pStyle w:val="BodyText"/>
        <w:spacing w:line="360" w:lineRule="auto"/>
        <w:jc w:val="both"/>
        <w:rPr>
          <w:rFonts w:eastAsia="SimSun"/>
          <w:lang w:eastAsia="zh-CN"/>
        </w:rPr>
      </w:pPr>
      <w:r w:rsidRPr="004D2DB6">
        <w:rPr>
          <w:rFonts w:eastAsia="SimSun"/>
          <w:lang w:eastAsia="zh-CN"/>
        </w:rPr>
        <w:t>Conflict of Interest: The authors declare they have no actual or potential competing financial interests</w:t>
      </w:r>
    </w:p>
    <w:p w14:paraId="1E9AC916" w14:textId="77777777" w:rsidR="00FF53B3" w:rsidRPr="004D2DB6" w:rsidRDefault="00FF53B3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33212404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196F6AD2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6261CB0F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5CB7F74F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18976B04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03F13FB7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5925F8FD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20CDF3E1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1811BCC8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7B84076A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131D67A5" w14:textId="77777777" w:rsidR="00D16425" w:rsidRPr="004D2DB6" w:rsidRDefault="00D16425" w:rsidP="003A070B">
      <w:pPr>
        <w:spacing w:line="360" w:lineRule="auto"/>
        <w:rPr>
          <w:rFonts w:ascii="Times New Roman" w:hAnsi="Times New Roman" w:cs="Times New Roman"/>
          <w:sz w:val="24"/>
        </w:rPr>
      </w:pPr>
    </w:p>
    <w:p w14:paraId="6A1DDB69" w14:textId="77777777" w:rsidR="003A070B" w:rsidRPr="004D2DB6" w:rsidRDefault="003A070B" w:rsidP="003A070B">
      <w:pPr>
        <w:spacing w:line="360" w:lineRule="auto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14:paraId="5EB3CF37" w14:textId="5DFDE746" w:rsidR="00F93077" w:rsidRPr="004D2DB6" w:rsidRDefault="00F93077" w:rsidP="00F9307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D2DB6">
        <w:rPr>
          <w:rFonts w:ascii="Times New Roman" w:hAnsi="Times New Roman" w:cs="Times New Roman"/>
          <w:sz w:val="24"/>
        </w:rPr>
        <w:lastRenderedPageBreak/>
        <w:t>Table S</w:t>
      </w:r>
      <w:r w:rsidR="002208AE" w:rsidRPr="004D2DB6">
        <w:rPr>
          <w:rFonts w:ascii="Times New Roman" w:hAnsi="Times New Roman" w:cs="Times New Roman"/>
          <w:sz w:val="24"/>
        </w:rPr>
        <w:t>1</w:t>
      </w:r>
      <w:r w:rsidRPr="004D2DB6">
        <w:rPr>
          <w:rFonts w:ascii="Times New Roman" w:hAnsi="Times New Roman" w:cs="Times New Roman"/>
          <w:sz w:val="24"/>
        </w:rPr>
        <w:t xml:space="preserve">. </w:t>
      </w:r>
      <w:bookmarkStart w:id="3" w:name="_Hlk31808977"/>
      <w:r w:rsidRPr="004D2DB6">
        <w:rPr>
          <w:rFonts w:ascii="Times New Roman" w:hAnsi="Times New Roman" w:cs="Times New Roman"/>
          <w:sz w:val="24"/>
        </w:rPr>
        <w:t xml:space="preserve">Percent </w:t>
      </w:r>
      <w:r w:rsidR="00F15190" w:rsidRPr="004D2DB6">
        <w:rPr>
          <w:rFonts w:ascii="Times New Roman" w:hAnsi="Times New Roman" w:cs="Times New Roman"/>
          <w:sz w:val="24"/>
        </w:rPr>
        <w:t xml:space="preserve">difference </w:t>
      </w:r>
      <w:r w:rsidRPr="004D2DB6">
        <w:rPr>
          <w:rFonts w:ascii="Times New Roman" w:hAnsi="Times New Roman" w:cs="Times New Roman"/>
          <w:sz w:val="24"/>
        </w:rPr>
        <w:t xml:space="preserve">(95%CI) in plasma folate </w:t>
      </w:r>
      <w:r w:rsidRPr="004D2DB6">
        <w:rPr>
          <w:rFonts w:ascii="Times New Roman" w:hAnsi="Times New Roman"/>
          <w:sz w:val="24"/>
          <w:szCs w:val="24"/>
        </w:rPr>
        <w:t>concentration</w:t>
      </w:r>
      <w:r w:rsidRPr="004D2DB6">
        <w:rPr>
          <w:rFonts w:ascii="Times New Roman" w:hAnsi="Times New Roman" w:cs="Times New Roman"/>
          <w:sz w:val="24"/>
        </w:rPr>
        <w:t xml:space="preserve"> caused by </w:t>
      </w:r>
      <w:bookmarkStart w:id="4" w:name="OLE_LINK36"/>
      <w:bookmarkStart w:id="5" w:name="OLE_LINK37"/>
      <w:r w:rsidRPr="004D2DB6">
        <w:rPr>
          <w:rFonts w:ascii="Times New Roman" w:hAnsi="Times New Roman" w:cs="Times New Roman"/>
          <w:sz w:val="24"/>
          <w:szCs w:val="24"/>
        </w:rPr>
        <w:t>unfermented</w:t>
      </w:r>
      <w:r w:rsidRPr="004D2DB6">
        <w:rPr>
          <w:rFonts w:ascii="Times New Roman" w:hAnsi="Times New Roman" w:cs="Times New Roman"/>
          <w:sz w:val="24"/>
        </w:rPr>
        <w:t xml:space="preserve"> tea</w:t>
      </w:r>
      <w:bookmarkEnd w:id="4"/>
      <w:bookmarkEnd w:id="5"/>
      <w:r w:rsidRPr="004D2DB6">
        <w:rPr>
          <w:rFonts w:ascii="Times New Roman" w:hAnsi="Times New Roman" w:cs="Times New Roman"/>
          <w:sz w:val="24"/>
        </w:rPr>
        <w:t xml:space="preserve"> drinking </w:t>
      </w:r>
      <w:bookmarkStart w:id="6" w:name="OLE_LINK35"/>
      <w:r w:rsidRPr="004D2DB6">
        <w:rPr>
          <w:rFonts w:ascii="Times New Roman" w:hAnsi="Times New Roman" w:cs="Times New Roman"/>
          <w:sz w:val="24"/>
        </w:rPr>
        <w:t xml:space="preserve">in Han </w:t>
      </w:r>
      <w:r w:rsidRPr="004D2DB6">
        <w:rPr>
          <w:rFonts w:ascii="Times New Roman" w:hAnsi="Times New Roman" w:cs="Times New Roman"/>
          <w:sz w:val="24"/>
          <w:szCs w:val="24"/>
        </w:rPr>
        <w:t>group</w:t>
      </w:r>
      <w:bookmarkEnd w:id="3"/>
      <w:bookmarkEnd w:id="6"/>
      <w:r w:rsidR="001636B3" w:rsidRPr="004D2DB6">
        <w:rPr>
          <w:rFonts w:ascii="Times New Roman" w:hAnsi="Times New Roman" w:cs="Times New Roman"/>
          <w:sz w:val="24"/>
          <w:szCs w:val="24"/>
        </w:rPr>
        <w:t xml:space="preserve"> </w:t>
      </w:r>
      <w:r w:rsidR="001636B3" w:rsidRPr="004D2DB6">
        <w:rPr>
          <w:rFonts w:ascii="Times New Roman" w:hAnsi="Times New Roman" w:cs="Times New Roman"/>
          <w:sz w:val="24"/>
        </w:rPr>
        <w:t>(%)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985"/>
        <w:gridCol w:w="2897"/>
        <w:gridCol w:w="2942"/>
      </w:tblGrid>
      <w:tr w:rsidR="004D2DB6" w:rsidRPr="004D2DB6" w14:paraId="34D1DCC0" w14:textId="77777777" w:rsidTr="00D865A0">
        <w:trPr>
          <w:divId w:val="1578827991"/>
          <w:trHeight w:val="280"/>
        </w:trPr>
        <w:tc>
          <w:tcPr>
            <w:tcW w:w="9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6E963" w14:textId="74154A2A" w:rsidR="00F93077" w:rsidRPr="004D2DB6" w:rsidRDefault="00F93077" w:rsidP="00F9307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D2DB6">
              <w:rPr>
                <w:rFonts w:ascii="Times New Roman" w:hAnsi="Times New Roman" w:cs="Times New Roman" w:hint="eastAsia"/>
                <w:sz w:val="24"/>
              </w:rPr>
              <w:t>T</w:t>
            </w:r>
            <w:r w:rsidRPr="004D2DB6">
              <w:rPr>
                <w:rFonts w:ascii="Times New Roman" w:hAnsi="Times New Roman" w:cs="Times New Roman"/>
                <w:sz w:val="24"/>
              </w:rPr>
              <w:t>ea drinking</w:t>
            </w:r>
          </w:p>
        </w:tc>
        <w:tc>
          <w:tcPr>
            <w:tcW w:w="10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469DB" w14:textId="22F65714" w:rsidR="00F93077" w:rsidRPr="004D2DB6" w:rsidRDefault="00F93077" w:rsidP="00F93077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 xml:space="preserve">Percent </w:t>
            </w:r>
            <w:r w:rsidR="00F15190" w:rsidRPr="004D2DB6">
              <w:rPr>
                <w:rFonts w:ascii="Times New Roman" w:hAnsi="Times New Roman" w:cs="Times New Roman"/>
                <w:sz w:val="24"/>
              </w:rPr>
              <w:t>difference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DF02A" w14:textId="0EB312DD" w:rsidR="00F93077" w:rsidRPr="004D2DB6" w:rsidRDefault="00F93077" w:rsidP="00F93077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hAnsi="Times New Roman"/>
                <w:sz w:val="24"/>
                <w:szCs w:val="24"/>
              </w:rPr>
              <w:t>95%CILower bound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373E4" w14:textId="06E75B77" w:rsidR="00F93077" w:rsidRPr="004D2DB6" w:rsidRDefault="00F93077" w:rsidP="00F93077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hAnsi="Times New Roman"/>
                <w:sz w:val="24"/>
                <w:szCs w:val="24"/>
              </w:rPr>
              <w:t>95%CI Upper bound</w:t>
            </w:r>
          </w:p>
        </w:tc>
      </w:tr>
      <w:tr w:rsidR="004D2DB6" w:rsidRPr="004D2DB6" w14:paraId="3F9C1F07" w14:textId="77777777" w:rsidTr="00D865A0">
        <w:trPr>
          <w:divId w:val="1578827991"/>
          <w:trHeight w:val="280"/>
        </w:trPr>
        <w:tc>
          <w:tcPr>
            <w:tcW w:w="94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B2B03" w14:textId="2ACF78F4" w:rsidR="00F93077" w:rsidRPr="004D2DB6" w:rsidRDefault="00F93077" w:rsidP="00F93077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4D2DB6">
              <w:rPr>
                <w:rFonts w:ascii="Times New Roman" w:hAnsi="Times New Roman" w:cs="Times New Roman"/>
                <w:sz w:val="24"/>
              </w:rPr>
              <w:t>None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DC844" w14:textId="745FF451" w:rsidR="00F93077" w:rsidRPr="004D2DB6" w:rsidRDefault="00F93077" w:rsidP="00F93077">
            <w:pPr>
              <w:rPr>
                <w:rFonts w:ascii="Times New Roman" w:hAnsi="Times New Roman" w:cs="Times New Roman"/>
                <w:sz w:val="24"/>
              </w:rPr>
            </w:pPr>
            <w:r w:rsidRPr="004D2DB6">
              <w:rPr>
                <w:rFonts w:ascii="Times New Roman" w:hAnsi="Times New Roman" w:cs="Times New Roman"/>
                <w:sz w:val="24"/>
              </w:rPr>
              <w:t>R</w:t>
            </w:r>
            <w:r w:rsidRPr="004D2DB6">
              <w:rPr>
                <w:rFonts w:ascii="Times New Roman" w:eastAsia="DengXian" w:hAnsi="Times New Roman" w:cs="Times New Roman"/>
                <w:sz w:val="22"/>
              </w:rPr>
              <w:t>ef</w:t>
            </w:r>
          </w:p>
        </w:tc>
        <w:tc>
          <w:tcPr>
            <w:tcW w:w="150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898B1" w14:textId="202CB2CD" w:rsidR="00F93077" w:rsidRPr="004D2DB6" w:rsidRDefault="00F93077" w:rsidP="00F93077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Ref</w:t>
            </w:r>
          </w:p>
        </w:tc>
        <w:tc>
          <w:tcPr>
            <w:tcW w:w="152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6B3CA" w14:textId="6DD4212F" w:rsidR="00F93077" w:rsidRPr="004D2DB6" w:rsidRDefault="00F93077" w:rsidP="00F93077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Ref</w:t>
            </w:r>
          </w:p>
        </w:tc>
      </w:tr>
      <w:tr w:rsidR="004D2DB6" w:rsidRPr="004D2DB6" w14:paraId="0CA25823" w14:textId="77777777" w:rsidTr="00D865A0">
        <w:trPr>
          <w:divId w:val="1578827991"/>
          <w:trHeight w:val="280"/>
        </w:trPr>
        <w:tc>
          <w:tcPr>
            <w:tcW w:w="9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E9361" w14:textId="58E2973C" w:rsidR="00D865A0" w:rsidRPr="004D2DB6" w:rsidRDefault="00D865A0" w:rsidP="00D865A0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Weekly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8E414" w14:textId="6CA29910" w:rsidR="00D865A0" w:rsidRPr="004D2DB6" w:rsidRDefault="00D865A0" w:rsidP="00D865A0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6.77%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2A637" w14:textId="36AD9719" w:rsidR="00D865A0" w:rsidRPr="004D2DB6" w:rsidRDefault="00D865A0" w:rsidP="00D865A0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6.36%</w:t>
            </w: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F4260" w14:textId="24353170" w:rsidR="00D865A0" w:rsidRPr="004D2DB6" w:rsidRDefault="00D865A0" w:rsidP="00D865A0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7.21%</w:t>
            </w:r>
          </w:p>
        </w:tc>
      </w:tr>
      <w:tr w:rsidR="004D2DB6" w:rsidRPr="004D2DB6" w14:paraId="794190B1" w14:textId="77777777" w:rsidTr="00D865A0">
        <w:trPr>
          <w:divId w:val="1578827991"/>
          <w:trHeight w:val="280"/>
        </w:trPr>
        <w:tc>
          <w:tcPr>
            <w:tcW w:w="94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BE279" w14:textId="6C286B79" w:rsidR="00D865A0" w:rsidRPr="004D2DB6" w:rsidRDefault="00D865A0" w:rsidP="00D865A0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daily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C18CC" w14:textId="19A864D6" w:rsidR="00D865A0" w:rsidRPr="004D2DB6" w:rsidRDefault="00D865A0" w:rsidP="00D865A0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7.13%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FFF9C" w14:textId="3195F70B" w:rsidR="00D865A0" w:rsidRPr="004D2DB6" w:rsidRDefault="00D865A0" w:rsidP="00D865A0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6.40%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DD1AD" w14:textId="054836B6" w:rsidR="00D865A0" w:rsidRPr="004D2DB6" w:rsidRDefault="00D865A0" w:rsidP="00D865A0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D2DB6">
              <w:rPr>
                <w:rFonts w:ascii="Times New Roman" w:eastAsia="DengXian" w:hAnsi="Times New Roman" w:cs="Times New Roman"/>
                <w:sz w:val="22"/>
              </w:rPr>
              <w:t>7.96%</w:t>
            </w:r>
          </w:p>
        </w:tc>
      </w:tr>
    </w:tbl>
    <w:p w14:paraId="66F0B971" w14:textId="7EE741AF" w:rsidR="00F93077" w:rsidRPr="004D2DB6" w:rsidRDefault="00F15190" w:rsidP="00F15190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D2DB6">
        <w:rPr>
          <w:rFonts w:ascii="Times New Roman" w:hAnsi="Times New Roman" w:cs="Times New Roman"/>
          <w:sz w:val="24"/>
        </w:rPr>
        <w:t>Note: Percent difference was calculated using the following formula: {EXP(β)/</w:t>
      </w:r>
      <w:r w:rsidR="00D865A0" w:rsidRPr="004D2DB6">
        <w:rPr>
          <w:rFonts w:ascii="Times New Roman" w:hAnsi="Times New Roman" w:cs="Times New Roman"/>
          <w:sz w:val="24"/>
        </w:rPr>
        <w:t>15.79</w:t>
      </w:r>
      <w:r w:rsidRPr="004D2DB6">
        <w:rPr>
          <w:rFonts w:ascii="Times New Roman" w:hAnsi="Times New Roman" w:cs="Times New Roman"/>
          <w:sz w:val="24"/>
        </w:rPr>
        <w:t xml:space="preserve">×100}, where β is the coefficient from linear regression models in which the plasma folate </w:t>
      </w:r>
      <w:r w:rsidRPr="004D2DB6">
        <w:rPr>
          <w:rFonts w:ascii="Times New Roman" w:hAnsi="Times New Roman"/>
          <w:sz w:val="24"/>
          <w:szCs w:val="24"/>
        </w:rPr>
        <w:t>concentration</w:t>
      </w:r>
      <w:r w:rsidRPr="004D2DB6">
        <w:rPr>
          <w:rFonts w:ascii="Times New Roman" w:hAnsi="Times New Roman" w:cs="Times New Roman"/>
          <w:sz w:val="24"/>
        </w:rPr>
        <w:t xml:space="preserve"> was natural log-transformed, and </w:t>
      </w:r>
      <w:r w:rsidR="00D865A0" w:rsidRPr="004D2DB6">
        <w:rPr>
          <w:rFonts w:ascii="Times New Roman" w:hAnsi="Times New Roman" w:cs="Times New Roman"/>
          <w:sz w:val="24"/>
        </w:rPr>
        <w:t>15.79</w:t>
      </w:r>
      <w:r w:rsidRPr="004D2DB6">
        <w:rPr>
          <w:rFonts w:ascii="Times New Roman" w:hAnsi="Times New Roman" w:cs="Times New Roman"/>
          <w:sz w:val="24"/>
        </w:rPr>
        <w:t xml:space="preserve"> was </w:t>
      </w:r>
      <w:r w:rsidR="00243335" w:rsidRPr="004D2DB6">
        <w:rPr>
          <w:rFonts w:ascii="Times New Roman" w:hAnsi="Times New Roman" w:cs="Times New Roman"/>
          <w:sz w:val="24"/>
        </w:rPr>
        <w:t>t</w:t>
      </w:r>
      <w:r w:rsidR="00243335" w:rsidRPr="004D2DB6">
        <w:rPr>
          <w:rFonts w:ascii="Times New Roman" w:hAnsi="Times New Roman"/>
          <w:sz w:val="24"/>
          <w:szCs w:val="24"/>
        </w:rPr>
        <w:t xml:space="preserve">he geometric mean of plasma folate concentration who </w:t>
      </w:r>
      <w:r w:rsidR="00D865A0" w:rsidRPr="004D2DB6">
        <w:rPr>
          <w:rFonts w:ascii="Times New Roman" w:hAnsi="Times New Roman"/>
          <w:sz w:val="24"/>
          <w:szCs w:val="24"/>
        </w:rPr>
        <w:t>did not drink tea</w:t>
      </w:r>
      <w:r w:rsidR="00243335" w:rsidRPr="004D2DB6">
        <w:rPr>
          <w:rFonts w:ascii="Times New Roman" w:hAnsi="Times New Roman"/>
          <w:sz w:val="24"/>
          <w:szCs w:val="24"/>
        </w:rPr>
        <w:t xml:space="preserve"> </w:t>
      </w:r>
      <w:r w:rsidR="00243335" w:rsidRPr="004D2DB6">
        <w:rPr>
          <w:rFonts w:ascii="Times New Roman" w:hAnsi="Times New Roman" w:cs="Times New Roman"/>
          <w:sz w:val="24"/>
        </w:rPr>
        <w:t xml:space="preserve">in Han </w:t>
      </w:r>
      <w:r w:rsidR="00243335" w:rsidRPr="004D2DB6">
        <w:rPr>
          <w:rFonts w:ascii="Times New Roman" w:hAnsi="Times New Roman" w:cs="Times New Roman"/>
          <w:sz w:val="24"/>
          <w:szCs w:val="24"/>
        </w:rPr>
        <w:t>group.</w:t>
      </w:r>
    </w:p>
    <w:sectPr w:rsidR="00F93077" w:rsidRPr="004D2DB6" w:rsidSect="003A07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5894" w14:textId="77777777" w:rsidR="00B061F1" w:rsidRDefault="00B061F1" w:rsidP="00FF53B3">
      <w:r>
        <w:separator/>
      </w:r>
    </w:p>
  </w:endnote>
  <w:endnote w:type="continuationSeparator" w:id="0">
    <w:p w14:paraId="6D9F9A58" w14:textId="77777777" w:rsidR="00B061F1" w:rsidRDefault="00B061F1" w:rsidP="00FF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8AF23" w14:textId="77777777" w:rsidR="00B061F1" w:rsidRDefault="00B061F1" w:rsidP="00FF53B3">
      <w:r>
        <w:separator/>
      </w:r>
    </w:p>
  </w:footnote>
  <w:footnote w:type="continuationSeparator" w:id="0">
    <w:p w14:paraId="7CC0D4B5" w14:textId="77777777" w:rsidR="00B061F1" w:rsidRDefault="00B061F1" w:rsidP="00FF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F2"/>
    <w:rsid w:val="0008351F"/>
    <w:rsid w:val="00096ACF"/>
    <w:rsid w:val="000C0280"/>
    <w:rsid w:val="001636B3"/>
    <w:rsid w:val="0019261A"/>
    <w:rsid w:val="00207C29"/>
    <w:rsid w:val="002208AE"/>
    <w:rsid w:val="00243335"/>
    <w:rsid w:val="00313AF1"/>
    <w:rsid w:val="00375B13"/>
    <w:rsid w:val="00395CCE"/>
    <w:rsid w:val="003A070B"/>
    <w:rsid w:val="003A4633"/>
    <w:rsid w:val="00442EF2"/>
    <w:rsid w:val="00481F93"/>
    <w:rsid w:val="004D2DB6"/>
    <w:rsid w:val="0050532A"/>
    <w:rsid w:val="005B7072"/>
    <w:rsid w:val="00603BDB"/>
    <w:rsid w:val="00623DFE"/>
    <w:rsid w:val="006426D0"/>
    <w:rsid w:val="0066457B"/>
    <w:rsid w:val="006842B8"/>
    <w:rsid w:val="00791E40"/>
    <w:rsid w:val="008E7678"/>
    <w:rsid w:val="00924064"/>
    <w:rsid w:val="00945CF8"/>
    <w:rsid w:val="00AD0E73"/>
    <w:rsid w:val="00AF06E4"/>
    <w:rsid w:val="00AF662B"/>
    <w:rsid w:val="00B061F1"/>
    <w:rsid w:val="00C04208"/>
    <w:rsid w:val="00C32CB5"/>
    <w:rsid w:val="00D16425"/>
    <w:rsid w:val="00D85563"/>
    <w:rsid w:val="00D865A0"/>
    <w:rsid w:val="00E040D3"/>
    <w:rsid w:val="00E31F75"/>
    <w:rsid w:val="00EA2D8B"/>
    <w:rsid w:val="00F15190"/>
    <w:rsid w:val="00F93077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32D6C6"/>
  <w15:chartTrackingRefBased/>
  <w15:docId w15:val="{15EE98DC-CB95-4435-BBD7-0EA67973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53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53B3"/>
    <w:rPr>
      <w:sz w:val="18"/>
      <w:szCs w:val="18"/>
    </w:rPr>
  </w:style>
  <w:style w:type="table" w:styleId="LightShading">
    <w:name w:val="Light Shading"/>
    <w:basedOn w:val="TableNormal"/>
    <w:uiPriority w:val="60"/>
    <w:rsid w:val="00FF53B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1642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16425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D16425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Char">
    <w:name w:val="正文文本 Char"/>
    <w:uiPriority w:val="1"/>
    <w:semiHidden/>
    <w:qFormat/>
    <w:rsid w:val="003A070B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93077"/>
    <w:rPr>
      <w:rFonts w:asciiTheme="majorHAnsi" w:eastAsia="SimHei" w:hAnsiTheme="majorHAnsi" w:cstheme="majorBidi"/>
      <w:sz w:val="20"/>
      <w:szCs w:val="20"/>
    </w:rPr>
  </w:style>
  <w:style w:type="table" w:styleId="TableGrid">
    <w:name w:val="Table Grid"/>
    <w:basedOn w:val="TableNormal"/>
    <w:uiPriority w:val="39"/>
    <w:rsid w:val="00F9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zw@bjmu.edu.cn" TargetMode="External"/><Relationship Id="rId5" Type="http://schemas.openxmlformats.org/officeDocument/2006/relationships/styles" Target="styles.xml"/><Relationship Id="rId10" Type="http://schemas.openxmlformats.org/officeDocument/2006/relationships/hyperlink" Target="mailto:zhangle@bjmu.edu.c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86E2-5849-4E12-AA9B-E250378F9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D1013-8332-4D94-8A0F-9F44A3EC7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D021C-5830-442C-BDA4-36B4DF391B1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4a7236-42d0-4b59-9a8f-b62230abe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B5F151-6CF1-4A3B-B55F-12BD355C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Alice Gooch</cp:lastModifiedBy>
  <cp:revision>2</cp:revision>
  <dcterms:created xsi:type="dcterms:W3CDTF">2020-11-24T09:37:00Z</dcterms:created>
  <dcterms:modified xsi:type="dcterms:W3CDTF">2020-11-24T09:37:00Z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