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E5F1C" w14:textId="77777777" w:rsidR="00AB33F1" w:rsidRPr="00523FDE" w:rsidRDefault="00AB33F1" w:rsidP="00523FDE">
      <w:pPr>
        <w:tabs>
          <w:tab w:val="left" w:pos="2271"/>
        </w:tabs>
        <w:spacing w:line="360" w:lineRule="auto"/>
        <w:jc w:val="center"/>
        <w:rPr>
          <w:rFonts w:ascii="Times New Roman" w:hAnsi="Times New Roman" w:cs="Times New Roman"/>
          <w:b/>
          <w:sz w:val="28"/>
          <w:szCs w:val="28"/>
        </w:rPr>
      </w:pPr>
      <w:r w:rsidRPr="00523FDE">
        <w:rPr>
          <w:rFonts w:ascii="Times New Roman" w:hAnsi="Times New Roman" w:cs="Times New Roman"/>
          <w:b/>
          <w:sz w:val="28"/>
          <w:szCs w:val="28"/>
        </w:rPr>
        <w:t>Changing landscape of nutrition and dietetics research? A bibliographic analysis of top-tier published research in 1998 and 2018</w:t>
      </w:r>
    </w:p>
    <w:p w14:paraId="319BDAB3" w14:textId="7CFE068D" w:rsidR="00AB33F1" w:rsidRDefault="00F62B88" w:rsidP="00B25C47">
      <w:pPr>
        <w:jc w:val="center"/>
        <w:rPr>
          <w:rFonts w:ascii="Times New Roman" w:hAnsi="Times New Roman" w:cs="Times New Roman"/>
          <w:b/>
          <w:sz w:val="24"/>
          <w:szCs w:val="24"/>
        </w:rPr>
      </w:pPr>
      <w:r w:rsidRPr="00523FDE">
        <w:rPr>
          <w:rFonts w:ascii="Times New Roman" w:hAnsi="Times New Roman" w:cs="Times New Roman"/>
          <w:b/>
          <w:sz w:val="24"/>
          <w:szCs w:val="24"/>
        </w:rPr>
        <w:t xml:space="preserve">Supplementary </w:t>
      </w:r>
      <w:r w:rsidR="00AB33F1" w:rsidRPr="00523FDE">
        <w:rPr>
          <w:rFonts w:ascii="Times New Roman" w:hAnsi="Times New Roman" w:cs="Times New Roman"/>
          <w:b/>
          <w:sz w:val="24"/>
          <w:szCs w:val="24"/>
        </w:rPr>
        <w:t>information</w:t>
      </w:r>
    </w:p>
    <w:p w14:paraId="384E423D" w14:textId="77777777" w:rsidR="00B25C47" w:rsidRPr="00B25C47" w:rsidRDefault="00B25C47" w:rsidP="00B25C47">
      <w:pPr>
        <w:jc w:val="center"/>
        <w:rPr>
          <w:rFonts w:ascii="Times New Roman" w:hAnsi="Times New Roman" w:cs="Times New Roman"/>
          <w:b/>
          <w:sz w:val="24"/>
          <w:szCs w:val="24"/>
        </w:rPr>
      </w:pPr>
    </w:p>
    <w:p w14:paraId="31049AB2" w14:textId="77777777" w:rsidR="00F62B88" w:rsidRPr="00B60632" w:rsidRDefault="00085CA7" w:rsidP="00F62B88">
      <w:pPr>
        <w:jc w:val="both"/>
        <w:rPr>
          <w:rFonts w:ascii="Times New Roman" w:hAnsi="Times New Roman" w:cs="Times New Roman"/>
        </w:rPr>
      </w:pPr>
      <w:r w:rsidRPr="00B60632">
        <w:rPr>
          <w:rFonts w:ascii="Times New Roman" w:hAnsi="Times New Roman" w:cs="Times New Roman"/>
          <w:b/>
        </w:rPr>
        <w:t>Table S1</w:t>
      </w:r>
      <w:r w:rsidR="00F62B88" w:rsidRPr="00B60632">
        <w:rPr>
          <w:rFonts w:ascii="Times New Roman" w:hAnsi="Times New Roman" w:cs="Times New Roman"/>
          <w:b/>
        </w:rPr>
        <w:t>. Study Type</w:t>
      </w:r>
      <w:r w:rsidR="00B921C8" w:rsidRPr="00B60632">
        <w:rPr>
          <w:rFonts w:ascii="Times New Roman" w:hAnsi="Times New Roman" w:cs="Times New Roman"/>
          <w:b/>
        </w:rPr>
        <w:t xml:space="preserve"> </w:t>
      </w:r>
      <w:r w:rsidR="00F62B88" w:rsidRPr="00B60632">
        <w:rPr>
          <w:rFonts w:ascii="Times New Roman" w:hAnsi="Times New Roman" w:cs="Times New Roman"/>
          <w:b/>
          <w:vertAlign w:val="superscript"/>
        </w:rPr>
        <w:t>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F62B88" w:rsidRPr="00B60632" w14:paraId="32D66855" w14:textId="77777777" w:rsidTr="00385AA3">
        <w:tc>
          <w:tcPr>
            <w:tcW w:w="1413" w:type="dxa"/>
          </w:tcPr>
          <w:p w14:paraId="18AF7655"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Study Type</w:t>
            </w:r>
          </w:p>
        </w:tc>
        <w:tc>
          <w:tcPr>
            <w:tcW w:w="7603" w:type="dxa"/>
          </w:tcPr>
          <w:p w14:paraId="1E5B624A"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 xml:space="preserve">Description </w:t>
            </w:r>
          </w:p>
        </w:tc>
      </w:tr>
      <w:tr w:rsidR="00F62B88" w:rsidRPr="00B60632" w14:paraId="0965AC26" w14:textId="77777777" w:rsidTr="00385AA3">
        <w:tc>
          <w:tcPr>
            <w:tcW w:w="1413" w:type="dxa"/>
          </w:tcPr>
          <w:p w14:paraId="666D483D"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Descriptive Study</w:t>
            </w:r>
          </w:p>
        </w:tc>
        <w:tc>
          <w:tcPr>
            <w:tcW w:w="7603" w:type="dxa"/>
          </w:tcPr>
          <w:p w14:paraId="09793151"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Papers exploring frequency, patterns or predictors of behaviours (e.g. alcohol use, smoking, PA), or related variables such as knowledge, attitudes, healthcare practices, policy or legislation. These can include epidemiologic studies examining frequency or patterns of risk factors and how these may be related to disease at a community or population level.</w:t>
            </w:r>
          </w:p>
        </w:tc>
      </w:tr>
      <w:tr w:rsidR="00F62B88" w:rsidRPr="00B60632" w14:paraId="43655D6B" w14:textId="77777777" w:rsidTr="00385AA3">
        <w:tc>
          <w:tcPr>
            <w:tcW w:w="1413" w:type="dxa"/>
          </w:tcPr>
          <w:p w14:paraId="1C89D85E"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Measurement Study</w:t>
            </w:r>
          </w:p>
        </w:tc>
        <w:tc>
          <w:tcPr>
            <w:tcW w:w="7603" w:type="dxa"/>
          </w:tcPr>
          <w:p w14:paraId="6F3E4837"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Papers developed or examining the qualities of a measurement instrument such as reliability, validity or acceptability. Data collection methods include the use of questionnaires, interviews, physiological assessments and observations</w:t>
            </w:r>
          </w:p>
        </w:tc>
      </w:tr>
      <w:tr w:rsidR="00F62B88" w:rsidRPr="00B60632" w14:paraId="26661E94" w14:textId="77777777" w:rsidTr="00385AA3">
        <w:trPr>
          <w:trHeight w:val="991"/>
        </w:trPr>
        <w:tc>
          <w:tcPr>
            <w:tcW w:w="1413" w:type="dxa"/>
          </w:tcPr>
          <w:p w14:paraId="22BD9A07"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Intervention Study</w:t>
            </w:r>
          </w:p>
        </w:tc>
        <w:tc>
          <w:tcPr>
            <w:tcW w:w="7603" w:type="dxa"/>
          </w:tcPr>
          <w:p w14:paraId="5ECAD54F"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Papers testing the effectiveness of interventions to modify preventative health risk behaviours and/or the implementation of best practices by healthcare professionals. Intervention publications were defined by the research aims rather than the study design or type of intervention.</w:t>
            </w:r>
          </w:p>
        </w:tc>
      </w:tr>
    </w:tbl>
    <w:p w14:paraId="36AFD64E" w14:textId="77777777" w:rsidR="00F62B88" w:rsidRPr="00B60632" w:rsidRDefault="00F62B88" w:rsidP="00F62B88">
      <w:pPr>
        <w:tabs>
          <w:tab w:val="left" w:pos="2271"/>
        </w:tabs>
        <w:rPr>
          <w:rFonts w:ascii="Times New Roman" w:hAnsi="Times New Roman" w:cs="Times New Roman"/>
          <w:b/>
        </w:rPr>
      </w:pPr>
    </w:p>
    <w:p w14:paraId="12BD2D34" w14:textId="77777777" w:rsidR="00F62B88" w:rsidRPr="00B60632" w:rsidRDefault="00F62B88" w:rsidP="00B60632">
      <w:pPr>
        <w:tabs>
          <w:tab w:val="left" w:pos="2271"/>
        </w:tabs>
        <w:spacing w:line="240" w:lineRule="auto"/>
        <w:rPr>
          <w:rFonts w:ascii="Times New Roman" w:hAnsi="Times New Roman" w:cs="Times New Roman"/>
          <w:b/>
        </w:rPr>
      </w:pPr>
      <w:r w:rsidRPr="00B60632">
        <w:rPr>
          <w:rFonts w:ascii="Times New Roman" w:hAnsi="Times New Roman" w:cs="Times New Roman"/>
          <w:b/>
        </w:rPr>
        <w:t xml:space="preserve">Table </w:t>
      </w:r>
      <w:r w:rsidR="00085CA7" w:rsidRPr="00B60632">
        <w:rPr>
          <w:rFonts w:ascii="Times New Roman" w:hAnsi="Times New Roman" w:cs="Times New Roman"/>
          <w:b/>
        </w:rPr>
        <w:t>S</w:t>
      </w:r>
      <w:r w:rsidRPr="00B60632">
        <w:rPr>
          <w:rFonts w:ascii="Times New Roman" w:hAnsi="Times New Roman" w:cs="Times New Roman"/>
          <w:b/>
        </w:rPr>
        <w:t>2. Study Design definitions as per NHMRC definitions</w:t>
      </w:r>
      <w:r w:rsidR="00B921C8" w:rsidRPr="00B60632">
        <w:rPr>
          <w:rFonts w:ascii="Times New Roman" w:hAnsi="Times New Roman" w:cs="Times New Roman"/>
          <w:b/>
        </w:rPr>
        <w:t xml:space="preserve"> </w:t>
      </w:r>
      <w:r w:rsidRPr="00B60632">
        <w:rPr>
          <w:rFonts w:ascii="Times New Roman" w:hAnsi="Times New Roman" w:cs="Times New Roman"/>
          <w:b/>
          <w:vertAlign w:val="superscript"/>
        </w:rPr>
        <w:t>2</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F62B88" w:rsidRPr="00B60632" w14:paraId="0A090390" w14:textId="77777777" w:rsidTr="00385AA3">
        <w:tc>
          <w:tcPr>
            <w:tcW w:w="1413" w:type="dxa"/>
          </w:tcPr>
          <w:p w14:paraId="7E7BE693"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Systematic review/meta-analysis</w:t>
            </w:r>
          </w:p>
        </w:tc>
        <w:tc>
          <w:tcPr>
            <w:tcW w:w="7603" w:type="dxa"/>
          </w:tcPr>
          <w:p w14:paraId="72498890"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 xml:space="preserve">A systematic review involves systematic location, appraisal and synthesis of evidence from scientific studies. Meta-analysis is the pooled measure of effect from the studies included in the systematic review. </w:t>
            </w:r>
          </w:p>
        </w:tc>
      </w:tr>
      <w:tr w:rsidR="00F62B88" w:rsidRPr="00B60632" w14:paraId="02B92722" w14:textId="77777777" w:rsidTr="00385AA3">
        <w:tc>
          <w:tcPr>
            <w:tcW w:w="1413" w:type="dxa"/>
          </w:tcPr>
          <w:p w14:paraId="16DA598C"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Review</w:t>
            </w:r>
          </w:p>
        </w:tc>
        <w:tc>
          <w:tcPr>
            <w:tcW w:w="7603" w:type="dxa"/>
          </w:tcPr>
          <w:p w14:paraId="51AA061B" w14:textId="42A2681B"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Involves the non-systematic synthesis of evidence from scientific studies</w:t>
            </w:r>
            <w:r w:rsidR="00004A65" w:rsidRPr="00B60632">
              <w:rPr>
                <w:rFonts w:ascii="Times New Roman" w:hAnsi="Times New Roman" w:cs="Times New Roman"/>
                <w:sz w:val="18"/>
                <w:szCs w:val="18"/>
              </w:rPr>
              <w:t>.</w:t>
            </w:r>
          </w:p>
        </w:tc>
      </w:tr>
      <w:tr w:rsidR="00F62B88" w:rsidRPr="00B60632" w14:paraId="4E77D990" w14:textId="77777777" w:rsidTr="00385AA3">
        <w:tc>
          <w:tcPr>
            <w:tcW w:w="1413" w:type="dxa"/>
          </w:tcPr>
          <w:p w14:paraId="141EF75B"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Randomised controlled trial</w:t>
            </w:r>
          </w:p>
        </w:tc>
        <w:tc>
          <w:tcPr>
            <w:tcW w:w="7603" w:type="dxa"/>
          </w:tcPr>
          <w:p w14:paraId="030413CA"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Unit of experimentation is allocated to either an intervention group or a control group, using a random mechanism (e.g. coin toss, random number table, computer-generate random numbers) and the outcomes from each group are compared. For this review, RCTs also include pseudo-randomised controlled trials which is where the unit of experimentation is allocated to either an intervention group or control group, using a pseudo-random method (e.g. alternative allocation, allocation by days of the week or odd-even study numbers) and the outcomes from each group are compared.</w:t>
            </w:r>
          </w:p>
        </w:tc>
      </w:tr>
      <w:tr w:rsidR="00F62B88" w:rsidRPr="00B60632" w14:paraId="4624A229" w14:textId="77777777" w:rsidTr="00385AA3">
        <w:tc>
          <w:tcPr>
            <w:tcW w:w="1413" w:type="dxa"/>
          </w:tcPr>
          <w:p w14:paraId="66E25775"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Non-randomised controlled trial</w:t>
            </w:r>
          </w:p>
        </w:tc>
        <w:tc>
          <w:tcPr>
            <w:tcW w:w="7603" w:type="dxa"/>
          </w:tcPr>
          <w:p w14:paraId="144214CC"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The unit of experimentation is allocated to either an intervention group or a control group, using a non-random method (such as patient or clinician preference/availability) and the outcomes from each group as compared. This can include a controlled before-and-after study, where the outcome measurements are taken before and after the intervention is introduced, and compared at the same time point to outcome measures in the (control) group. Can also include an adjusted indirect comparison, where 2 randomised controlled trials compare different interventions to the same comparator e.g. the placebo or control condition. The outcomes from the two interventions are then compared indirectly.</w:t>
            </w:r>
          </w:p>
        </w:tc>
      </w:tr>
      <w:tr w:rsidR="00F62B88" w:rsidRPr="00B60632" w14:paraId="68C9DE09" w14:textId="77777777" w:rsidTr="00385AA3">
        <w:tc>
          <w:tcPr>
            <w:tcW w:w="1413" w:type="dxa"/>
          </w:tcPr>
          <w:p w14:paraId="066DE6C0"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Cohort study</w:t>
            </w:r>
          </w:p>
        </w:tc>
        <w:tc>
          <w:tcPr>
            <w:tcW w:w="7603" w:type="dxa"/>
          </w:tcPr>
          <w:p w14:paraId="4139FDC9" w14:textId="0222C2CE"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Outcomes for groups of people observed to be exposed to an intervention, or the factor under study, are compared to outcome from groups of people no</w:t>
            </w:r>
            <w:r w:rsidR="007F539A" w:rsidRPr="00B60632">
              <w:rPr>
                <w:rFonts w:ascii="Times New Roman" w:hAnsi="Times New Roman" w:cs="Times New Roman"/>
                <w:sz w:val="18"/>
                <w:szCs w:val="18"/>
              </w:rPr>
              <w:t>t</w:t>
            </w:r>
            <w:r w:rsidRPr="00B60632">
              <w:rPr>
                <w:rFonts w:ascii="Times New Roman" w:hAnsi="Times New Roman" w:cs="Times New Roman"/>
                <w:sz w:val="18"/>
                <w:szCs w:val="18"/>
              </w:rPr>
              <w:t xml:space="preserve"> exposed. Included: Prospective cohort study- where groups of people (cohorts) are observed at a point in time to be exposed or not exposed to an intervention (or the factor under study) and then are followed prospectively with further outcomes recorded as they happen. Retrospective cohort study- where the cohorts (groups of people expose</w:t>
            </w:r>
            <w:r w:rsidR="007F539A" w:rsidRPr="00B60632">
              <w:rPr>
                <w:rFonts w:ascii="Times New Roman" w:hAnsi="Times New Roman" w:cs="Times New Roman"/>
                <w:sz w:val="18"/>
                <w:szCs w:val="18"/>
              </w:rPr>
              <w:t>d</w:t>
            </w:r>
            <w:r w:rsidRPr="00B60632">
              <w:rPr>
                <w:rFonts w:ascii="Times New Roman" w:hAnsi="Times New Roman" w:cs="Times New Roman"/>
                <w:sz w:val="18"/>
                <w:szCs w:val="18"/>
              </w:rPr>
              <w:t xml:space="preserve"> and not exposed) are defined at a point of time in the past and information collected on subsequent outcomes, e.g. the use of medical records to identify a group of women using oral contraceptives 5 years ago, and a group of women no</w:t>
            </w:r>
            <w:r w:rsidR="007F539A" w:rsidRPr="00B60632">
              <w:rPr>
                <w:rFonts w:ascii="Times New Roman" w:hAnsi="Times New Roman" w:cs="Times New Roman"/>
                <w:sz w:val="18"/>
                <w:szCs w:val="18"/>
              </w:rPr>
              <w:t>t</w:t>
            </w:r>
            <w:r w:rsidRPr="00B60632">
              <w:rPr>
                <w:rFonts w:ascii="Times New Roman" w:hAnsi="Times New Roman" w:cs="Times New Roman"/>
                <w:sz w:val="18"/>
                <w:szCs w:val="18"/>
              </w:rPr>
              <w:t xml:space="preserve"> using oral contraceptive and then contacting these women or identifying in subsequent medical records the development of deep vein thrombosis.</w:t>
            </w:r>
          </w:p>
        </w:tc>
      </w:tr>
      <w:tr w:rsidR="00F62B88" w:rsidRPr="00B60632" w14:paraId="6AB28A8E" w14:textId="77777777" w:rsidTr="00385AA3">
        <w:tc>
          <w:tcPr>
            <w:tcW w:w="1413" w:type="dxa"/>
          </w:tcPr>
          <w:p w14:paraId="2357ED31"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lastRenderedPageBreak/>
              <w:t>Cross-sectional study</w:t>
            </w:r>
          </w:p>
        </w:tc>
        <w:tc>
          <w:tcPr>
            <w:tcW w:w="7603" w:type="dxa"/>
          </w:tcPr>
          <w:p w14:paraId="7F33362E"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 xml:space="preserve">A group of people are assessed at a particular point (or cross section) in time and the data collected on outcomes relates to that point in time i.e. the proportion of people with asthma in October 2004. This type of study is useful for hypothesis-generation, to identify whether a risk factor is associated with a certain type of outcome, but more often than not, the causal link cannot be proven unless a time dimension is included. </w:t>
            </w:r>
          </w:p>
        </w:tc>
      </w:tr>
      <w:tr w:rsidR="00F62B88" w:rsidRPr="00B60632" w14:paraId="7F7CF8BD" w14:textId="77777777" w:rsidTr="00385AA3">
        <w:tc>
          <w:tcPr>
            <w:tcW w:w="1413" w:type="dxa"/>
          </w:tcPr>
          <w:p w14:paraId="5E7A4F90"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Case-control</w:t>
            </w:r>
          </w:p>
        </w:tc>
        <w:tc>
          <w:tcPr>
            <w:tcW w:w="7603" w:type="dxa"/>
          </w:tcPr>
          <w:p w14:paraId="154B2952" w14:textId="37539C4C"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 xml:space="preserve">People with the outcome or disease (cases) and an appropriate group of controls without the outcome or disease (controls) are selected and information </w:t>
            </w:r>
            <w:r w:rsidR="007F539A" w:rsidRPr="00B60632">
              <w:rPr>
                <w:rFonts w:ascii="Times New Roman" w:hAnsi="Times New Roman" w:cs="Times New Roman"/>
                <w:sz w:val="18"/>
                <w:szCs w:val="18"/>
              </w:rPr>
              <w:t xml:space="preserve">is </w:t>
            </w:r>
            <w:r w:rsidRPr="00B60632">
              <w:rPr>
                <w:rFonts w:ascii="Times New Roman" w:hAnsi="Times New Roman" w:cs="Times New Roman"/>
                <w:sz w:val="18"/>
                <w:szCs w:val="18"/>
              </w:rPr>
              <w:t>obtained about their previous exposure/non-exposure to the intervention or factor under study.</w:t>
            </w:r>
          </w:p>
        </w:tc>
      </w:tr>
      <w:tr w:rsidR="00F62B88" w:rsidRPr="00B60632" w14:paraId="6FE28392" w14:textId="77777777" w:rsidTr="00385AA3">
        <w:tc>
          <w:tcPr>
            <w:tcW w:w="1413" w:type="dxa"/>
          </w:tcPr>
          <w:p w14:paraId="785F7593"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Case series</w:t>
            </w:r>
          </w:p>
        </w:tc>
        <w:tc>
          <w:tcPr>
            <w:tcW w:w="7603" w:type="dxa"/>
          </w:tcPr>
          <w:p w14:paraId="012E7F9E" w14:textId="57F4B2B2"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A single group of people exposed to the intervention (factor under study)</w:t>
            </w:r>
            <w:r w:rsidR="007F539A" w:rsidRPr="00B60632">
              <w:rPr>
                <w:rFonts w:ascii="Times New Roman" w:hAnsi="Times New Roman" w:cs="Times New Roman"/>
                <w:sz w:val="18"/>
                <w:szCs w:val="18"/>
              </w:rPr>
              <w:t>.</w:t>
            </w:r>
            <w:r w:rsidRPr="00B60632">
              <w:rPr>
                <w:rFonts w:ascii="Times New Roman" w:hAnsi="Times New Roman" w:cs="Times New Roman"/>
                <w:sz w:val="18"/>
                <w:szCs w:val="18"/>
              </w:rPr>
              <w:t xml:space="preserve"> Post-test: only outcomes after the intervention are recorded in the series of people, so no comparisons can be made. Pre-test/post-test: measures on an outcome are taken before and after the intervention is introduced to a series of people and are then compared (A.K.A. before and after study).</w:t>
            </w:r>
          </w:p>
        </w:tc>
      </w:tr>
      <w:tr w:rsidR="00F62B88" w:rsidRPr="00B60632" w14:paraId="22CA3A40" w14:textId="77777777" w:rsidTr="00385AA3">
        <w:tc>
          <w:tcPr>
            <w:tcW w:w="1413" w:type="dxa"/>
          </w:tcPr>
          <w:p w14:paraId="5FDE7A90"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Cost effectiveness study</w:t>
            </w:r>
          </w:p>
        </w:tc>
        <w:tc>
          <w:tcPr>
            <w:tcW w:w="7603" w:type="dxa"/>
          </w:tcPr>
          <w:p w14:paraId="7510DBB9"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Cost-effectiveness analysis estimates the costs of health gains of alternative interventions, this can involve the calculation of DALYs, cost of the intervention, estimates of health gains</w:t>
            </w:r>
            <w:r w:rsidR="00B921C8" w:rsidRPr="00B60632">
              <w:rPr>
                <w:rFonts w:ascii="Times New Roman" w:hAnsi="Times New Roman" w:cs="Times New Roman"/>
                <w:sz w:val="18"/>
                <w:szCs w:val="18"/>
              </w:rPr>
              <w:t xml:space="preserve"> </w:t>
            </w:r>
            <w:r w:rsidRPr="00B60632">
              <w:rPr>
                <w:rFonts w:ascii="Times New Roman" w:hAnsi="Times New Roman" w:cs="Times New Roman"/>
                <w:sz w:val="18"/>
                <w:szCs w:val="18"/>
                <w:vertAlign w:val="superscript"/>
              </w:rPr>
              <w:t>3</w:t>
            </w:r>
            <w:r w:rsidRPr="00B60632">
              <w:rPr>
                <w:rFonts w:ascii="Times New Roman" w:hAnsi="Times New Roman" w:cs="Times New Roman"/>
                <w:sz w:val="18"/>
                <w:szCs w:val="18"/>
              </w:rPr>
              <w:t>.</w:t>
            </w:r>
          </w:p>
        </w:tc>
      </w:tr>
      <w:tr w:rsidR="00F62B88" w:rsidRPr="00B60632" w14:paraId="14734B1D" w14:textId="77777777" w:rsidTr="00385AA3">
        <w:tc>
          <w:tcPr>
            <w:tcW w:w="1413" w:type="dxa"/>
          </w:tcPr>
          <w:p w14:paraId="43296E69"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Qualitative research</w:t>
            </w:r>
          </w:p>
        </w:tc>
        <w:tc>
          <w:tcPr>
            <w:tcW w:w="7603" w:type="dxa"/>
          </w:tcPr>
          <w:p w14:paraId="277D7EB9" w14:textId="77777777" w:rsidR="00F62B88" w:rsidRPr="00B60632" w:rsidRDefault="00F62B88" w:rsidP="00B921C8">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Utilise research techniques including ‘small-group discussion’ for investigating beliefs, attitudes and concepts of normative behaviour; ‘semi-structured interviews’, to seek views on a focused topic or, with key informants, for background information or an institutional perspective, ‘in-depth interviews’ to understand a condition, experience, or event from a personal experience, or event from a personal perspective; and ‘analysis of texts and documents’, such as government reports, media articles, websites or diaries, to learn about distributed or private knowledge</w:t>
            </w:r>
            <w:r w:rsidR="00B921C8" w:rsidRPr="00B60632">
              <w:rPr>
                <w:rFonts w:ascii="Times New Roman" w:hAnsi="Times New Roman" w:cs="Times New Roman"/>
                <w:sz w:val="18"/>
                <w:szCs w:val="18"/>
              </w:rPr>
              <w:t xml:space="preserve"> </w:t>
            </w:r>
            <w:r w:rsidRPr="00B60632">
              <w:rPr>
                <w:rFonts w:ascii="Times New Roman" w:hAnsi="Times New Roman" w:cs="Times New Roman"/>
                <w:sz w:val="18"/>
                <w:szCs w:val="18"/>
                <w:vertAlign w:val="superscript"/>
              </w:rPr>
              <w:t>4</w:t>
            </w:r>
            <w:r w:rsidRPr="00B60632">
              <w:rPr>
                <w:rFonts w:ascii="Times New Roman" w:hAnsi="Times New Roman" w:cs="Times New Roman"/>
                <w:sz w:val="18"/>
                <w:szCs w:val="18"/>
              </w:rPr>
              <w:t xml:space="preserve">. </w:t>
            </w:r>
          </w:p>
        </w:tc>
      </w:tr>
      <w:tr w:rsidR="00F62B88" w:rsidRPr="00B60632" w14:paraId="6971131E" w14:textId="77777777" w:rsidTr="00385AA3">
        <w:tc>
          <w:tcPr>
            <w:tcW w:w="1413" w:type="dxa"/>
          </w:tcPr>
          <w:p w14:paraId="26154B16"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Mixed methods</w:t>
            </w:r>
          </w:p>
        </w:tc>
        <w:tc>
          <w:tcPr>
            <w:tcW w:w="7603" w:type="dxa"/>
          </w:tcPr>
          <w:p w14:paraId="19EE63A3" w14:textId="77777777" w:rsidR="00F62B88" w:rsidRPr="00B60632" w:rsidRDefault="00F62B88" w:rsidP="00B921C8">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Is a research approach whereby researchers collect and analyse both quantitative and qualitativ</w:t>
            </w:r>
            <w:r w:rsidR="00B921C8" w:rsidRPr="00B60632">
              <w:rPr>
                <w:rFonts w:ascii="Times New Roman" w:hAnsi="Times New Roman" w:cs="Times New Roman"/>
                <w:sz w:val="18"/>
                <w:szCs w:val="18"/>
              </w:rPr>
              <w:t xml:space="preserve">e data within the same study </w:t>
            </w:r>
            <w:r w:rsidRPr="00B60632">
              <w:rPr>
                <w:rFonts w:ascii="Times New Roman" w:hAnsi="Times New Roman" w:cs="Times New Roman"/>
                <w:sz w:val="18"/>
                <w:szCs w:val="18"/>
                <w:vertAlign w:val="superscript"/>
              </w:rPr>
              <w:t>5</w:t>
            </w:r>
            <w:r w:rsidRPr="00B60632">
              <w:rPr>
                <w:rFonts w:ascii="Times New Roman" w:hAnsi="Times New Roman" w:cs="Times New Roman"/>
                <w:sz w:val="18"/>
                <w:szCs w:val="18"/>
              </w:rPr>
              <w:t xml:space="preserve">. </w:t>
            </w:r>
          </w:p>
        </w:tc>
      </w:tr>
    </w:tbl>
    <w:p w14:paraId="31F75ADD" w14:textId="77777777" w:rsidR="00F62B88" w:rsidRPr="00B60632" w:rsidRDefault="00F62B88" w:rsidP="00B60632">
      <w:pPr>
        <w:tabs>
          <w:tab w:val="left" w:pos="2271"/>
        </w:tabs>
        <w:spacing w:after="0" w:line="240" w:lineRule="auto"/>
        <w:rPr>
          <w:rFonts w:ascii="Times New Roman" w:hAnsi="Times New Roman" w:cs="Times New Roman"/>
          <w:b/>
        </w:rPr>
      </w:pPr>
    </w:p>
    <w:p w14:paraId="79659883" w14:textId="77777777" w:rsidR="00F62B88" w:rsidRPr="00B60632" w:rsidRDefault="00F62B88" w:rsidP="00B60632">
      <w:pPr>
        <w:tabs>
          <w:tab w:val="left" w:pos="2271"/>
          <w:tab w:val="left" w:pos="2835"/>
        </w:tabs>
        <w:spacing w:before="240" w:line="240" w:lineRule="auto"/>
        <w:rPr>
          <w:rFonts w:ascii="Times New Roman" w:hAnsi="Times New Roman" w:cs="Times New Roman"/>
          <w:b/>
        </w:rPr>
      </w:pPr>
      <w:r w:rsidRPr="00B60632">
        <w:rPr>
          <w:rFonts w:ascii="Times New Roman" w:hAnsi="Times New Roman" w:cs="Times New Roman"/>
          <w:b/>
        </w:rPr>
        <w:t xml:space="preserve">Table </w:t>
      </w:r>
      <w:r w:rsidR="00085CA7" w:rsidRPr="00B60632">
        <w:rPr>
          <w:rFonts w:ascii="Times New Roman" w:hAnsi="Times New Roman" w:cs="Times New Roman"/>
          <w:b/>
        </w:rPr>
        <w:t>S</w:t>
      </w:r>
      <w:r w:rsidRPr="00B60632">
        <w:rPr>
          <w:rFonts w:ascii="Times New Roman" w:hAnsi="Times New Roman" w:cs="Times New Roman"/>
          <w:b/>
        </w:rPr>
        <w:t>3. Summary of the translational research phases, based on National Institutes of Health and Instit</w:t>
      </w:r>
      <w:r w:rsidR="00B921C8" w:rsidRPr="00B60632">
        <w:rPr>
          <w:rFonts w:ascii="Times New Roman" w:hAnsi="Times New Roman" w:cs="Times New Roman"/>
          <w:b/>
        </w:rPr>
        <w:t xml:space="preserve">ute Of Medicine descriptions </w:t>
      </w:r>
      <w:r w:rsidRPr="00B60632">
        <w:rPr>
          <w:rFonts w:ascii="Times New Roman" w:hAnsi="Times New Roman" w:cs="Times New Roman"/>
          <w:b/>
          <w:vertAlign w:val="superscript"/>
        </w:rPr>
        <w:t>6</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F62B88" w:rsidRPr="00B60632" w14:paraId="5367CE72" w14:textId="77777777" w:rsidTr="00385AA3">
        <w:tc>
          <w:tcPr>
            <w:tcW w:w="1413" w:type="dxa"/>
          </w:tcPr>
          <w:p w14:paraId="4998DDB0"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Translational research phase</w:t>
            </w:r>
          </w:p>
        </w:tc>
        <w:tc>
          <w:tcPr>
            <w:tcW w:w="7603" w:type="dxa"/>
          </w:tcPr>
          <w:p w14:paraId="087D8BC6"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Description</w:t>
            </w:r>
          </w:p>
        </w:tc>
      </w:tr>
      <w:tr w:rsidR="00F62B88" w:rsidRPr="00B60632" w14:paraId="3FC98802" w14:textId="77777777" w:rsidTr="00385AA3">
        <w:tc>
          <w:tcPr>
            <w:tcW w:w="1413" w:type="dxa"/>
          </w:tcPr>
          <w:p w14:paraId="5067C900"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T0</w:t>
            </w:r>
          </w:p>
        </w:tc>
        <w:tc>
          <w:tcPr>
            <w:tcW w:w="7603" w:type="dxa"/>
          </w:tcPr>
          <w:p w14:paraId="3896D9D2"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Research which identifies a problem, or identifies an opportunity or approach to tackle a health issue.</w:t>
            </w:r>
          </w:p>
          <w:p w14:paraId="0E2F1872"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Common to disciplines such as molecular or biological insights, behavioural research, or epidemiological research.</w:t>
            </w:r>
          </w:p>
        </w:tc>
      </w:tr>
      <w:tr w:rsidR="00F62B88" w:rsidRPr="00B60632" w14:paraId="270CA351" w14:textId="77777777" w:rsidTr="00385AA3">
        <w:tc>
          <w:tcPr>
            <w:tcW w:w="1413" w:type="dxa"/>
          </w:tcPr>
          <w:p w14:paraId="31739037"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T1</w:t>
            </w:r>
          </w:p>
        </w:tc>
        <w:tc>
          <w:tcPr>
            <w:tcW w:w="7603" w:type="dxa"/>
          </w:tcPr>
          <w:p w14:paraId="39705F81"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Involves the development of tests or other clinical interventions, but it can also lead to nonmedical interventions such as policy, behavioural, social, and other public health interventions.</w:t>
            </w:r>
          </w:p>
        </w:tc>
      </w:tr>
      <w:tr w:rsidR="00F62B88" w:rsidRPr="00B60632" w14:paraId="72612D2F" w14:textId="77777777" w:rsidTr="00385AA3">
        <w:tc>
          <w:tcPr>
            <w:tcW w:w="1413" w:type="dxa"/>
          </w:tcPr>
          <w:p w14:paraId="2AE230E5"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T2</w:t>
            </w:r>
          </w:p>
        </w:tc>
        <w:tc>
          <w:tcPr>
            <w:tcW w:w="7603" w:type="dxa"/>
          </w:tcPr>
          <w:p w14:paraId="427A8C32"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 xml:space="preserve">Involves rigorous analysis and investigation of whether the new interventions improve health outcomes (in randomised controlled trials or other study designs). This research can contribute to evidenced based guidelines and recommendations by professional organisations and independent panels. </w:t>
            </w:r>
          </w:p>
        </w:tc>
      </w:tr>
      <w:tr w:rsidR="00F62B88" w:rsidRPr="00B60632" w14:paraId="495605D3" w14:textId="77777777" w:rsidTr="00385AA3">
        <w:tc>
          <w:tcPr>
            <w:tcW w:w="1413" w:type="dxa"/>
          </w:tcPr>
          <w:p w14:paraId="150F47CF"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T3</w:t>
            </w:r>
          </w:p>
        </w:tc>
        <w:tc>
          <w:tcPr>
            <w:tcW w:w="7603" w:type="dxa"/>
          </w:tcPr>
          <w:p w14:paraId="06427AB0"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 xml:space="preserve">Includes investigations designed to increase uptake and implementation of evidenced-based recommendations into practice. </w:t>
            </w:r>
          </w:p>
          <w:p w14:paraId="3F69650A"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T3 research aims to investigate ways of moving evidence into health practice, and can include the assessment of: evidence-practice gaps; barriers of enablers of policy or practice change; quality improvement initiatives; or effectiveness, implementation and dissemination intervention trials.</w:t>
            </w:r>
          </w:p>
        </w:tc>
      </w:tr>
      <w:tr w:rsidR="00F62B88" w:rsidRPr="00B60632" w14:paraId="7E498B63" w14:textId="77777777" w:rsidTr="00385AA3">
        <w:tc>
          <w:tcPr>
            <w:tcW w:w="1413" w:type="dxa"/>
          </w:tcPr>
          <w:p w14:paraId="042A5DA7"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T4</w:t>
            </w:r>
          </w:p>
        </w:tc>
        <w:tc>
          <w:tcPr>
            <w:tcW w:w="7603" w:type="dxa"/>
          </w:tcPr>
          <w:p w14:paraId="685775A8"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 xml:space="preserve">Involves evaluation of the effectiveness and cost-effectiveness of interventions in the “real world” in diverse populations. </w:t>
            </w:r>
          </w:p>
        </w:tc>
      </w:tr>
    </w:tbl>
    <w:p w14:paraId="4B95B45B" w14:textId="63F470B1" w:rsidR="00B60632" w:rsidRDefault="00B60632" w:rsidP="00F62B88">
      <w:pPr>
        <w:tabs>
          <w:tab w:val="left" w:pos="2271"/>
        </w:tabs>
        <w:rPr>
          <w:rFonts w:ascii="Times New Roman" w:hAnsi="Times New Roman" w:cs="Times New Roman"/>
          <w:b/>
        </w:rPr>
      </w:pPr>
    </w:p>
    <w:p w14:paraId="3394329C" w14:textId="57664B42" w:rsidR="00791EAF" w:rsidRDefault="00791EAF" w:rsidP="00F62B88">
      <w:pPr>
        <w:tabs>
          <w:tab w:val="left" w:pos="2271"/>
        </w:tabs>
        <w:rPr>
          <w:rFonts w:ascii="Times New Roman" w:hAnsi="Times New Roman" w:cs="Times New Roman"/>
          <w:b/>
        </w:rPr>
      </w:pPr>
    </w:p>
    <w:p w14:paraId="0A6212D9" w14:textId="77777777" w:rsidR="00791EAF" w:rsidRDefault="00791EAF" w:rsidP="00F62B88">
      <w:pPr>
        <w:tabs>
          <w:tab w:val="left" w:pos="2271"/>
        </w:tabs>
        <w:rPr>
          <w:rFonts w:ascii="Times New Roman" w:hAnsi="Times New Roman" w:cs="Times New Roman"/>
          <w:b/>
        </w:rPr>
      </w:pPr>
    </w:p>
    <w:p w14:paraId="4934E8FD" w14:textId="263285D3" w:rsidR="00F62B88" w:rsidRPr="00B60632" w:rsidRDefault="00F62B88" w:rsidP="00AB33F1">
      <w:pPr>
        <w:rPr>
          <w:rFonts w:ascii="Times New Roman" w:hAnsi="Times New Roman" w:cs="Times New Roman"/>
          <w:b/>
        </w:rPr>
      </w:pPr>
      <w:r w:rsidRPr="00B60632">
        <w:rPr>
          <w:rFonts w:ascii="Times New Roman" w:hAnsi="Times New Roman" w:cs="Times New Roman"/>
          <w:b/>
        </w:rPr>
        <w:lastRenderedPageBreak/>
        <w:t xml:space="preserve">Table </w:t>
      </w:r>
      <w:r w:rsidR="00085CA7" w:rsidRPr="00B60632">
        <w:rPr>
          <w:rFonts w:ascii="Times New Roman" w:hAnsi="Times New Roman" w:cs="Times New Roman"/>
          <w:b/>
        </w:rPr>
        <w:t>S</w:t>
      </w:r>
      <w:r w:rsidRPr="00B60632">
        <w:rPr>
          <w:rFonts w:ascii="Times New Roman" w:hAnsi="Times New Roman" w:cs="Times New Roman"/>
          <w:b/>
        </w:rPr>
        <w:t>4. Tra</w:t>
      </w:r>
      <w:r w:rsidR="00B921C8" w:rsidRPr="00B60632">
        <w:rPr>
          <w:rFonts w:ascii="Times New Roman" w:hAnsi="Times New Roman" w:cs="Times New Roman"/>
          <w:b/>
        </w:rPr>
        <w:t xml:space="preserve">nslation process of research </w:t>
      </w:r>
      <w:r w:rsidR="00B921C8" w:rsidRPr="00B60632">
        <w:rPr>
          <w:rFonts w:ascii="Times New Roman" w:hAnsi="Times New Roman" w:cs="Times New Roman"/>
          <w:b/>
          <w:vertAlign w:val="superscript"/>
        </w:rPr>
        <w:t>7</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20"/>
      </w:tblGrid>
      <w:tr w:rsidR="00F62B88" w:rsidRPr="00B60632" w14:paraId="1DAD25FE" w14:textId="77777777" w:rsidTr="00385AA3">
        <w:tc>
          <w:tcPr>
            <w:tcW w:w="1696" w:type="dxa"/>
          </w:tcPr>
          <w:p w14:paraId="0DDB1B43"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Basic Research</w:t>
            </w:r>
          </w:p>
        </w:tc>
        <w:tc>
          <w:tcPr>
            <w:tcW w:w="7320" w:type="dxa"/>
          </w:tcPr>
          <w:p w14:paraId="29B19BA7" w14:textId="707E4F80" w:rsidR="00F62B88" w:rsidRPr="00B60632" w:rsidRDefault="005E7389"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B</w:t>
            </w:r>
            <w:r w:rsidR="00F62B88" w:rsidRPr="00B60632">
              <w:rPr>
                <w:rFonts w:ascii="Times New Roman" w:hAnsi="Times New Roman" w:cs="Times New Roman"/>
                <w:sz w:val="18"/>
                <w:szCs w:val="18"/>
              </w:rPr>
              <w:t>asic and pre-clinical studies that generate knowledge about new targets, markers, or pathways</w:t>
            </w:r>
            <w:r w:rsidRPr="00B60632">
              <w:rPr>
                <w:rFonts w:ascii="Times New Roman" w:hAnsi="Times New Roman" w:cs="Times New Roman"/>
                <w:sz w:val="18"/>
                <w:szCs w:val="18"/>
              </w:rPr>
              <w:t>.</w:t>
            </w:r>
          </w:p>
        </w:tc>
      </w:tr>
      <w:tr w:rsidR="00F62B88" w:rsidRPr="00B60632" w14:paraId="54F6EF63" w14:textId="77777777" w:rsidTr="00385AA3">
        <w:tc>
          <w:tcPr>
            <w:tcW w:w="1696" w:type="dxa"/>
          </w:tcPr>
          <w:p w14:paraId="16975053"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Pre-clinical research</w:t>
            </w:r>
          </w:p>
        </w:tc>
        <w:tc>
          <w:tcPr>
            <w:tcW w:w="7320" w:type="dxa"/>
          </w:tcPr>
          <w:p w14:paraId="45F14BD4" w14:textId="38BCC24F"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T1 trials that generate knowledge about whether interventions work in humans</w:t>
            </w:r>
            <w:r w:rsidR="005E7389" w:rsidRPr="00B60632">
              <w:rPr>
                <w:rFonts w:ascii="Times New Roman" w:hAnsi="Times New Roman" w:cs="Times New Roman"/>
                <w:sz w:val="18"/>
                <w:szCs w:val="18"/>
              </w:rPr>
              <w:t>.</w:t>
            </w:r>
          </w:p>
        </w:tc>
      </w:tr>
      <w:tr w:rsidR="00F62B88" w:rsidRPr="00B60632" w14:paraId="7F94F852" w14:textId="77777777" w:rsidTr="00385AA3">
        <w:tc>
          <w:tcPr>
            <w:tcW w:w="1696" w:type="dxa"/>
          </w:tcPr>
          <w:p w14:paraId="204A8DF8"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Clinical research</w:t>
            </w:r>
          </w:p>
        </w:tc>
        <w:tc>
          <w:tcPr>
            <w:tcW w:w="7320" w:type="dxa"/>
          </w:tcPr>
          <w:p w14:paraId="6735373C" w14:textId="3C771E40"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Phase T2 and T3 trials that generate knowledge about whether interventions help (i.e. are interventions effective?)</w:t>
            </w:r>
            <w:r w:rsidR="005E7389" w:rsidRPr="00B60632">
              <w:rPr>
                <w:rFonts w:ascii="Times New Roman" w:hAnsi="Times New Roman" w:cs="Times New Roman"/>
                <w:sz w:val="18"/>
                <w:szCs w:val="18"/>
              </w:rPr>
              <w:t>.</w:t>
            </w:r>
          </w:p>
        </w:tc>
      </w:tr>
      <w:tr w:rsidR="00F62B88" w:rsidRPr="00B60632" w14:paraId="53F226A5" w14:textId="77777777" w:rsidTr="00385AA3">
        <w:tc>
          <w:tcPr>
            <w:tcW w:w="1696" w:type="dxa"/>
          </w:tcPr>
          <w:p w14:paraId="110767D7"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Clinical implementation</w:t>
            </w:r>
          </w:p>
        </w:tc>
        <w:tc>
          <w:tcPr>
            <w:tcW w:w="7320" w:type="dxa"/>
          </w:tcPr>
          <w:p w14:paraId="642754EE" w14:textId="40D05704"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sz w:val="18"/>
                <w:szCs w:val="18"/>
              </w:rPr>
              <w:t>Phase T4 and pragmatic trials that generate knowledge about whether interventions help patients in practice and how to implement them in these settings</w:t>
            </w:r>
            <w:r w:rsidR="005E7389" w:rsidRPr="00B60632">
              <w:rPr>
                <w:rFonts w:ascii="Times New Roman" w:hAnsi="Times New Roman" w:cs="Times New Roman"/>
                <w:sz w:val="18"/>
                <w:szCs w:val="18"/>
              </w:rPr>
              <w:t>.</w:t>
            </w:r>
          </w:p>
        </w:tc>
      </w:tr>
      <w:tr w:rsidR="00F62B88" w:rsidRPr="00B60632" w14:paraId="3B956F3A" w14:textId="77777777" w:rsidTr="00385AA3">
        <w:tc>
          <w:tcPr>
            <w:tcW w:w="1696" w:type="dxa"/>
          </w:tcPr>
          <w:p w14:paraId="0BC16F45"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Public Health</w:t>
            </w:r>
          </w:p>
        </w:tc>
        <w:tc>
          <w:tcPr>
            <w:tcW w:w="7320" w:type="dxa"/>
          </w:tcPr>
          <w:p w14:paraId="16D6700D"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Observational, outcome based studies and implementation research that generate knowledge about whether and how interventions improve population health (T4).</w:t>
            </w:r>
          </w:p>
        </w:tc>
      </w:tr>
    </w:tbl>
    <w:p w14:paraId="6ED8C900" w14:textId="77777777" w:rsidR="00F62B88" w:rsidRPr="00B60632" w:rsidRDefault="00F62B88" w:rsidP="00F62B88">
      <w:pPr>
        <w:tabs>
          <w:tab w:val="left" w:pos="2271"/>
        </w:tabs>
        <w:rPr>
          <w:rFonts w:ascii="Times New Roman" w:hAnsi="Times New Roman" w:cs="Times New Roman"/>
        </w:rPr>
      </w:pPr>
    </w:p>
    <w:p w14:paraId="0DA40967" w14:textId="77777777" w:rsidR="00F62B88" w:rsidRPr="00B60632" w:rsidRDefault="00F62B88" w:rsidP="00B60632">
      <w:pPr>
        <w:tabs>
          <w:tab w:val="left" w:pos="2271"/>
        </w:tabs>
        <w:spacing w:before="240"/>
        <w:rPr>
          <w:rFonts w:ascii="Times New Roman" w:hAnsi="Times New Roman" w:cs="Times New Roman"/>
          <w:b/>
        </w:rPr>
      </w:pPr>
      <w:r w:rsidRPr="00B60632">
        <w:rPr>
          <w:rFonts w:ascii="Times New Roman" w:hAnsi="Times New Roman" w:cs="Times New Roman"/>
          <w:b/>
        </w:rPr>
        <w:t xml:space="preserve">Table </w:t>
      </w:r>
      <w:r w:rsidR="00085CA7" w:rsidRPr="00B60632">
        <w:rPr>
          <w:rFonts w:ascii="Times New Roman" w:hAnsi="Times New Roman" w:cs="Times New Roman"/>
          <w:b/>
        </w:rPr>
        <w:t>S</w:t>
      </w:r>
      <w:r w:rsidRPr="00B60632">
        <w:rPr>
          <w:rFonts w:ascii="Times New Roman" w:hAnsi="Times New Roman" w:cs="Times New Roman"/>
          <w:b/>
        </w:rPr>
        <w:t>5. Implementation and Dissemination themes (extracted for T3 or T4 studies)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461"/>
      </w:tblGrid>
      <w:tr w:rsidR="00F62B88" w:rsidRPr="00B60632" w14:paraId="584FE704" w14:textId="77777777" w:rsidTr="00385AA3">
        <w:tc>
          <w:tcPr>
            <w:tcW w:w="1555" w:type="dxa"/>
          </w:tcPr>
          <w:p w14:paraId="69096665"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Dissemination</w:t>
            </w:r>
          </w:p>
        </w:tc>
        <w:tc>
          <w:tcPr>
            <w:tcW w:w="7461" w:type="dxa"/>
          </w:tcPr>
          <w:p w14:paraId="28AA1074"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Is an active approach of spreading evidence-based interventions to the target audience via determined channel</w:t>
            </w:r>
            <w:r w:rsidR="00B921C8" w:rsidRPr="00B60632">
              <w:rPr>
                <w:rFonts w:ascii="Times New Roman" w:hAnsi="Times New Roman" w:cs="Times New Roman"/>
                <w:sz w:val="18"/>
                <w:szCs w:val="18"/>
              </w:rPr>
              <w:t xml:space="preserve">s using planned strategies </w:t>
            </w:r>
            <w:r w:rsidRPr="00B60632">
              <w:rPr>
                <w:rFonts w:ascii="Times New Roman" w:hAnsi="Times New Roman" w:cs="Times New Roman"/>
                <w:sz w:val="18"/>
                <w:szCs w:val="18"/>
                <w:vertAlign w:val="superscript"/>
              </w:rPr>
              <w:t>8</w:t>
            </w:r>
            <w:r w:rsidRPr="00B60632">
              <w:rPr>
                <w:rFonts w:ascii="Times New Roman" w:hAnsi="Times New Roman" w:cs="Times New Roman"/>
                <w:sz w:val="18"/>
                <w:szCs w:val="18"/>
              </w:rPr>
              <w:t xml:space="preserve">. Involves a carefully planned process that involves considering the target audience, the messages you want to get across and the communication strategies that will help you achieve this. </w:t>
            </w:r>
          </w:p>
          <w:p w14:paraId="1F45EADD" w14:textId="49E4AF9E" w:rsidR="00F62B88" w:rsidRPr="00B60632" w:rsidRDefault="00F62B88" w:rsidP="00B921C8">
            <w:pPr>
              <w:tabs>
                <w:tab w:val="left" w:pos="2271"/>
              </w:tabs>
              <w:rPr>
                <w:rFonts w:ascii="Times New Roman" w:hAnsi="Times New Roman" w:cs="Times New Roman"/>
                <w:sz w:val="18"/>
                <w:szCs w:val="18"/>
              </w:rPr>
            </w:pPr>
            <w:r w:rsidRPr="00B60632">
              <w:rPr>
                <w:rFonts w:ascii="Times New Roman" w:hAnsi="Times New Roman" w:cs="Times New Roman"/>
                <w:sz w:val="18"/>
                <w:szCs w:val="18"/>
              </w:rPr>
              <w:t>Is the targeted distribution of information and intervention materials to a specific public health or clinical practice audience. The intent is to spread knowledge and the associated e</w:t>
            </w:r>
            <w:r w:rsidR="00B921C8" w:rsidRPr="00B60632">
              <w:rPr>
                <w:rFonts w:ascii="Times New Roman" w:hAnsi="Times New Roman" w:cs="Times New Roman"/>
                <w:sz w:val="18"/>
                <w:szCs w:val="18"/>
              </w:rPr>
              <w:t>vidence-based interventions</w:t>
            </w:r>
            <w:r w:rsidR="005E7389" w:rsidRPr="00B60632">
              <w:rPr>
                <w:rFonts w:ascii="Times New Roman" w:hAnsi="Times New Roman" w:cs="Times New Roman"/>
                <w:sz w:val="18"/>
                <w:szCs w:val="18"/>
              </w:rPr>
              <w:t xml:space="preserve"> </w:t>
            </w:r>
            <w:r w:rsidR="00810F65" w:rsidRPr="00B60632">
              <w:rPr>
                <w:rFonts w:ascii="Times New Roman" w:hAnsi="Times New Roman" w:cs="Times New Roman"/>
                <w:sz w:val="18"/>
                <w:szCs w:val="18"/>
                <w:vertAlign w:val="superscript"/>
              </w:rPr>
              <w:t>9</w:t>
            </w:r>
            <w:r w:rsidR="00B921C8" w:rsidRPr="00B60632">
              <w:rPr>
                <w:rFonts w:ascii="Times New Roman" w:hAnsi="Times New Roman" w:cs="Times New Roman"/>
                <w:sz w:val="18"/>
                <w:szCs w:val="18"/>
              </w:rPr>
              <w:t>.</w:t>
            </w:r>
          </w:p>
        </w:tc>
      </w:tr>
      <w:tr w:rsidR="00F62B88" w:rsidRPr="00B60632" w14:paraId="6A823A84" w14:textId="77777777" w:rsidTr="00385AA3">
        <w:tc>
          <w:tcPr>
            <w:tcW w:w="1555" w:type="dxa"/>
          </w:tcPr>
          <w:p w14:paraId="0C5E7047"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Implementation</w:t>
            </w:r>
          </w:p>
        </w:tc>
        <w:tc>
          <w:tcPr>
            <w:tcW w:w="7461" w:type="dxa"/>
          </w:tcPr>
          <w:p w14:paraId="1E0615E2" w14:textId="158FA41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Implementation science is the study of methods to promote the adoption and integration of evidence-based practices, interventions, and policies into routine health care and public health settings to improve the impact on population health. Implementation science examines how evidence-based programs work in the real world. By using implementation science and implementation strategies, you can help bridge the divide between research and practice- and bring programs that</w:t>
            </w:r>
            <w:r w:rsidR="00B921C8" w:rsidRPr="00B60632">
              <w:rPr>
                <w:rFonts w:ascii="Times New Roman" w:hAnsi="Times New Roman" w:cs="Times New Roman"/>
                <w:sz w:val="18"/>
                <w:szCs w:val="18"/>
              </w:rPr>
              <w:t xml:space="preserve"> work to communities in need </w:t>
            </w:r>
            <w:r w:rsidR="00810F65" w:rsidRPr="00B60632">
              <w:rPr>
                <w:rFonts w:ascii="Times New Roman" w:hAnsi="Times New Roman" w:cs="Times New Roman"/>
                <w:sz w:val="18"/>
                <w:szCs w:val="18"/>
                <w:vertAlign w:val="superscript"/>
              </w:rPr>
              <w:t>10</w:t>
            </w:r>
            <w:r w:rsidR="00B921C8" w:rsidRPr="00B60632">
              <w:rPr>
                <w:rFonts w:ascii="Times New Roman" w:hAnsi="Times New Roman" w:cs="Times New Roman"/>
                <w:sz w:val="18"/>
                <w:szCs w:val="18"/>
              </w:rPr>
              <w:t>.</w:t>
            </w:r>
          </w:p>
        </w:tc>
      </w:tr>
      <w:tr w:rsidR="00F62B88" w:rsidRPr="00B60632" w14:paraId="321252A4" w14:textId="77777777" w:rsidTr="00385AA3">
        <w:tc>
          <w:tcPr>
            <w:tcW w:w="1555" w:type="dxa"/>
          </w:tcPr>
          <w:p w14:paraId="210BDBBB"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Adaptation</w:t>
            </w:r>
          </w:p>
        </w:tc>
        <w:tc>
          <w:tcPr>
            <w:tcW w:w="7461" w:type="dxa"/>
          </w:tcPr>
          <w:p w14:paraId="5EF95F7C"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 xml:space="preserve">The process of thoughtful and deliberate alteration to design or delivery of an interventions, with the goal of improving its fit or effectiveness in a given context. It can encompass any change made to an intervention, whether deliberately and proactively, or in reaction to unanticipated challenges that arise in a given session or context. </w:t>
            </w:r>
          </w:p>
          <w:p w14:paraId="1FD10DFC" w14:textId="2E01B3EB" w:rsidR="00F62B88" w:rsidRPr="00B60632" w:rsidRDefault="00F62B88" w:rsidP="00B921C8">
            <w:pPr>
              <w:tabs>
                <w:tab w:val="left" w:pos="2271"/>
              </w:tabs>
              <w:rPr>
                <w:rFonts w:ascii="Times New Roman" w:hAnsi="Times New Roman" w:cs="Times New Roman"/>
                <w:sz w:val="18"/>
                <w:szCs w:val="18"/>
              </w:rPr>
            </w:pPr>
            <w:r w:rsidRPr="00B60632">
              <w:rPr>
                <w:rFonts w:ascii="Times New Roman" w:hAnsi="Times New Roman" w:cs="Times New Roman"/>
                <w:sz w:val="18"/>
                <w:szCs w:val="18"/>
              </w:rPr>
              <w:t>The adjustment of an intervention for different target populations, localitie</w:t>
            </w:r>
            <w:r w:rsidR="00B921C8" w:rsidRPr="00B60632">
              <w:rPr>
                <w:rFonts w:ascii="Times New Roman" w:hAnsi="Times New Roman" w:cs="Times New Roman"/>
                <w:sz w:val="18"/>
                <w:szCs w:val="18"/>
              </w:rPr>
              <w:t xml:space="preserve">s and organisational factors </w:t>
            </w:r>
            <w:r w:rsidR="00B921C8" w:rsidRPr="00B60632">
              <w:rPr>
                <w:rFonts w:ascii="Times New Roman" w:hAnsi="Times New Roman" w:cs="Times New Roman"/>
                <w:sz w:val="18"/>
                <w:szCs w:val="18"/>
                <w:vertAlign w:val="superscript"/>
              </w:rPr>
              <w:t>1</w:t>
            </w:r>
            <w:r w:rsidR="00810F65" w:rsidRPr="00B60632">
              <w:rPr>
                <w:rFonts w:ascii="Times New Roman" w:hAnsi="Times New Roman" w:cs="Times New Roman"/>
                <w:sz w:val="18"/>
                <w:szCs w:val="18"/>
                <w:vertAlign w:val="superscript"/>
              </w:rPr>
              <w:t>1</w:t>
            </w:r>
            <w:r w:rsidRPr="00B60632">
              <w:rPr>
                <w:rFonts w:ascii="Times New Roman" w:hAnsi="Times New Roman" w:cs="Times New Roman"/>
                <w:sz w:val="18"/>
                <w:szCs w:val="18"/>
              </w:rPr>
              <w:t>.</w:t>
            </w:r>
          </w:p>
        </w:tc>
      </w:tr>
      <w:tr w:rsidR="00F62B88" w:rsidRPr="00B60632" w14:paraId="5C849A12" w14:textId="77777777" w:rsidTr="00385AA3">
        <w:tc>
          <w:tcPr>
            <w:tcW w:w="1555" w:type="dxa"/>
          </w:tcPr>
          <w:p w14:paraId="03F92C1B"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Sustainability</w:t>
            </w:r>
          </w:p>
        </w:tc>
        <w:tc>
          <w:tcPr>
            <w:tcW w:w="7461" w:type="dxa"/>
          </w:tcPr>
          <w:p w14:paraId="091DC913"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Describes to what extent an evidence-based intervention can deliver its intended benefits over an extended period of time after external support from the donor agency is terminated. 3 operational indicators of sustainability include (1) maintenance of a programs initial health benefits, (2) institutionalisation of the program in a setting or community, and (3) capacity building in the recipient setting or community.</w:t>
            </w:r>
          </w:p>
          <w:p w14:paraId="56B79965" w14:textId="47AABD91"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The continued use of program components and activities for the continued achievement of desirable program and population outcomes. Sustainability may include decisions during the initial project planning or adoption, as well as organisational support and financial strategies during implementation</w:t>
            </w:r>
            <w:r w:rsidR="00B921C8" w:rsidRPr="00B60632">
              <w:rPr>
                <w:rFonts w:ascii="Times New Roman" w:hAnsi="Times New Roman" w:cs="Times New Roman"/>
                <w:sz w:val="18"/>
                <w:szCs w:val="18"/>
              </w:rPr>
              <w:t xml:space="preserve"> </w:t>
            </w:r>
            <w:r w:rsidR="00810F65" w:rsidRPr="00B60632">
              <w:rPr>
                <w:rFonts w:ascii="Times New Roman" w:hAnsi="Times New Roman" w:cs="Times New Roman"/>
                <w:sz w:val="18"/>
                <w:szCs w:val="18"/>
                <w:vertAlign w:val="superscript"/>
              </w:rPr>
              <w:t>9</w:t>
            </w:r>
            <w:r w:rsidRPr="00B60632">
              <w:rPr>
                <w:rFonts w:ascii="Times New Roman" w:hAnsi="Times New Roman" w:cs="Times New Roman"/>
                <w:sz w:val="18"/>
                <w:szCs w:val="18"/>
              </w:rPr>
              <w:t>.</w:t>
            </w:r>
          </w:p>
        </w:tc>
      </w:tr>
      <w:tr w:rsidR="00F62B88" w:rsidRPr="00B60632" w14:paraId="27BCBECC" w14:textId="77777777" w:rsidTr="00385AA3">
        <w:tc>
          <w:tcPr>
            <w:tcW w:w="1555" w:type="dxa"/>
          </w:tcPr>
          <w:p w14:paraId="66179155" w14:textId="77777777" w:rsidR="00F62B88" w:rsidRPr="00B60632" w:rsidRDefault="00F62B88" w:rsidP="00385AA3">
            <w:pPr>
              <w:tabs>
                <w:tab w:val="left" w:pos="2271"/>
              </w:tabs>
              <w:rPr>
                <w:rFonts w:ascii="Times New Roman" w:hAnsi="Times New Roman" w:cs="Times New Roman"/>
                <w:b/>
                <w:sz w:val="18"/>
                <w:szCs w:val="18"/>
              </w:rPr>
            </w:pPr>
            <w:r w:rsidRPr="00B60632">
              <w:rPr>
                <w:rFonts w:ascii="Times New Roman" w:hAnsi="Times New Roman" w:cs="Times New Roman"/>
                <w:b/>
                <w:sz w:val="18"/>
                <w:szCs w:val="18"/>
              </w:rPr>
              <w:t>Scaling-up</w:t>
            </w:r>
          </w:p>
        </w:tc>
        <w:tc>
          <w:tcPr>
            <w:tcW w:w="7461" w:type="dxa"/>
          </w:tcPr>
          <w:p w14:paraId="312F6031" w14:textId="77777777" w:rsidR="00F62B88" w:rsidRPr="00B60632" w:rsidRDefault="00F62B88" w:rsidP="00385AA3">
            <w:pPr>
              <w:tabs>
                <w:tab w:val="left" w:pos="2271"/>
              </w:tabs>
              <w:rPr>
                <w:rFonts w:ascii="Times New Roman" w:hAnsi="Times New Roman" w:cs="Times New Roman"/>
                <w:sz w:val="18"/>
                <w:szCs w:val="18"/>
              </w:rPr>
            </w:pPr>
            <w:r w:rsidRPr="00B60632">
              <w:rPr>
                <w:rFonts w:ascii="Times New Roman" w:hAnsi="Times New Roman" w:cs="Times New Roman"/>
                <w:sz w:val="18"/>
                <w:szCs w:val="18"/>
              </w:rPr>
              <w:t>Refers to deliberate efforts to increase the impact of successfully tested health interventions so as to benefit more people and to foster policy and program developme</w:t>
            </w:r>
            <w:r w:rsidR="00B921C8" w:rsidRPr="00B60632">
              <w:rPr>
                <w:rFonts w:ascii="Times New Roman" w:hAnsi="Times New Roman" w:cs="Times New Roman"/>
                <w:sz w:val="18"/>
                <w:szCs w:val="18"/>
              </w:rPr>
              <w:t xml:space="preserve">nt on a lasting basis </w:t>
            </w:r>
            <w:r w:rsidR="00B921C8" w:rsidRPr="00B60632">
              <w:rPr>
                <w:rFonts w:ascii="Times New Roman" w:hAnsi="Times New Roman" w:cs="Times New Roman"/>
                <w:sz w:val="18"/>
                <w:szCs w:val="18"/>
                <w:vertAlign w:val="superscript"/>
              </w:rPr>
              <w:t>1</w:t>
            </w:r>
            <w:r w:rsidRPr="00B60632">
              <w:rPr>
                <w:rFonts w:ascii="Times New Roman" w:hAnsi="Times New Roman" w:cs="Times New Roman"/>
                <w:sz w:val="18"/>
                <w:szCs w:val="18"/>
                <w:vertAlign w:val="superscript"/>
              </w:rPr>
              <w:t>2</w:t>
            </w:r>
            <w:r w:rsidR="00B921C8" w:rsidRPr="00B60632">
              <w:rPr>
                <w:rFonts w:ascii="Times New Roman" w:hAnsi="Times New Roman" w:cs="Times New Roman"/>
                <w:sz w:val="18"/>
                <w:szCs w:val="18"/>
              </w:rPr>
              <w:t>.</w:t>
            </w:r>
          </w:p>
          <w:p w14:paraId="018A0A60" w14:textId="77777777" w:rsidR="00F62B88" w:rsidRPr="00B60632" w:rsidRDefault="00F62B88" w:rsidP="00385AA3">
            <w:pPr>
              <w:tabs>
                <w:tab w:val="left" w:pos="2271"/>
              </w:tabs>
              <w:rPr>
                <w:rFonts w:ascii="Times New Roman" w:hAnsi="Times New Roman" w:cs="Times New Roman"/>
                <w:b/>
                <w:sz w:val="18"/>
                <w:szCs w:val="18"/>
              </w:rPr>
            </w:pPr>
          </w:p>
        </w:tc>
      </w:tr>
    </w:tbl>
    <w:p w14:paraId="6946D141" w14:textId="77777777" w:rsidR="00796E72" w:rsidRDefault="00796E72" w:rsidP="00B921C8">
      <w:pPr>
        <w:tabs>
          <w:tab w:val="left" w:pos="2271"/>
        </w:tabs>
        <w:spacing w:line="480" w:lineRule="auto"/>
        <w:rPr>
          <w:rFonts w:ascii="Times New Roman" w:hAnsi="Times New Roman" w:cs="Times New Roman"/>
          <w:b/>
          <w:sz w:val="24"/>
          <w:szCs w:val="24"/>
        </w:rPr>
      </w:pPr>
    </w:p>
    <w:p w14:paraId="0A8B835D" w14:textId="77777777" w:rsidR="00D42B93" w:rsidRDefault="00D42B93" w:rsidP="00B914C6">
      <w:pPr>
        <w:rPr>
          <w:rFonts w:ascii="Times New Roman" w:hAnsi="Times New Roman" w:cs="Times New Roman"/>
          <w:b/>
          <w:bCs/>
        </w:rPr>
      </w:pPr>
    </w:p>
    <w:p w14:paraId="0C05001B" w14:textId="5A5BB069" w:rsidR="00B914C6" w:rsidRPr="00B914C6" w:rsidRDefault="00B914C6" w:rsidP="00B914C6">
      <w:pPr>
        <w:rPr>
          <w:rFonts w:ascii="Times New Roman" w:hAnsi="Times New Roman" w:cs="Times New Roman"/>
          <w:b/>
          <w:bCs/>
        </w:rPr>
      </w:pPr>
      <w:bookmarkStart w:id="0" w:name="_GoBack"/>
      <w:bookmarkEnd w:id="0"/>
      <w:r w:rsidRPr="00B914C6">
        <w:rPr>
          <w:rFonts w:ascii="Times New Roman" w:hAnsi="Times New Roman" w:cs="Times New Roman"/>
          <w:b/>
          <w:bCs/>
        </w:rPr>
        <w:lastRenderedPageBreak/>
        <w:t xml:space="preserve">Table S6: Study type, design and translational research phase for the four journals that remained the same across between 1998-2018. </w:t>
      </w:r>
    </w:p>
    <w:tbl>
      <w:tblPr>
        <w:tblStyle w:val="TableGrid"/>
        <w:tblW w:w="8584" w:type="dxa"/>
        <w:tblLook w:val="04A0" w:firstRow="1" w:lastRow="0" w:firstColumn="1" w:lastColumn="0" w:noHBand="0" w:noVBand="1"/>
      </w:tblPr>
      <w:tblGrid>
        <w:gridCol w:w="2405"/>
        <w:gridCol w:w="1276"/>
        <w:gridCol w:w="1417"/>
        <w:gridCol w:w="1134"/>
        <w:gridCol w:w="1276"/>
        <w:gridCol w:w="1076"/>
      </w:tblGrid>
      <w:tr w:rsidR="00B914C6" w:rsidRPr="006142DE" w14:paraId="36A550B9" w14:textId="77777777" w:rsidTr="00204423">
        <w:trPr>
          <w:trHeight w:val="506"/>
        </w:trPr>
        <w:tc>
          <w:tcPr>
            <w:tcW w:w="2405" w:type="dxa"/>
          </w:tcPr>
          <w:p w14:paraId="36E1C44E" w14:textId="77777777" w:rsidR="00B914C6" w:rsidRPr="006142DE" w:rsidRDefault="00B914C6" w:rsidP="00204423">
            <w:pPr>
              <w:spacing w:after="160" w:line="259" w:lineRule="auto"/>
              <w:rPr>
                <w:rFonts w:ascii="Times New Roman" w:hAnsi="Times New Roman" w:cs="Times New Roman"/>
                <w:sz w:val="20"/>
                <w:szCs w:val="20"/>
              </w:rPr>
            </w:pPr>
          </w:p>
        </w:tc>
        <w:tc>
          <w:tcPr>
            <w:tcW w:w="2693" w:type="dxa"/>
            <w:gridSpan w:val="2"/>
          </w:tcPr>
          <w:p w14:paraId="0E34BC88"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1998</w:t>
            </w:r>
          </w:p>
          <w:p w14:paraId="183158DE"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(n</w:t>
            </w:r>
            <w:r w:rsidRPr="006142DE">
              <w:rPr>
                <w:rFonts w:ascii="Times New Roman" w:hAnsi="Times New Roman" w:cs="Times New Roman"/>
                <w:b/>
                <w:bCs/>
                <w:i/>
                <w:iCs/>
                <w:sz w:val="20"/>
                <w:szCs w:val="20"/>
              </w:rPr>
              <w:t xml:space="preserve"> </w:t>
            </w:r>
            <w:r w:rsidRPr="006142DE">
              <w:rPr>
                <w:rFonts w:ascii="Times New Roman" w:hAnsi="Times New Roman" w:cs="Times New Roman"/>
                <w:b/>
                <w:bCs/>
                <w:sz w:val="20"/>
                <w:szCs w:val="20"/>
              </w:rPr>
              <w:t>246)</w:t>
            </w:r>
          </w:p>
        </w:tc>
        <w:tc>
          <w:tcPr>
            <w:tcW w:w="2410" w:type="dxa"/>
            <w:gridSpan w:val="2"/>
          </w:tcPr>
          <w:p w14:paraId="382AFD9D"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2018</w:t>
            </w:r>
          </w:p>
          <w:p w14:paraId="64503604"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w:t>
            </w:r>
            <w:r w:rsidRPr="006142DE">
              <w:rPr>
                <w:rFonts w:ascii="Times New Roman" w:hAnsi="Times New Roman" w:cs="Times New Roman"/>
                <w:b/>
                <w:bCs/>
                <w:i/>
                <w:iCs/>
                <w:sz w:val="20"/>
                <w:szCs w:val="20"/>
              </w:rPr>
              <w:t>n</w:t>
            </w:r>
            <w:r w:rsidRPr="006142DE">
              <w:rPr>
                <w:rFonts w:ascii="Times New Roman" w:hAnsi="Times New Roman" w:cs="Times New Roman"/>
                <w:b/>
                <w:bCs/>
                <w:sz w:val="20"/>
                <w:szCs w:val="20"/>
              </w:rPr>
              <w:t xml:space="preserve"> 465)</w:t>
            </w:r>
          </w:p>
        </w:tc>
        <w:tc>
          <w:tcPr>
            <w:tcW w:w="1076" w:type="dxa"/>
          </w:tcPr>
          <w:p w14:paraId="74352A51" w14:textId="77777777" w:rsidR="00B914C6" w:rsidRPr="006142DE" w:rsidRDefault="00B914C6" w:rsidP="00204423">
            <w:pPr>
              <w:spacing w:after="160" w:line="259" w:lineRule="auto"/>
              <w:rPr>
                <w:rFonts w:ascii="Times New Roman" w:hAnsi="Times New Roman" w:cs="Times New Roman"/>
                <w:sz w:val="20"/>
                <w:szCs w:val="20"/>
              </w:rPr>
            </w:pPr>
            <w:r>
              <w:rPr>
                <w:rFonts w:ascii="Times New Roman" w:hAnsi="Times New Roman" w:cs="Times New Roman"/>
                <w:sz w:val="20"/>
                <w:szCs w:val="20"/>
              </w:rPr>
              <w:t>†</w:t>
            </w:r>
          </w:p>
        </w:tc>
      </w:tr>
      <w:tr w:rsidR="00B914C6" w:rsidRPr="006142DE" w14:paraId="388A6BCE" w14:textId="77777777" w:rsidTr="00204423">
        <w:trPr>
          <w:trHeight w:val="497"/>
        </w:trPr>
        <w:tc>
          <w:tcPr>
            <w:tcW w:w="2405" w:type="dxa"/>
          </w:tcPr>
          <w:p w14:paraId="7F16A73D"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Study Type</w:t>
            </w:r>
          </w:p>
        </w:tc>
        <w:tc>
          <w:tcPr>
            <w:tcW w:w="1276" w:type="dxa"/>
          </w:tcPr>
          <w:p w14:paraId="231ACDCB" w14:textId="77777777" w:rsidR="00B914C6" w:rsidRPr="006142DE" w:rsidRDefault="00B914C6" w:rsidP="00204423">
            <w:pPr>
              <w:spacing w:after="160" w:line="259" w:lineRule="auto"/>
              <w:rPr>
                <w:rFonts w:ascii="Times New Roman" w:hAnsi="Times New Roman" w:cs="Times New Roman"/>
                <w:b/>
                <w:bCs/>
                <w:i/>
                <w:iCs/>
                <w:sz w:val="20"/>
                <w:szCs w:val="20"/>
              </w:rPr>
            </w:pPr>
            <w:r w:rsidRPr="006142DE">
              <w:rPr>
                <w:rFonts w:ascii="Times New Roman" w:hAnsi="Times New Roman" w:cs="Times New Roman"/>
                <w:b/>
                <w:bCs/>
                <w:i/>
                <w:iCs/>
                <w:sz w:val="20"/>
                <w:szCs w:val="20"/>
              </w:rPr>
              <w:t>n</w:t>
            </w:r>
          </w:p>
        </w:tc>
        <w:tc>
          <w:tcPr>
            <w:tcW w:w="1417" w:type="dxa"/>
          </w:tcPr>
          <w:p w14:paraId="56559752"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Proportion (%)</w:t>
            </w:r>
          </w:p>
        </w:tc>
        <w:tc>
          <w:tcPr>
            <w:tcW w:w="1134" w:type="dxa"/>
          </w:tcPr>
          <w:p w14:paraId="2C9B15E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276" w:type="dxa"/>
          </w:tcPr>
          <w:p w14:paraId="54A52FF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076" w:type="dxa"/>
          </w:tcPr>
          <w:p w14:paraId="602CFA47"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b/>
                <w:bCs/>
                <w:sz w:val="20"/>
                <w:szCs w:val="20"/>
              </w:rPr>
              <w:t>P value</w:t>
            </w:r>
            <w:r>
              <w:rPr>
                <w:rFonts w:ascii="Times New Roman" w:hAnsi="Times New Roman" w:cs="Times New Roman"/>
                <w:sz w:val="20"/>
                <w:szCs w:val="20"/>
              </w:rPr>
              <w:t>†</w:t>
            </w:r>
          </w:p>
        </w:tc>
      </w:tr>
      <w:tr w:rsidR="00B914C6" w:rsidRPr="006142DE" w14:paraId="2DE1AEC8" w14:textId="77777777" w:rsidTr="00204423">
        <w:trPr>
          <w:trHeight w:val="253"/>
        </w:trPr>
        <w:tc>
          <w:tcPr>
            <w:tcW w:w="2405" w:type="dxa"/>
          </w:tcPr>
          <w:p w14:paraId="31569AE6"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Descriptive</w:t>
            </w:r>
          </w:p>
        </w:tc>
        <w:tc>
          <w:tcPr>
            <w:tcW w:w="1276" w:type="dxa"/>
          </w:tcPr>
          <w:p w14:paraId="628133F5"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194</w:t>
            </w:r>
          </w:p>
        </w:tc>
        <w:tc>
          <w:tcPr>
            <w:tcW w:w="1417" w:type="dxa"/>
          </w:tcPr>
          <w:p w14:paraId="11B32602"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78.9</w:t>
            </w:r>
          </w:p>
        </w:tc>
        <w:tc>
          <w:tcPr>
            <w:tcW w:w="1134" w:type="dxa"/>
          </w:tcPr>
          <w:p w14:paraId="20C5D2B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388</w:t>
            </w:r>
          </w:p>
        </w:tc>
        <w:tc>
          <w:tcPr>
            <w:tcW w:w="1276" w:type="dxa"/>
          </w:tcPr>
          <w:p w14:paraId="6030EAC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83.4</w:t>
            </w:r>
          </w:p>
        </w:tc>
        <w:tc>
          <w:tcPr>
            <w:tcW w:w="1076" w:type="dxa"/>
            <w:vMerge w:val="restart"/>
          </w:tcPr>
          <w:p w14:paraId="4FACA92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0.178</w:t>
            </w:r>
          </w:p>
        </w:tc>
      </w:tr>
      <w:tr w:rsidR="00B914C6" w:rsidRPr="006142DE" w14:paraId="5D2252AE" w14:textId="77777777" w:rsidTr="00204423">
        <w:trPr>
          <w:trHeight w:val="253"/>
        </w:trPr>
        <w:tc>
          <w:tcPr>
            <w:tcW w:w="2405" w:type="dxa"/>
          </w:tcPr>
          <w:p w14:paraId="45FB0D4A"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Intervention</w:t>
            </w:r>
          </w:p>
        </w:tc>
        <w:tc>
          <w:tcPr>
            <w:tcW w:w="1276" w:type="dxa"/>
          </w:tcPr>
          <w:p w14:paraId="4B39B98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34</w:t>
            </w:r>
          </w:p>
        </w:tc>
        <w:tc>
          <w:tcPr>
            <w:tcW w:w="1417" w:type="dxa"/>
          </w:tcPr>
          <w:p w14:paraId="008F749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13.8</w:t>
            </w:r>
          </w:p>
        </w:tc>
        <w:tc>
          <w:tcPr>
            <w:tcW w:w="1134" w:type="dxa"/>
          </w:tcPr>
          <w:p w14:paraId="1A78AB0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57</w:t>
            </w:r>
          </w:p>
        </w:tc>
        <w:tc>
          <w:tcPr>
            <w:tcW w:w="1276" w:type="dxa"/>
          </w:tcPr>
          <w:p w14:paraId="22472F0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12.3</w:t>
            </w:r>
          </w:p>
        </w:tc>
        <w:tc>
          <w:tcPr>
            <w:tcW w:w="1076" w:type="dxa"/>
            <w:vMerge/>
          </w:tcPr>
          <w:p w14:paraId="1FE2DC18"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6A085E5E" w14:textId="77777777" w:rsidTr="00204423">
        <w:trPr>
          <w:trHeight w:val="253"/>
        </w:trPr>
        <w:tc>
          <w:tcPr>
            <w:tcW w:w="2405" w:type="dxa"/>
          </w:tcPr>
          <w:p w14:paraId="08CACA1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Measurement</w:t>
            </w:r>
          </w:p>
        </w:tc>
        <w:tc>
          <w:tcPr>
            <w:tcW w:w="1276" w:type="dxa"/>
          </w:tcPr>
          <w:p w14:paraId="66B8CE7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18</w:t>
            </w:r>
          </w:p>
        </w:tc>
        <w:tc>
          <w:tcPr>
            <w:tcW w:w="1417" w:type="dxa"/>
          </w:tcPr>
          <w:p w14:paraId="5AD4B45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7.3</w:t>
            </w:r>
          </w:p>
        </w:tc>
        <w:tc>
          <w:tcPr>
            <w:tcW w:w="1134" w:type="dxa"/>
          </w:tcPr>
          <w:p w14:paraId="2D167D8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20</w:t>
            </w:r>
          </w:p>
        </w:tc>
        <w:tc>
          <w:tcPr>
            <w:tcW w:w="1276" w:type="dxa"/>
          </w:tcPr>
          <w:p w14:paraId="52D9EE9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4.3</w:t>
            </w:r>
          </w:p>
        </w:tc>
        <w:tc>
          <w:tcPr>
            <w:tcW w:w="1076" w:type="dxa"/>
            <w:vMerge/>
          </w:tcPr>
          <w:p w14:paraId="0DA4100C"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3022CF0B" w14:textId="77777777" w:rsidTr="00204423">
        <w:trPr>
          <w:trHeight w:val="253"/>
        </w:trPr>
        <w:tc>
          <w:tcPr>
            <w:tcW w:w="2405" w:type="dxa"/>
          </w:tcPr>
          <w:p w14:paraId="5E193D5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Study Design</w:t>
            </w:r>
          </w:p>
        </w:tc>
        <w:tc>
          <w:tcPr>
            <w:tcW w:w="1276" w:type="dxa"/>
          </w:tcPr>
          <w:p w14:paraId="095278B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417" w:type="dxa"/>
          </w:tcPr>
          <w:p w14:paraId="3BECC21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134" w:type="dxa"/>
          </w:tcPr>
          <w:p w14:paraId="04DFCBF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276" w:type="dxa"/>
          </w:tcPr>
          <w:p w14:paraId="18A1B9F9"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076" w:type="dxa"/>
          </w:tcPr>
          <w:p w14:paraId="0F68521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 value</w:t>
            </w:r>
          </w:p>
        </w:tc>
      </w:tr>
      <w:tr w:rsidR="00B914C6" w:rsidRPr="006142DE" w14:paraId="44A4D6CE" w14:textId="77777777" w:rsidTr="00204423">
        <w:trPr>
          <w:trHeight w:val="253"/>
        </w:trPr>
        <w:tc>
          <w:tcPr>
            <w:tcW w:w="2405" w:type="dxa"/>
          </w:tcPr>
          <w:p w14:paraId="426DAECA"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sz w:val="20"/>
                <w:szCs w:val="20"/>
              </w:rPr>
              <w:t>Case Control</w:t>
            </w:r>
          </w:p>
        </w:tc>
        <w:tc>
          <w:tcPr>
            <w:tcW w:w="1276" w:type="dxa"/>
          </w:tcPr>
          <w:p w14:paraId="04D7546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16</w:t>
            </w:r>
          </w:p>
        </w:tc>
        <w:tc>
          <w:tcPr>
            <w:tcW w:w="1417" w:type="dxa"/>
          </w:tcPr>
          <w:p w14:paraId="53CD9EC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6.5</w:t>
            </w:r>
          </w:p>
        </w:tc>
        <w:tc>
          <w:tcPr>
            <w:tcW w:w="1134" w:type="dxa"/>
          </w:tcPr>
          <w:p w14:paraId="1251FED5"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15</w:t>
            </w:r>
          </w:p>
        </w:tc>
        <w:tc>
          <w:tcPr>
            <w:tcW w:w="1276" w:type="dxa"/>
          </w:tcPr>
          <w:p w14:paraId="6EA9FB7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3.2</w:t>
            </w:r>
          </w:p>
        </w:tc>
        <w:tc>
          <w:tcPr>
            <w:tcW w:w="1076" w:type="dxa"/>
            <w:vMerge w:val="restart"/>
          </w:tcPr>
          <w:p w14:paraId="0A21902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&lt;0.001</w:t>
            </w:r>
          </w:p>
        </w:tc>
      </w:tr>
      <w:tr w:rsidR="00B914C6" w:rsidRPr="006142DE" w14:paraId="156D8170" w14:textId="77777777" w:rsidTr="00204423">
        <w:trPr>
          <w:trHeight w:val="253"/>
        </w:trPr>
        <w:tc>
          <w:tcPr>
            <w:tcW w:w="2405" w:type="dxa"/>
          </w:tcPr>
          <w:p w14:paraId="02D1691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Case Series</w:t>
            </w:r>
          </w:p>
        </w:tc>
        <w:tc>
          <w:tcPr>
            <w:tcW w:w="1276" w:type="dxa"/>
          </w:tcPr>
          <w:p w14:paraId="36BA53E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27</w:t>
            </w:r>
          </w:p>
        </w:tc>
        <w:tc>
          <w:tcPr>
            <w:tcW w:w="1417" w:type="dxa"/>
          </w:tcPr>
          <w:p w14:paraId="2532958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11.0</w:t>
            </w:r>
          </w:p>
        </w:tc>
        <w:tc>
          <w:tcPr>
            <w:tcW w:w="1134" w:type="dxa"/>
          </w:tcPr>
          <w:p w14:paraId="209E1749"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7</w:t>
            </w:r>
          </w:p>
        </w:tc>
        <w:tc>
          <w:tcPr>
            <w:tcW w:w="1276" w:type="dxa"/>
          </w:tcPr>
          <w:p w14:paraId="6BEFFF7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1.5</w:t>
            </w:r>
          </w:p>
        </w:tc>
        <w:tc>
          <w:tcPr>
            <w:tcW w:w="1076" w:type="dxa"/>
            <w:vMerge/>
          </w:tcPr>
          <w:p w14:paraId="71278D88"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2F25CA32" w14:textId="77777777" w:rsidTr="00204423">
        <w:trPr>
          <w:trHeight w:val="253"/>
        </w:trPr>
        <w:tc>
          <w:tcPr>
            <w:tcW w:w="2405" w:type="dxa"/>
          </w:tcPr>
          <w:p w14:paraId="250B4FE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Cohort</w:t>
            </w:r>
          </w:p>
        </w:tc>
        <w:tc>
          <w:tcPr>
            <w:tcW w:w="1276" w:type="dxa"/>
          </w:tcPr>
          <w:p w14:paraId="3E0401F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11</w:t>
            </w:r>
          </w:p>
        </w:tc>
        <w:tc>
          <w:tcPr>
            <w:tcW w:w="1417" w:type="dxa"/>
          </w:tcPr>
          <w:p w14:paraId="3ACC4669"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4.5</w:t>
            </w:r>
          </w:p>
        </w:tc>
        <w:tc>
          <w:tcPr>
            <w:tcW w:w="1134" w:type="dxa"/>
          </w:tcPr>
          <w:p w14:paraId="49B5F04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52</w:t>
            </w:r>
          </w:p>
        </w:tc>
        <w:tc>
          <w:tcPr>
            <w:tcW w:w="1276" w:type="dxa"/>
          </w:tcPr>
          <w:p w14:paraId="63CFAE3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11.2</w:t>
            </w:r>
          </w:p>
        </w:tc>
        <w:tc>
          <w:tcPr>
            <w:tcW w:w="1076" w:type="dxa"/>
            <w:vMerge/>
          </w:tcPr>
          <w:p w14:paraId="315BF07D"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19F2B095" w14:textId="77777777" w:rsidTr="00204423">
        <w:trPr>
          <w:trHeight w:val="253"/>
        </w:trPr>
        <w:tc>
          <w:tcPr>
            <w:tcW w:w="2405" w:type="dxa"/>
          </w:tcPr>
          <w:p w14:paraId="57CAB16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Cross sectional</w:t>
            </w:r>
          </w:p>
        </w:tc>
        <w:tc>
          <w:tcPr>
            <w:tcW w:w="1276" w:type="dxa"/>
          </w:tcPr>
          <w:p w14:paraId="1603F8E9"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21</w:t>
            </w:r>
          </w:p>
        </w:tc>
        <w:tc>
          <w:tcPr>
            <w:tcW w:w="1417" w:type="dxa"/>
          </w:tcPr>
          <w:p w14:paraId="3170C33C"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8.5</w:t>
            </w:r>
          </w:p>
        </w:tc>
        <w:tc>
          <w:tcPr>
            <w:tcW w:w="1134" w:type="dxa"/>
          </w:tcPr>
          <w:p w14:paraId="4DFE9E4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39</w:t>
            </w:r>
          </w:p>
        </w:tc>
        <w:tc>
          <w:tcPr>
            <w:tcW w:w="1276" w:type="dxa"/>
          </w:tcPr>
          <w:p w14:paraId="3C0BD115"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8.4</w:t>
            </w:r>
          </w:p>
        </w:tc>
        <w:tc>
          <w:tcPr>
            <w:tcW w:w="1076" w:type="dxa"/>
            <w:vMerge/>
          </w:tcPr>
          <w:p w14:paraId="2C60D5B1"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6DEBD95A" w14:textId="77777777" w:rsidTr="00204423">
        <w:trPr>
          <w:trHeight w:val="253"/>
        </w:trPr>
        <w:tc>
          <w:tcPr>
            <w:tcW w:w="2405" w:type="dxa"/>
          </w:tcPr>
          <w:p w14:paraId="0E6D1056"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Non-randomised Trial</w:t>
            </w:r>
          </w:p>
        </w:tc>
        <w:tc>
          <w:tcPr>
            <w:tcW w:w="1276" w:type="dxa"/>
          </w:tcPr>
          <w:p w14:paraId="09185C4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25</w:t>
            </w:r>
          </w:p>
        </w:tc>
        <w:tc>
          <w:tcPr>
            <w:tcW w:w="1417" w:type="dxa"/>
          </w:tcPr>
          <w:p w14:paraId="0699E47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10.2</w:t>
            </w:r>
          </w:p>
        </w:tc>
        <w:tc>
          <w:tcPr>
            <w:tcW w:w="1134" w:type="dxa"/>
          </w:tcPr>
          <w:p w14:paraId="58DF8C8A"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7</w:t>
            </w:r>
          </w:p>
        </w:tc>
        <w:tc>
          <w:tcPr>
            <w:tcW w:w="1276" w:type="dxa"/>
          </w:tcPr>
          <w:p w14:paraId="131F710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1.5</w:t>
            </w:r>
          </w:p>
        </w:tc>
        <w:tc>
          <w:tcPr>
            <w:tcW w:w="1076" w:type="dxa"/>
            <w:vMerge/>
          </w:tcPr>
          <w:p w14:paraId="383F42A1"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512D29E0" w14:textId="77777777" w:rsidTr="00204423">
        <w:trPr>
          <w:trHeight w:val="253"/>
        </w:trPr>
        <w:tc>
          <w:tcPr>
            <w:tcW w:w="2405" w:type="dxa"/>
          </w:tcPr>
          <w:p w14:paraId="0BFE3AC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Non-Systematic Review</w:t>
            </w:r>
          </w:p>
        </w:tc>
        <w:tc>
          <w:tcPr>
            <w:tcW w:w="1276" w:type="dxa"/>
          </w:tcPr>
          <w:p w14:paraId="33207E5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84</w:t>
            </w:r>
          </w:p>
        </w:tc>
        <w:tc>
          <w:tcPr>
            <w:tcW w:w="1417" w:type="dxa"/>
          </w:tcPr>
          <w:p w14:paraId="009B97F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34.1</w:t>
            </w:r>
          </w:p>
        </w:tc>
        <w:tc>
          <w:tcPr>
            <w:tcW w:w="1134" w:type="dxa"/>
          </w:tcPr>
          <w:p w14:paraId="6C228A3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218</w:t>
            </w:r>
          </w:p>
        </w:tc>
        <w:tc>
          <w:tcPr>
            <w:tcW w:w="1276" w:type="dxa"/>
          </w:tcPr>
          <w:p w14:paraId="041D60D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46.9</w:t>
            </w:r>
          </w:p>
        </w:tc>
        <w:tc>
          <w:tcPr>
            <w:tcW w:w="1076" w:type="dxa"/>
            <w:vMerge/>
          </w:tcPr>
          <w:p w14:paraId="7619A71E"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4873A0C5" w14:textId="77777777" w:rsidTr="00204423">
        <w:trPr>
          <w:trHeight w:val="253"/>
        </w:trPr>
        <w:tc>
          <w:tcPr>
            <w:tcW w:w="2405" w:type="dxa"/>
          </w:tcPr>
          <w:p w14:paraId="4CAC598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Other</w:t>
            </w:r>
          </w:p>
        </w:tc>
        <w:tc>
          <w:tcPr>
            <w:tcW w:w="1276" w:type="dxa"/>
          </w:tcPr>
          <w:p w14:paraId="0AF28F9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16</w:t>
            </w:r>
          </w:p>
        </w:tc>
        <w:tc>
          <w:tcPr>
            <w:tcW w:w="1417" w:type="dxa"/>
          </w:tcPr>
          <w:p w14:paraId="167C6D8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6.5</w:t>
            </w:r>
          </w:p>
        </w:tc>
        <w:tc>
          <w:tcPr>
            <w:tcW w:w="1134" w:type="dxa"/>
          </w:tcPr>
          <w:p w14:paraId="3E819DD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14</w:t>
            </w:r>
          </w:p>
        </w:tc>
        <w:tc>
          <w:tcPr>
            <w:tcW w:w="1276" w:type="dxa"/>
          </w:tcPr>
          <w:p w14:paraId="0D903E5C"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3.0</w:t>
            </w:r>
          </w:p>
        </w:tc>
        <w:tc>
          <w:tcPr>
            <w:tcW w:w="1076" w:type="dxa"/>
            <w:vMerge/>
          </w:tcPr>
          <w:p w14:paraId="71B50452"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51437563" w14:textId="77777777" w:rsidTr="00204423">
        <w:trPr>
          <w:trHeight w:val="253"/>
        </w:trPr>
        <w:tc>
          <w:tcPr>
            <w:tcW w:w="2405" w:type="dxa"/>
          </w:tcPr>
          <w:p w14:paraId="16EB7D76"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RCT</w:t>
            </w:r>
          </w:p>
        </w:tc>
        <w:tc>
          <w:tcPr>
            <w:tcW w:w="1276" w:type="dxa"/>
          </w:tcPr>
          <w:p w14:paraId="6338CDD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45</w:t>
            </w:r>
          </w:p>
        </w:tc>
        <w:tc>
          <w:tcPr>
            <w:tcW w:w="1417" w:type="dxa"/>
          </w:tcPr>
          <w:p w14:paraId="153C9C6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18.3</w:t>
            </w:r>
          </w:p>
        </w:tc>
        <w:tc>
          <w:tcPr>
            <w:tcW w:w="1134" w:type="dxa"/>
          </w:tcPr>
          <w:p w14:paraId="5147D35C"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61</w:t>
            </w:r>
          </w:p>
        </w:tc>
        <w:tc>
          <w:tcPr>
            <w:tcW w:w="1276" w:type="dxa"/>
          </w:tcPr>
          <w:p w14:paraId="4B844B0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13.1</w:t>
            </w:r>
          </w:p>
        </w:tc>
        <w:tc>
          <w:tcPr>
            <w:tcW w:w="1076" w:type="dxa"/>
            <w:vMerge/>
          </w:tcPr>
          <w:p w14:paraId="2D3E7CB8"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4E855C25" w14:textId="77777777" w:rsidTr="00204423">
        <w:trPr>
          <w:trHeight w:val="253"/>
        </w:trPr>
        <w:tc>
          <w:tcPr>
            <w:tcW w:w="2405" w:type="dxa"/>
          </w:tcPr>
          <w:p w14:paraId="23FB28F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Systematic Review/Meta-analysis</w:t>
            </w:r>
          </w:p>
        </w:tc>
        <w:tc>
          <w:tcPr>
            <w:tcW w:w="1276" w:type="dxa"/>
          </w:tcPr>
          <w:p w14:paraId="755E4E16"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w:t>
            </w:r>
          </w:p>
        </w:tc>
        <w:tc>
          <w:tcPr>
            <w:tcW w:w="1417" w:type="dxa"/>
          </w:tcPr>
          <w:p w14:paraId="3DE68619"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0.4</w:t>
            </w:r>
          </w:p>
        </w:tc>
        <w:tc>
          <w:tcPr>
            <w:tcW w:w="1134" w:type="dxa"/>
          </w:tcPr>
          <w:p w14:paraId="4FB33A55"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52</w:t>
            </w:r>
          </w:p>
        </w:tc>
        <w:tc>
          <w:tcPr>
            <w:tcW w:w="1276" w:type="dxa"/>
          </w:tcPr>
          <w:p w14:paraId="29D1B322"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11.2</w:t>
            </w:r>
          </w:p>
        </w:tc>
        <w:tc>
          <w:tcPr>
            <w:tcW w:w="1076" w:type="dxa"/>
            <w:vMerge/>
          </w:tcPr>
          <w:p w14:paraId="6CD1FA89"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6078FB9E" w14:textId="77777777" w:rsidTr="00204423">
        <w:trPr>
          <w:trHeight w:val="253"/>
        </w:trPr>
        <w:tc>
          <w:tcPr>
            <w:tcW w:w="2405" w:type="dxa"/>
          </w:tcPr>
          <w:p w14:paraId="6D2CD36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Transition Phase</w:t>
            </w:r>
          </w:p>
        </w:tc>
        <w:tc>
          <w:tcPr>
            <w:tcW w:w="1276" w:type="dxa"/>
          </w:tcPr>
          <w:p w14:paraId="6BB6053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417" w:type="dxa"/>
          </w:tcPr>
          <w:p w14:paraId="40F29B7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134" w:type="dxa"/>
          </w:tcPr>
          <w:p w14:paraId="3644178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276" w:type="dxa"/>
          </w:tcPr>
          <w:p w14:paraId="6D466476"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076" w:type="dxa"/>
          </w:tcPr>
          <w:p w14:paraId="4088F056"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 value</w:t>
            </w:r>
          </w:p>
        </w:tc>
      </w:tr>
      <w:tr w:rsidR="00B914C6" w:rsidRPr="006142DE" w14:paraId="5E662636" w14:textId="77777777" w:rsidTr="00204423">
        <w:trPr>
          <w:trHeight w:val="253"/>
        </w:trPr>
        <w:tc>
          <w:tcPr>
            <w:tcW w:w="2405" w:type="dxa"/>
          </w:tcPr>
          <w:p w14:paraId="1C59B737"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sz w:val="20"/>
                <w:szCs w:val="20"/>
              </w:rPr>
              <w:t>T0</w:t>
            </w:r>
          </w:p>
        </w:tc>
        <w:tc>
          <w:tcPr>
            <w:tcW w:w="1276" w:type="dxa"/>
          </w:tcPr>
          <w:p w14:paraId="38D6722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217</w:t>
            </w:r>
          </w:p>
        </w:tc>
        <w:tc>
          <w:tcPr>
            <w:tcW w:w="1417" w:type="dxa"/>
          </w:tcPr>
          <w:p w14:paraId="15E60C5A"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88.2</w:t>
            </w:r>
          </w:p>
        </w:tc>
        <w:tc>
          <w:tcPr>
            <w:tcW w:w="1134" w:type="dxa"/>
          </w:tcPr>
          <w:p w14:paraId="3574856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421</w:t>
            </w:r>
          </w:p>
        </w:tc>
        <w:tc>
          <w:tcPr>
            <w:tcW w:w="1276" w:type="dxa"/>
          </w:tcPr>
          <w:p w14:paraId="522F914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90.5</w:t>
            </w:r>
          </w:p>
        </w:tc>
        <w:tc>
          <w:tcPr>
            <w:tcW w:w="1076" w:type="dxa"/>
            <w:vMerge w:val="restart"/>
          </w:tcPr>
          <w:p w14:paraId="05E5DD4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0.006</w:t>
            </w:r>
            <w:r>
              <w:rPr>
                <w:rFonts w:ascii="Times New Roman" w:hAnsi="Times New Roman" w:cs="Times New Roman"/>
                <w:sz w:val="20"/>
                <w:szCs w:val="20"/>
              </w:rPr>
              <w:t>*</w:t>
            </w:r>
          </w:p>
        </w:tc>
      </w:tr>
      <w:tr w:rsidR="00B914C6" w:rsidRPr="006142DE" w14:paraId="53E35246" w14:textId="77777777" w:rsidTr="00204423">
        <w:trPr>
          <w:trHeight w:val="253"/>
        </w:trPr>
        <w:tc>
          <w:tcPr>
            <w:tcW w:w="2405" w:type="dxa"/>
          </w:tcPr>
          <w:p w14:paraId="0FD4BB6A"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T1</w:t>
            </w:r>
          </w:p>
        </w:tc>
        <w:tc>
          <w:tcPr>
            <w:tcW w:w="1276" w:type="dxa"/>
          </w:tcPr>
          <w:p w14:paraId="6F26842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18</w:t>
            </w:r>
          </w:p>
        </w:tc>
        <w:tc>
          <w:tcPr>
            <w:tcW w:w="1417" w:type="dxa"/>
          </w:tcPr>
          <w:p w14:paraId="33A8EAA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7.3</w:t>
            </w:r>
          </w:p>
        </w:tc>
        <w:tc>
          <w:tcPr>
            <w:tcW w:w="1134" w:type="dxa"/>
          </w:tcPr>
          <w:p w14:paraId="723E7602"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12</w:t>
            </w:r>
          </w:p>
        </w:tc>
        <w:tc>
          <w:tcPr>
            <w:tcW w:w="1276" w:type="dxa"/>
          </w:tcPr>
          <w:p w14:paraId="61422229"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2.6</w:t>
            </w:r>
          </w:p>
        </w:tc>
        <w:tc>
          <w:tcPr>
            <w:tcW w:w="1076" w:type="dxa"/>
            <w:vMerge/>
          </w:tcPr>
          <w:p w14:paraId="41256D6A"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4AE9F2DC" w14:textId="77777777" w:rsidTr="00204423">
        <w:trPr>
          <w:trHeight w:val="253"/>
        </w:trPr>
        <w:tc>
          <w:tcPr>
            <w:tcW w:w="2405" w:type="dxa"/>
          </w:tcPr>
          <w:p w14:paraId="52D82E4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T2</w:t>
            </w:r>
          </w:p>
        </w:tc>
        <w:tc>
          <w:tcPr>
            <w:tcW w:w="1276" w:type="dxa"/>
          </w:tcPr>
          <w:p w14:paraId="4A754F3C"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11</w:t>
            </w:r>
          </w:p>
        </w:tc>
        <w:tc>
          <w:tcPr>
            <w:tcW w:w="1417" w:type="dxa"/>
          </w:tcPr>
          <w:p w14:paraId="116D960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4.5</w:t>
            </w:r>
          </w:p>
        </w:tc>
        <w:tc>
          <w:tcPr>
            <w:tcW w:w="1134" w:type="dxa"/>
          </w:tcPr>
          <w:p w14:paraId="34214D3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32</w:t>
            </w:r>
          </w:p>
        </w:tc>
        <w:tc>
          <w:tcPr>
            <w:tcW w:w="1276" w:type="dxa"/>
          </w:tcPr>
          <w:p w14:paraId="7C9C9D3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6.9</w:t>
            </w:r>
          </w:p>
        </w:tc>
        <w:tc>
          <w:tcPr>
            <w:tcW w:w="1076" w:type="dxa"/>
            <w:vMerge/>
          </w:tcPr>
          <w:p w14:paraId="1F48E79B"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47D40E22" w14:textId="77777777" w:rsidTr="00204423">
        <w:trPr>
          <w:trHeight w:val="253"/>
        </w:trPr>
        <w:tc>
          <w:tcPr>
            <w:tcW w:w="2405" w:type="dxa"/>
          </w:tcPr>
          <w:p w14:paraId="0C16BBB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Translation process of research</w:t>
            </w:r>
          </w:p>
        </w:tc>
        <w:tc>
          <w:tcPr>
            <w:tcW w:w="1276" w:type="dxa"/>
          </w:tcPr>
          <w:p w14:paraId="5F2B19A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417" w:type="dxa"/>
          </w:tcPr>
          <w:p w14:paraId="1383861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134" w:type="dxa"/>
          </w:tcPr>
          <w:p w14:paraId="37BBEE35"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i/>
                <w:iCs/>
                <w:sz w:val="20"/>
                <w:szCs w:val="20"/>
              </w:rPr>
              <w:t>n</w:t>
            </w:r>
          </w:p>
        </w:tc>
        <w:tc>
          <w:tcPr>
            <w:tcW w:w="1276" w:type="dxa"/>
          </w:tcPr>
          <w:p w14:paraId="3FAE3687"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Proportion (%)</w:t>
            </w:r>
          </w:p>
        </w:tc>
        <w:tc>
          <w:tcPr>
            <w:tcW w:w="1076" w:type="dxa"/>
          </w:tcPr>
          <w:p w14:paraId="196EB9A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b/>
                <w:bCs/>
                <w:sz w:val="20"/>
                <w:szCs w:val="20"/>
              </w:rPr>
              <w:t>P value</w:t>
            </w:r>
          </w:p>
        </w:tc>
      </w:tr>
      <w:tr w:rsidR="00B914C6" w:rsidRPr="006142DE" w14:paraId="3143BACC" w14:textId="77777777" w:rsidTr="00204423">
        <w:trPr>
          <w:trHeight w:val="253"/>
        </w:trPr>
        <w:tc>
          <w:tcPr>
            <w:tcW w:w="2405" w:type="dxa"/>
          </w:tcPr>
          <w:p w14:paraId="2D2F147B" w14:textId="77777777" w:rsidR="00B914C6" w:rsidRPr="006142DE" w:rsidRDefault="00B914C6" w:rsidP="00204423">
            <w:pPr>
              <w:spacing w:after="160" w:line="259" w:lineRule="auto"/>
              <w:rPr>
                <w:rFonts w:ascii="Times New Roman" w:hAnsi="Times New Roman" w:cs="Times New Roman"/>
                <w:b/>
                <w:bCs/>
                <w:sz w:val="20"/>
                <w:szCs w:val="20"/>
              </w:rPr>
            </w:pPr>
            <w:r w:rsidRPr="006142DE">
              <w:rPr>
                <w:rFonts w:ascii="Times New Roman" w:hAnsi="Times New Roman" w:cs="Times New Roman"/>
                <w:sz w:val="20"/>
                <w:szCs w:val="20"/>
              </w:rPr>
              <w:t>Basic Research</w:t>
            </w:r>
          </w:p>
        </w:tc>
        <w:tc>
          <w:tcPr>
            <w:tcW w:w="1276" w:type="dxa"/>
          </w:tcPr>
          <w:p w14:paraId="02317C44"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219</w:t>
            </w:r>
          </w:p>
        </w:tc>
        <w:tc>
          <w:tcPr>
            <w:tcW w:w="1417" w:type="dxa"/>
          </w:tcPr>
          <w:p w14:paraId="3F78FE6A"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89.0</w:t>
            </w:r>
          </w:p>
        </w:tc>
        <w:tc>
          <w:tcPr>
            <w:tcW w:w="1134" w:type="dxa"/>
          </w:tcPr>
          <w:p w14:paraId="1FC50DD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421</w:t>
            </w:r>
          </w:p>
        </w:tc>
        <w:tc>
          <w:tcPr>
            <w:tcW w:w="1276" w:type="dxa"/>
          </w:tcPr>
          <w:p w14:paraId="65AFC53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90.5</w:t>
            </w:r>
          </w:p>
        </w:tc>
        <w:tc>
          <w:tcPr>
            <w:tcW w:w="1076" w:type="dxa"/>
            <w:vMerge w:val="restart"/>
          </w:tcPr>
          <w:p w14:paraId="232DDB5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0.001*</w:t>
            </w:r>
            <w:r>
              <w:rPr>
                <w:rFonts w:ascii="Times New Roman" w:hAnsi="Times New Roman" w:cs="Times New Roman"/>
                <w:sz w:val="20"/>
                <w:szCs w:val="20"/>
                <w:vertAlign w:val="superscript"/>
              </w:rPr>
              <w:t xml:space="preserve"> a</w:t>
            </w:r>
          </w:p>
        </w:tc>
      </w:tr>
      <w:tr w:rsidR="00B914C6" w:rsidRPr="006142DE" w14:paraId="57CA243B" w14:textId="77777777" w:rsidTr="00204423">
        <w:trPr>
          <w:trHeight w:val="253"/>
        </w:trPr>
        <w:tc>
          <w:tcPr>
            <w:tcW w:w="2405" w:type="dxa"/>
          </w:tcPr>
          <w:p w14:paraId="0E61EE11"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Clinical Research</w:t>
            </w:r>
          </w:p>
        </w:tc>
        <w:tc>
          <w:tcPr>
            <w:tcW w:w="1276" w:type="dxa"/>
          </w:tcPr>
          <w:p w14:paraId="5DF6C05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8</w:t>
            </w:r>
          </w:p>
        </w:tc>
        <w:tc>
          <w:tcPr>
            <w:tcW w:w="1417" w:type="dxa"/>
          </w:tcPr>
          <w:p w14:paraId="5E3EA6D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3.3</w:t>
            </w:r>
          </w:p>
        </w:tc>
        <w:tc>
          <w:tcPr>
            <w:tcW w:w="1134" w:type="dxa"/>
          </w:tcPr>
          <w:p w14:paraId="24939E5D"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32</w:t>
            </w:r>
          </w:p>
        </w:tc>
        <w:tc>
          <w:tcPr>
            <w:tcW w:w="1276" w:type="dxa"/>
          </w:tcPr>
          <w:p w14:paraId="4E2F0CD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6.9</w:t>
            </w:r>
          </w:p>
        </w:tc>
        <w:tc>
          <w:tcPr>
            <w:tcW w:w="1076" w:type="dxa"/>
            <w:vMerge/>
          </w:tcPr>
          <w:p w14:paraId="7E0D1ACD"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7A45406C" w14:textId="77777777" w:rsidTr="00204423">
        <w:trPr>
          <w:trHeight w:val="253"/>
        </w:trPr>
        <w:tc>
          <w:tcPr>
            <w:tcW w:w="2405" w:type="dxa"/>
          </w:tcPr>
          <w:p w14:paraId="00DCCBB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Pre-Clinical Research</w:t>
            </w:r>
          </w:p>
        </w:tc>
        <w:tc>
          <w:tcPr>
            <w:tcW w:w="1276" w:type="dxa"/>
          </w:tcPr>
          <w:p w14:paraId="318014F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19</w:t>
            </w:r>
          </w:p>
        </w:tc>
        <w:tc>
          <w:tcPr>
            <w:tcW w:w="1417" w:type="dxa"/>
          </w:tcPr>
          <w:p w14:paraId="19B1B170"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7.7</w:t>
            </w:r>
          </w:p>
        </w:tc>
        <w:tc>
          <w:tcPr>
            <w:tcW w:w="1134" w:type="dxa"/>
          </w:tcPr>
          <w:p w14:paraId="50F0C2E8"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11</w:t>
            </w:r>
          </w:p>
        </w:tc>
        <w:tc>
          <w:tcPr>
            <w:tcW w:w="1276" w:type="dxa"/>
          </w:tcPr>
          <w:p w14:paraId="3F721CB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2.4</w:t>
            </w:r>
          </w:p>
        </w:tc>
        <w:tc>
          <w:tcPr>
            <w:tcW w:w="1076" w:type="dxa"/>
            <w:vMerge/>
          </w:tcPr>
          <w:p w14:paraId="17C4F705" w14:textId="77777777" w:rsidR="00B914C6" w:rsidRPr="006142DE" w:rsidRDefault="00B914C6" w:rsidP="00204423">
            <w:pPr>
              <w:spacing w:after="160" w:line="259" w:lineRule="auto"/>
              <w:rPr>
                <w:rFonts w:ascii="Times New Roman" w:hAnsi="Times New Roman" w:cs="Times New Roman"/>
                <w:sz w:val="20"/>
                <w:szCs w:val="20"/>
              </w:rPr>
            </w:pPr>
          </w:p>
        </w:tc>
      </w:tr>
      <w:tr w:rsidR="00B914C6" w:rsidRPr="006142DE" w14:paraId="583795F3" w14:textId="77777777" w:rsidTr="00204423">
        <w:trPr>
          <w:trHeight w:val="253"/>
        </w:trPr>
        <w:tc>
          <w:tcPr>
            <w:tcW w:w="2405" w:type="dxa"/>
          </w:tcPr>
          <w:p w14:paraId="4DC5659F"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 xml:space="preserve">Public Health </w:t>
            </w:r>
          </w:p>
        </w:tc>
        <w:tc>
          <w:tcPr>
            <w:tcW w:w="1276" w:type="dxa"/>
          </w:tcPr>
          <w:p w14:paraId="28D85E4E"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w:t>
            </w:r>
          </w:p>
        </w:tc>
        <w:tc>
          <w:tcPr>
            <w:tcW w:w="1417" w:type="dxa"/>
          </w:tcPr>
          <w:p w14:paraId="0FA68C23"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w:t>
            </w:r>
          </w:p>
        </w:tc>
        <w:tc>
          <w:tcPr>
            <w:tcW w:w="1134" w:type="dxa"/>
          </w:tcPr>
          <w:p w14:paraId="035ADE3B"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1</w:t>
            </w:r>
          </w:p>
        </w:tc>
        <w:tc>
          <w:tcPr>
            <w:tcW w:w="1276" w:type="dxa"/>
          </w:tcPr>
          <w:p w14:paraId="500C23CC" w14:textId="77777777" w:rsidR="00B914C6" w:rsidRPr="006142DE" w:rsidRDefault="00B914C6" w:rsidP="00204423">
            <w:pPr>
              <w:spacing w:after="160" w:line="259" w:lineRule="auto"/>
              <w:rPr>
                <w:rFonts w:ascii="Times New Roman" w:hAnsi="Times New Roman" w:cs="Times New Roman"/>
                <w:sz w:val="20"/>
                <w:szCs w:val="20"/>
              </w:rPr>
            </w:pPr>
            <w:r w:rsidRPr="006142DE">
              <w:rPr>
                <w:rFonts w:ascii="Times New Roman" w:hAnsi="Times New Roman" w:cs="Times New Roman"/>
                <w:sz w:val="20"/>
                <w:szCs w:val="20"/>
              </w:rPr>
              <w:t>0.2</w:t>
            </w:r>
          </w:p>
        </w:tc>
        <w:tc>
          <w:tcPr>
            <w:tcW w:w="1076" w:type="dxa"/>
            <w:vMerge/>
          </w:tcPr>
          <w:p w14:paraId="7CC622F2" w14:textId="77777777" w:rsidR="00B914C6" w:rsidRPr="006142DE" w:rsidRDefault="00B914C6" w:rsidP="00204423">
            <w:pPr>
              <w:spacing w:after="160" w:line="259" w:lineRule="auto"/>
              <w:rPr>
                <w:rFonts w:ascii="Times New Roman" w:hAnsi="Times New Roman" w:cs="Times New Roman"/>
                <w:sz w:val="20"/>
                <w:szCs w:val="20"/>
              </w:rPr>
            </w:pPr>
          </w:p>
        </w:tc>
      </w:tr>
    </w:tbl>
    <w:p w14:paraId="678064D1" w14:textId="77777777" w:rsidR="00B914C6" w:rsidRDefault="00B914C6" w:rsidP="00B914C6">
      <w:pPr>
        <w:tabs>
          <w:tab w:val="left" w:pos="2271"/>
        </w:tabs>
        <w:spacing w:after="0" w:line="240" w:lineRule="auto"/>
        <w:rPr>
          <w:rFonts w:ascii="Times New Roman" w:hAnsi="Times New Roman" w:cs="Times New Roman"/>
          <w:sz w:val="20"/>
          <w:szCs w:val="20"/>
        </w:rPr>
      </w:pPr>
      <w:r w:rsidRPr="006142DE">
        <w:rPr>
          <w:rFonts w:ascii="Times New Roman" w:hAnsi="Times New Roman" w:cs="Times New Roman"/>
          <w:b/>
          <w:bCs/>
          <w:sz w:val="20"/>
          <w:szCs w:val="20"/>
        </w:rPr>
        <w:t>*</w:t>
      </w:r>
      <w:r w:rsidRPr="009E1E86">
        <w:rPr>
          <w:rFonts w:ascii="Times New Roman" w:hAnsi="Times New Roman" w:cs="Times New Roman"/>
          <w:sz w:val="20"/>
          <w:szCs w:val="20"/>
        </w:rPr>
        <w:t xml:space="preserve"> </w:t>
      </w:r>
      <w:r w:rsidRPr="00BC31C8">
        <w:rPr>
          <w:rFonts w:ascii="Times New Roman" w:hAnsi="Times New Roman" w:cs="Times New Roman"/>
          <w:sz w:val="20"/>
          <w:szCs w:val="20"/>
        </w:rPr>
        <w:t>IFDIT</w:t>
      </w:r>
      <w:r>
        <w:rPr>
          <w:rFonts w:ascii="Times New Roman" w:hAnsi="Times New Roman" w:cs="Times New Roman"/>
          <w:sz w:val="20"/>
          <w:szCs w:val="20"/>
        </w:rPr>
        <w:t>,</w:t>
      </w:r>
      <w:r w:rsidRPr="00BC31C8">
        <w:rPr>
          <w:rFonts w:ascii="Times New Roman" w:hAnsi="Times New Roman" w:cs="Times New Roman"/>
          <w:sz w:val="20"/>
          <w:szCs w:val="20"/>
        </w:rPr>
        <w:t xml:space="preserve"> Integrative Framework of Dissemination, Implementation and Translation; </w:t>
      </w:r>
    </w:p>
    <w:p w14:paraId="43A88216" w14:textId="77777777" w:rsidR="00B914C6" w:rsidRPr="00BC31C8" w:rsidRDefault="00B914C6" w:rsidP="00B914C6">
      <w:pPr>
        <w:tabs>
          <w:tab w:val="left" w:pos="2271"/>
        </w:tabs>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Pr="00BC31C8">
        <w:rPr>
          <w:rFonts w:ascii="Times New Roman" w:hAnsi="Times New Roman" w:cs="Times New Roman"/>
          <w:sz w:val="20"/>
          <w:szCs w:val="20"/>
        </w:rPr>
        <w:t xml:space="preserve">Indicates </w:t>
      </w:r>
      <w:r>
        <w:rPr>
          <w:rFonts w:ascii="Times New Roman" w:hAnsi="Times New Roman" w:cs="Times New Roman"/>
          <w:sz w:val="20"/>
          <w:szCs w:val="20"/>
        </w:rPr>
        <w:t xml:space="preserve">statistical </w:t>
      </w:r>
      <w:r w:rsidRPr="00BC31C8">
        <w:rPr>
          <w:rFonts w:ascii="Times New Roman" w:hAnsi="Times New Roman" w:cs="Times New Roman"/>
          <w:sz w:val="20"/>
          <w:szCs w:val="20"/>
        </w:rPr>
        <w:t xml:space="preserve">significance </w:t>
      </w:r>
      <w:r>
        <w:rPr>
          <w:rFonts w:ascii="Times New Roman" w:hAnsi="Times New Roman" w:cs="Times New Roman"/>
          <w:sz w:val="20"/>
          <w:szCs w:val="20"/>
        </w:rPr>
        <w:t xml:space="preserve">(p&lt;0.05) </w:t>
      </w:r>
      <w:r w:rsidRPr="00BC31C8">
        <w:rPr>
          <w:rFonts w:ascii="Times New Roman" w:hAnsi="Times New Roman" w:cs="Times New Roman"/>
          <w:sz w:val="20"/>
          <w:szCs w:val="20"/>
        </w:rPr>
        <w:t xml:space="preserve">based on 95% CI; </w:t>
      </w:r>
    </w:p>
    <w:p w14:paraId="32936FDE" w14:textId="77777777" w:rsidR="00B914C6" w:rsidRDefault="00B914C6" w:rsidP="00B914C6">
      <w:pPr>
        <w:tabs>
          <w:tab w:val="left" w:pos="2271"/>
        </w:tabs>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BC31C8">
        <w:rPr>
          <w:rFonts w:ascii="Times New Roman" w:hAnsi="Times New Roman" w:cs="Times New Roman"/>
          <w:sz w:val="20"/>
          <w:szCs w:val="20"/>
        </w:rPr>
        <w:t>Person’s chi squared statistical test for difference across time</w:t>
      </w:r>
      <w:r>
        <w:rPr>
          <w:rFonts w:ascii="Times New Roman" w:hAnsi="Times New Roman" w:cs="Times New Roman"/>
          <w:sz w:val="20"/>
          <w:szCs w:val="20"/>
        </w:rPr>
        <w:t xml:space="preserve"> unless otherwise indicated.</w:t>
      </w:r>
    </w:p>
    <w:p w14:paraId="5D376460" w14:textId="77777777" w:rsidR="00B914C6" w:rsidRDefault="00B914C6" w:rsidP="00B914C6">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a</w:t>
      </w:r>
      <w:r w:rsidRPr="006142DE">
        <w:rPr>
          <w:rFonts w:ascii="Times New Roman" w:hAnsi="Times New Roman" w:cs="Times New Roman"/>
          <w:sz w:val="20"/>
          <w:szCs w:val="20"/>
        </w:rPr>
        <w:t xml:space="preserve"> Fisher’s exact test</w:t>
      </w:r>
    </w:p>
    <w:p w14:paraId="317B1013" w14:textId="77777777" w:rsidR="00796E72" w:rsidRDefault="00796E72">
      <w:pPr>
        <w:rPr>
          <w:rFonts w:ascii="Times New Roman" w:hAnsi="Times New Roman" w:cs="Times New Roman"/>
          <w:b/>
          <w:sz w:val="24"/>
          <w:szCs w:val="24"/>
        </w:rPr>
      </w:pPr>
      <w:r>
        <w:rPr>
          <w:rFonts w:ascii="Times New Roman" w:hAnsi="Times New Roman" w:cs="Times New Roman"/>
          <w:b/>
          <w:sz w:val="24"/>
          <w:szCs w:val="24"/>
        </w:rPr>
        <w:br w:type="page"/>
      </w:r>
    </w:p>
    <w:p w14:paraId="0113DE17" w14:textId="5CD6A4BF" w:rsidR="00F62B88" w:rsidRPr="004932CE" w:rsidRDefault="00B921C8" w:rsidP="00B921C8">
      <w:pPr>
        <w:tabs>
          <w:tab w:val="left" w:pos="2271"/>
        </w:tabs>
        <w:spacing w:line="480" w:lineRule="auto"/>
        <w:rPr>
          <w:rFonts w:ascii="Times New Roman" w:hAnsi="Times New Roman" w:cs="Times New Roman"/>
          <w:b/>
          <w:sz w:val="24"/>
          <w:szCs w:val="24"/>
        </w:rPr>
      </w:pPr>
      <w:r w:rsidRPr="004932CE">
        <w:rPr>
          <w:rFonts w:ascii="Times New Roman" w:hAnsi="Times New Roman" w:cs="Times New Roman"/>
          <w:b/>
          <w:sz w:val="24"/>
          <w:szCs w:val="24"/>
        </w:rPr>
        <w:lastRenderedPageBreak/>
        <w:t>References</w:t>
      </w:r>
    </w:p>
    <w:p w14:paraId="723BD977" w14:textId="6BC1173C" w:rsidR="00B921C8" w:rsidRPr="00B76C99" w:rsidRDefault="00B921C8" w:rsidP="00B921C8">
      <w:pPr>
        <w:numPr>
          <w:ilvl w:val="0"/>
          <w:numId w:val="1"/>
        </w:numPr>
        <w:spacing w:after="0" w:line="480" w:lineRule="auto"/>
        <w:ind w:left="540"/>
        <w:textAlignment w:val="center"/>
        <w:rPr>
          <w:rFonts w:eastAsia="Times New Roman"/>
          <w:color w:val="000000"/>
          <w:lang w:eastAsia="en-AU"/>
        </w:rPr>
      </w:pPr>
      <w:r w:rsidRPr="00B76C99">
        <w:rPr>
          <w:rFonts w:eastAsia="Times New Roman"/>
          <w:color w:val="000000"/>
          <w:lang w:eastAsia="en-AU"/>
        </w:rPr>
        <w:t>Sanson-Fisher RW, Campbell EM, Htun AT</w:t>
      </w:r>
      <w:r w:rsidR="00C0660C" w:rsidRPr="00B76C99">
        <w:rPr>
          <w:rFonts w:eastAsia="Times New Roman"/>
          <w:color w:val="000000"/>
          <w:lang w:eastAsia="en-AU"/>
        </w:rPr>
        <w:t xml:space="preserve"> </w:t>
      </w:r>
      <w:r w:rsidR="00C0660C" w:rsidRPr="00B76C99">
        <w:rPr>
          <w:rFonts w:eastAsia="Times New Roman"/>
          <w:i/>
          <w:iCs/>
          <w:color w:val="000000"/>
          <w:lang w:eastAsia="en-AU"/>
        </w:rPr>
        <w:t xml:space="preserve">et al. </w:t>
      </w:r>
      <w:r w:rsidR="00C0660C" w:rsidRPr="00B76C99">
        <w:rPr>
          <w:rFonts w:eastAsia="Times New Roman"/>
          <w:color w:val="000000"/>
          <w:lang w:eastAsia="en-AU"/>
        </w:rPr>
        <w:t xml:space="preserve">(2008) </w:t>
      </w:r>
      <w:r w:rsidRPr="00B76C99">
        <w:rPr>
          <w:rFonts w:eastAsia="Times New Roman"/>
          <w:color w:val="000000"/>
          <w:lang w:eastAsia="en-AU"/>
        </w:rPr>
        <w:t xml:space="preserve">We are what we do: research outputs of public health. </w:t>
      </w:r>
      <w:r w:rsidR="0058601D" w:rsidRPr="00B76C99">
        <w:rPr>
          <w:rFonts w:eastAsia="Times New Roman"/>
          <w:i/>
          <w:iCs/>
          <w:color w:val="000000"/>
          <w:lang w:eastAsia="en-AU"/>
        </w:rPr>
        <w:t xml:space="preserve">Am J Prev Med </w:t>
      </w:r>
      <w:r w:rsidRPr="00B76C99">
        <w:rPr>
          <w:rFonts w:eastAsia="Times New Roman"/>
          <w:b/>
          <w:bCs/>
          <w:color w:val="000000"/>
          <w:lang w:eastAsia="en-AU"/>
        </w:rPr>
        <w:t>35</w:t>
      </w:r>
      <w:r w:rsidR="00A358E2" w:rsidRPr="00B76C99">
        <w:rPr>
          <w:rFonts w:eastAsia="Times New Roman"/>
          <w:color w:val="000000"/>
          <w:lang w:eastAsia="en-AU"/>
        </w:rPr>
        <w:t xml:space="preserve">, </w:t>
      </w:r>
      <w:r w:rsidRPr="00B76C99">
        <w:rPr>
          <w:rFonts w:eastAsia="Times New Roman"/>
          <w:color w:val="000000"/>
          <w:lang w:eastAsia="en-AU"/>
        </w:rPr>
        <w:t>380-5.</w:t>
      </w:r>
    </w:p>
    <w:p w14:paraId="1A52B2F7" w14:textId="77777777" w:rsidR="00B76C99" w:rsidRPr="00B76C99" w:rsidRDefault="00B76C99" w:rsidP="00B921C8">
      <w:pPr>
        <w:numPr>
          <w:ilvl w:val="0"/>
          <w:numId w:val="1"/>
        </w:numPr>
        <w:spacing w:after="0" w:line="480" w:lineRule="auto"/>
        <w:ind w:left="540"/>
        <w:textAlignment w:val="center"/>
        <w:rPr>
          <w:rFonts w:eastAsia="Times New Roman"/>
          <w:color w:val="000000"/>
          <w:lang w:eastAsia="en-AU"/>
        </w:rPr>
      </w:pPr>
      <w:r w:rsidRPr="00B76C99">
        <w:rPr>
          <w:noProof/>
        </w:rPr>
        <w:t xml:space="preserve">National Health Medical Research Council (2009) NHMRC additional levels of evidence and grades for recommendations for developers of guidelines. </w:t>
      </w:r>
      <w:r w:rsidRPr="00B76C99">
        <w:rPr>
          <w:i/>
          <w:noProof/>
        </w:rPr>
        <w:t>NHMRC</w:t>
      </w:r>
      <w:r w:rsidRPr="00B76C99">
        <w:rPr>
          <w:noProof/>
        </w:rPr>
        <w:t>.</w:t>
      </w:r>
    </w:p>
    <w:p w14:paraId="4F3E2BC0" w14:textId="71A879EE" w:rsidR="00B921C8" w:rsidRPr="00B76C99" w:rsidRDefault="00F04D09" w:rsidP="00B921C8">
      <w:pPr>
        <w:numPr>
          <w:ilvl w:val="0"/>
          <w:numId w:val="1"/>
        </w:numPr>
        <w:spacing w:after="0" w:line="480" w:lineRule="auto"/>
        <w:ind w:left="540"/>
        <w:textAlignment w:val="center"/>
        <w:rPr>
          <w:rFonts w:eastAsia="Times New Roman"/>
          <w:color w:val="000000"/>
          <w:lang w:eastAsia="en-AU"/>
        </w:rPr>
      </w:pPr>
      <w:r w:rsidRPr="00B76C99">
        <w:rPr>
          <w:rFonts w:eastAsia="Times New Roman"/>
          <w:color w:val="000000"/>
          <w:lang w:eastAsia="en-AU"/>
        </w:rPr>
        <w:t xml:space="preserve">World Health Organization (2020) </w:t>
      </w:r>
      <w:r w:rsidR="00B921C8" w:rsidRPr="00B76C99">
        <w:rPr>
          <w:rFonts w:eastAsia="Times New Roman"/>
          <w:color w:val="000000"/>
          <w:lang w:eastAsia="en-AU"/>
        </w:rPr>
        <w:t>Cost-effectiveness analysis for health interventions</w:t>
      </w:r>
      <w:r w:rsidR="00CC452D" w:rsidRPr="00B76C99">
        <w:rPr>
          <w:rFonts w:eastAsia="Times New Roman"/>
          <w:color w:val="000000"/>
          <w:lang w:eastAsia="en-AU"/>
        </w:rPr>
        <w:t>.</w:t>
      </w:r>
      <w:r w:rsidR="00B921C8" w:rsidRPr="00B76C99">
        <w:rPr>
          <w:rFonts w:eastAsia="Times New Roman"/>
          <w:color w:val="000000"/>
          <w:lang w:eastAsia="en-AU"/>
        </w:rPr>
        <w:t xml:space="preserve"> </w:t>
      </w:r>
      <w:hyperlink r:id="rId10" w:history="1">
        <w:r w:rsidRPr="00B76C99">
          <w:rPr>
            <w:rStyle w:val="Hyperlink"/>
            <w:rFonts w:eastAsia="Times New Roman"/>
            <w:lang w:eastAsia="en-AU"/>
          </w:rPr>
          <w:t>https://www.who.int/heli/economics/costeffanalysis/en/</w:t>
        </w:r>
      </w:hyperlink>
      <w:r w:rsidRPr="00B76C99">
        <w:rPr>
          <w:rFonts w:eastAsia="Times New Roman"/>
          <w:color w:val="000000"/>
          <w:lang w:eastAsia="en-AU"/>
        </w:rPr>
        <w:t xml:space="preserve"> (accessed August 2020). </w:t>
      </w:r>
    </w:p>
    <w:p w14:paraId="1F214FD3" w14:textId="456FB34C" w:rsidR="00B921C8" w:rsidRPr="00B76C99" w:rsidRDefault="00B921C8" w:rsidP="00B921C8">
      <w:pPr>
        <w:numPr>
          <w:ilvl w:val="0"/>
          <w:numId w:val="1"/>
        </w:numPr>
        <w:spacing w:after="0" w:line="480" w:lineRule="auto"/>
        <w:ind w:left="540"/>
        <w:textAlignment w:val="center"/>
        <w:rPr>
          <w:rFonts w:eastAsia="Times New Roman"/>
          <w:color w:val="000000"/>
          <w:lang w:eastAsia="en-AU"/>
        </w:rPr>
      </w:pPr>
      <w:r w:rsidRPr="00B76C99">
        <w:rPr>
          <w:rFonts w:eastAsia="Times New Roman"/>
          <w:color w:val="000000"/>
          <w:lang w:eastAsia="en-AU"/>
        </w:rPr>
        <w:t>Hammarberg K, Kirkman M, de Lacey S</w:t>
      </w:r>
      <w:r w:rsidR="00C0660C" w:rsidRPr="00B76C99">
        <w:rPr>
          <w:rFonts w:eastAsia="Times New Roman"/>
          <w:color w:val="000000"/>
          <w:lang w:eastAsia="en-AU"/>
        </w:rPr>
        <w:t xml:space="preserve"> (2016) </w:t>
      </w:r>
      <w:r w:rsidRPr="00B76C99">
        <w:rPr>
          <w:rFonts w:eastAsia="Times New Roman"/>
          <w:color w:val="000000"/>
          <w:lang w:eastAsia="en-AU"/>
        </w:rPr>
        <w:t xml:space="preserve">Qualitative research methods: when to use them and how to judge them. </w:t>
      </w:r>
      <w:r w:rsidR="001F2C9C" w:rsidRPr="00B76C99">
        <w:rPr>
          <w:rFonts w:eastAsia="Times New Roman"/>
          <w:i/>
          <w:iCs/>
          <w:color w:val="000000"/>
          <w:lang w:eastAsia="en-AU"/>
        </w:rPr>
        <w:t xml:space="preserve">Hum Reprod </w:t>
      </w:r>
      <w:r w:rsidRPr="00B76C99">
        <w:rPr>
          <w:rFonts w:eastAsia="Times New Roman"/>
          <w:b/>
          <w:bCs/>
          <w:color w:val="000000"/>
          <w:lang w:eastAsia="en-AU"/>
        </w:rPr>
        <w:t>31</w:t>
      </w:r>
      <w:r w:rsidR="00A358E2" w:rsidRPr="00B76C99">
        <w:rPr>
          <w:rFonts w:eastAsia="Times New Roman"/>
          <w:color w:val="000000"/>
          <w:lang w:eastAsia="en-AU"/>
        </w:rPr>
        <w:t xml:space="preserve">, </w:t>
      </w:r>
      <w:r w:rsidRPr="00B76C99">
        <w:rPr>
          <w:rFonts w:eastAsia="Times New Roman"/>
          <w:color w:val="000000"/>
          <w:lang w:eastAsia="en-AU"/>
        </w:rPr>
        <w:t>498-501.</w:t>
      </w:r>
    </w:p>
    <w:p w14:paraId="5C001AC8" w14:textId="4E6DBFAD" w:rsidR="00B921C8" w:rsidRPr="00B76C99" w:rsidRDefault="00B921C8" w:rsidP="00B921C8">
      <w:pPr>
        <w:numPr>
          <w:ilvl w:val="0"/>
          <w:numId w:val="2"/>
        </w:numPr>
        <w:spacing w:after="0" w:line="480" w:lineRule="auto"/>
        <w:ind w:left="540"/>
        <w:textAlignment w:val="center"/>
        <w:rPr>
          <w:rFonts w:eastAsia="Times New Roman"/>
          <w:color w:val="000000"/>
          <w:lang w:eastAsia="en-AU"/>
        </w:rPr>
      </w:pPr>
      <w:r w:rsidRPr="00B76C99">
        <w:rPr>
          <w:rFonts w:eastAsia="Times New Roman"/>
          <w:color w:val="000000"/>
          <w:lang w:eastAsia="en-AU"/>
        </w:rPr>
        <w:t>Shorten A, Smith J</w:t>
      </w:r>
      <w:r w:rsidR="00C0660C" w:rsidRPr="00B76C99">
        <w:rPr>
          <w:rFonts w:eastAsia="Times New Roman"/>
          <w:color w:val="000000"/>
          <w:lang w:eastAsia="en-AU"/>
        </w:rPr>
        <w:t xml:space="preserve"> (2017)</w:t>
      </w:r>
      <w:r w:rsidRPr="00B76C99">
        <w:rPr>
          <w:rFonts w:eastAsia="Times New Roman"/>
          <w:color w:val="000000"/>
          <w:lang w:eastAsia="en-AU"/>
        </w:rPr>
        <w:t xml:space="preserve"> Mixed methods research: expanding the evidence base. </w:t>
      </w:r>
      <w:r w:rsidR="001F2C9C" w:rsidRPr="00B76C99">
        <w:rPr>
          <w:rFonts w:eastAsia="Times New Roman"/>
          <w:i/>
          <w:iCs/>
          <w:color w:val="000000"/>
          <w:lang w:eastAsia="en-AU"/>
        </w:rPr>
        <w:t xml:space="preserve">Evid Based Nurs </w:t>
      </w:r>
      <w:r w:rsidRPr="00B76C99">
        <w:rPr>
          <w:rFonts w:eastAsia="Times New Roman"/>
          <w:b/>
          <w:bCs/>
          <w:color w:val="000000"/>
          <w:lang w:eastAsia="en-AU"/>
        </w:rPr>
        <w:t>20</w:t>
      </w:r>
      <w:r w:rsidR="00A358E2" w:rsidRPr="00B76C99">
        <w:rPr>
          <w:rFonts w:eastAsia="Times New Roman"/>
          <w:color w:val="000000"/>
          <w:lang w:eastAsia="en-AU"/>
        </w:rPr>
        <w:t xml:space="preserve">, </w:t>
      </w:r>
      <w:r w:rsidRPr="00B76C99">
        <w:rPr>
          <w:rFonts w:eastAsia="Times New Roman"/>
          <w:color w:val="000000"/>
          <w:lang w:eastAsia="en-AU"/>
        </w:rPr>
        <w:t>74.</w:t>
      </w:r>
    </w:p>
    <w:p w14:paraId="0B104F4A" w14:textId="3290F72E" w:rsidR="00B921C8" w:rsidRPr="00B76C99" w:rsidRDefault="00B921C8" w:rsidP="00B921C8">
      <w:pPr>
        <w:numPr>
          <w:ilvl w:val="0"/>
          <w:numId w:val="2"/>
        </w:numPr>
        <w:spacing w:after="0" w:line="480" w:lineRule="auto"/>
        <w:ind w:left="540"/>
        <w:textAlignment w:val="center"/>
        <w:rPr>
          <w:rFonts w:eastAsia="Times New Roman"/>
          <w:color w:val="000000"/>
          <w:lang w:eastAsia="en-AU"/>
        </w:rPr>
      </w:pPr>
      <w:r w:rsidRPr="00B76C99">
        <w:rPr>
          <w:rFonts w:eastAsia="Times New Roman"/>
          <w:color w:val="000000"/>
          <w:lang w:eastAsia="en-AU"/>
        </w:rPr>
        <w:t>Glasgow RE, Vinson C, Chambers D</w:t>
      </w:r>
      <w:r w:rsidR="00C0660C" w:rsidRPr="00B76C99">
        <w:rPr>
          <w:rFonts w:eastAsia="Times New Roman"/>
          <w:color w:val="000000"/>
          <w:lang w:eastAsia="en-AU"/>
        </w:rPr>
        <w:t xml:space="preserve"> </w:t>
      </w:r>
      <w:r w:rsidR="00C0660C" w:rsidRPr="00B76C99">
        <w:rPr>
          <w:rFonts w:eastAsia="Times New Roman"/>
          <w:i/>
          <w:iCs/>
          <w:color w:val="000000"/>
          <w:lang w:eastAsia="en-AU"/>
        </w:rPr>
        <w:t xml:space="preserve">et al. </w:t>
      </w:r>
      <w:r w:rsidR="00C0660C" w:rsidRPr="00B76C99">
        <w:rPr>
          <w:rFonts w:eastAsia="Times New Roman"/>
          <w:color w:val="000000"/>
          <w:lang w:eastAsia="en-AU"/>
        </w:rPr>
        <w:t xml:space="preserve">(2012) </w:t>
      </w:r>
      <w:r w:rsidRPr="00B76C99">
        <w:rPr>
          <w:rFonts w:eastAsia="Times New Roman"/>
          <w:color w:val="000000"/>
          <w:lang w:eastAsia="en-AU"/>
        </w:rPr>
        <w:t xml:space="preserve">National Institutes of Health approaches to dissemination and implementation science: current and future directions. </w:t>
      </w:r>
      <w:r w:rsidR="00ED4DBD" w:rsidRPr="00B76C99">
        <w:rPr>
          <w:rFonts w:eastAsia="Times New Roman"/>
          <w:i/>
          <w:iCs/>
          <w:color w:val="000000"/>
          <w:lang w:eastAsia="en-AU"/>
        </w:rPr>
        <w:t xml:space="preserve">Am J Public Health </w:t>
      </w:r>
      <w:r w:rsidRPr="00B76C99">
        <w:rPr>
          <w:rFonts w:eastAsia="Times New Roman"/>
          <w:b/>
          <w:bCs/>
          <w:color w:val="000000"/>
          <w:lang w:eastAsia="en-AU"/>
        </w:rPr>
        <w:t>102</w:t>
      </w:r>
      <w:r w:rsidR="00A358E2" w:rsidRPr="00B76C99">
        <w:rPr>
          <w:rFonts w:eastAsia="Times New Roman"/>
          <w:color w:val="000000"/>
          <w:lang w:eastAsia="en-AU"/>
        </w:rPr>
        <w:t xml:space="preserve">, </w:t>
      </w:r>
      <w:r w:rsidRPr="00B76C99">
        <w:rPr>
          <w:rFonts w:eastAsia="Times New Roman"/>
          <w:color w:val="000000"/>
          <w:lang w:eastAsia="en-AU"/>
        </w:rPr>
        <w:t>1274-81.</w:t>
      </w:r>
    </w:p>
    <w:p w14:paraId="0BBE7B30" w14:textId="3D2C7D3F" w:rsidR="00B921C8" w:rsidRPr="00B76C99" w:rsidRDefault="00B921C8" w:rsidP="00B921C8">
      <w:pPr>
        <w:numPr>
          <w:ilvl w:val="0"/>
          <w:numId w:val="3"/>
        </w:numPr>
        <w:spacing w:after="0" w:line="480" w:lineRule="auto"/>
        <w:ind w:left="540"/>
        <w:textAlignment w:val="center"/>
        <w:rPr>
          <w:rFonts w:eastAsia="Times New Roman"/>
          <w:color w:val="000000"/>
          <w:lang w:eastAsia="en-AU"/>
        </w:rPr>
      </w:pPr>
      <w:r w:rsidRPr="00B76C99">
        <w:rPr>
          <w:rFonts w:eastAsia="Times New Roman"/>
          <w:color w:val="000000"/>
          <w:lang w:eastAsia="en-AU"/>
        </w:rPr>
        <w:t xml:space="preserve">Leppin AL, Mahoney JE, Stevens KR </w:t>
      </w:r>
      <w:r w:rsidRPr="00B76C99">
        <w:rPr>
          <w:rFonts w:eastAsia="Times New Roman"/>
          <w:i/>
          <w:iCs/>
          <w:color w:val="000000"/>
          <w:lang w:eastAsia="en-AU"/>
        </w:rPr>
        <w:t>et al</w:t>
      </w:r>
      <w:r w:rsidR="007D5ACF" w:rsidRPr="00B76C99">
        <w:rPr>
          <w:rFonts w:eastAsia="Times New Roman"/>
          <w:i/>
          <w:iCs/>
          <w:color w:val="000000"/>
          <w:lang w:eastAsia="en-AU"/>
        </w:rPr>
        <w:t xml:space="preserve"> </w:t>
      </w:r>
      <w:r w:rsidR="007D5ACF" w:rsidRPr="00B76C99">
        <w:rPr>
          <w:rFonts w:eastAsia="Times New Roman"/>
          <w:color w:val="000000"/>
          <w:lang w:eastAsia="en-AU"/>
        </w:rPr>
        <w:t xml:space="preserve">(2019) </w:t>
      </w:r>
      <w:r w:rsidRPr="00B76C99">
        <w:rPr>
          <w:rFonts w:eastAsia="Times New Roman"/>
          <w:color w:val="000000"/>
          <w:lang w:eastAsia="en-AU"/>
        </w:rPr>
        <w:t>Situating dissemination and implementation sciences within and across the translational research spectrum.</w:t>
      </w:r>
      <w:r w:rsidR="007D5ACF" w:rsidRPr="00B76C99">
        <w:rPr>
          <w:rFonts w:eastAsia="Times New Roman"/>
          <w:color w:val="000000"/>
          <w:lang w:eastAsia="en-AU"/>
        </w:rPr>
        <w:t xml:space="preserve"> </w:t>
      </w:r>
      <w:r w:rsidR="00D04F87" w:rsidRPr="00B76C99">
        <w:rPr>
          <w:rFonts w:eastAsia="Times New Roman"/>
          <w:i/>
          <w:iCs/>
          <w:color w:val="000000"/>
          <w:lang w:eastAsia="en-AU"/>
        </w:rPr>
        <w:t xml:space="preserve"> J Clin Transl Sci </w:t>
      </w:r>
      <w:r w:rsidR="007D5ACF" w:rsidRPr="00B76C99">
        <w:rPr>
          <w:rFonts w:eastAsia="Times New Roman"/>
          <w:b/>
          <w:bCs/>
          <w:color w:val="000000"/>
          <w:lang w:eastAsia="en-AU"/>
        </w:rPr>
        <w:t xml:space="preserve">4, </w:t>
      </w:r>
      <w:r w:rsidRPr="00B76C99">
        <w:rPr>
          <w:rFonts w:eastAsia="Times New Roman"/>
          <w:color w:val="000000"/>
          <w:lang w:eastAsia="en-AU"/>
        </w:rPr>
        <w:t>1-7.</w:t>
      </w:r>
    </w:p>
    <w:p w14:paraId="16D788D8" w14:textId="77777777" w:rsidR="00B81DE6" w:rsidRPr="00B76C99" w:rsidRDefault="00B921C8" w:rsidP="00B81DE6">
      <w:pPr>
        <w:numPr>
          <w:ilvl w:val="0"/>
          <w:numId w:val="3"/>
        </w:numPr>
        <w:spacing w:line="480" w:lineRule="auto"/>
        <w:ind w:left="540"/>
        <w:textAlignment w:val="center"/>
        <w:rPr>
          <w:rFonts w:eastAsia="Times New Roman"/>
          <w:color w:val="000000"/>
          <w:lang w:eastAsia="en-AU"/>
        </w:rPr>
      </w:pPr>
      <w:r w:rsidRPr="00B76C99">
        <w:rPr>
          <w:rFonts w:eastAsia="Times New Roman"/>
          <w:color w:val="000000"/>
          <w:lang w:eastAsia="en-AU"/>
        </w:rPr>
        <w:t>National Health and Medical Research Council</w:t>
      </w:r>
      <w:r w:rsidR="00CC452D" w:rsidRPr="00B76C99">
        <w:rPr>
          <w:rFonts w:eastAsia="Times New Roman"/>
          <w:color w:val="000000"/>
          <w:lang w:eastAsia="en-AU"/>
        </w:rPr>
        <w:t xml:space="preserve"> (2019)</w:t>
      </w:r>
      <w:r w:rsidRPr="00B76C99">
        <w:rPr>
          <w:rFonts w:eastAsia="Times New Roman"/>
          <w:color w:val="000000"/>
          <w:lang w:eastAsia="en-AU"/>
        </w:rPr>
        <w:t xml:space="preserve"> Guidelines for Guidelines: Dissemination and communication.</w:t>
      </w:r>
      <w:r w:rsidR="00CC452D" w:rsidRPr="00B76C99">
        <w:rPr>
          <w:rFonts w:eastAsia="Times New Roman"/>
          <w:color w:val="000000"/>
          <w:lang w:eastAsia="en-AU"/>
        </w:rPr>
        <w:t xml:space="preserve"> </w:t>
      </w:r>
      <w:hyperlink r:id="rId11" w:history="1">
        <w:r w:rsidRPr="00B76C99">
          <w:rPr>
            <w:rFonts w:eastAsia="Times New Roman"/>
            <w:color w:val="0000FF"/>
            <w:u w:val="single"/>
            <w:lang w:eastAsia="en-AU"/>
          </w:rPr>
          <w:t>https://www.nhmrc.gov.au/guidelinesforguidelines/implement/dissemination-and-communication</w:t>
        </w:r>
      </w:hyperlink>
      <w:r w:rsidR="00CC452D" w:rsidRPr="00B76C99">
        <w:rPr>
          <w:rFonts w:eastAsia="Times New Roman"/>
          <w:color w:val="000000"/>
          <w:lang w:eastAsia="en-AU"/>
        </w:rPr>
        <w:t xml:space="preserve"> (accessed June 2020).</w:t>
      </w:r>
    </w:p>
    <w:p w14:paraId="449C7EAF" w14:textId="2C7F3798" w:rsidR="00B81DE6" w:rsidRPr="00B76C99" w:rsidRDefault="00B81DE6" w:rsidP="00B81DE6">
      <w:pPr>
        <w:numPr>
          <w:ilvl w:val="0"/>
          <w:numId w:val="3"/>
        </w:numPr>
        <w:spacing w:line="480" w:lineRule="auto"/>
        <w:ind w:left="540"/>
        <w:textAlignment w:val="center"/>
        <w:rPr>
          <w:rFonts w:eastAsia="Times New Roman"/>
          <w:color w:val="000000"/>
          <w:lang w:eastAsia="en-AU"/>
        </w:rPr>
      </w:pPr>
      <w:r w:rsidRPr="00B76C99">
        <w:rPr>
          <w:rFonts w:eastAsia="Times New Roman"/>
          <w:color w:val="000000"/>
          <w:lang w:eastAsia="en-AU"/>
        </w:rPr>
        <w:t xml:space="preserve">Scheirer MA, Dearing JW (2011) An Agenda for Research on the Sustainability of Public Health Programs. </w:t>
      </w:r>
      <w:r w:rsidR="003E539C" w:rsidRPr="00B76C99">
        <w:rPr>
          <w:rFonts w:eastAsia="Times New Roman"/>
          <w:i/>
          <w:iCs/>
          <w:color w:val="000000"/>
          <w:lang w:eastAsia="en-AU"/>
        </w:rPr>
        <w:t xml:space="preserve">Am J Public Health </w:t>
      </w:r>
      <w:r w:rsidRPr="00B76C99">
        <w:rPr>
          <w:rFonts w:eastAsia="Times New Roman"/>
          <w:b/>
          <w:bCs/>
          <w:color w:val="000000"/>
          <w:lang w:eastAsia="en-AU"/>
        </w:rPr>
        <w:t>101</w:t>
      </w:r>
      <w:r w:rsidRPr="00B76C99">
        <w:rPr>
          <w:rFonts w:eastAsia="Times New Roman"/>
          <w:color w:val="000000"/>
          <w:lang w:eastAsia="en-AU"/>
        </w:rPr>
        <w:t>, 2059-67.</w:t>
      </w:r>
    </w:p>
    <w:p w14:paraId="5E701A92" w14:textId="77777777" w:rsidR="00B76C99" w:rsidRPr="00B76C99" w:rsidRDefault="00B76C99" w:rsidP="009C5F48">
      <w:pPr>
        <w:numPr>
          <w:ilvl w:val="0"/>
          <w:numId w:val="3"/>
        </w:numPr>
        <w:spacing w:line="480" w:lineRule="auto"/>
        <w:ind w:left="540"/>
        <w:textAlignment w:val="center"/>
        <w:rPr>
          <w:rFonts w:eastAsia="Times New Roman"/>
          <w:color w:val="000000"/>
          <w:lang w:eastAsia="en-AU"/>
        </w:rPr>
      </w:pPr>
      <w:r w:rsidRPr="00B76C99">
        <w:rPr>
          <w:noProof/>
        </w:rPr>
        <w:t xml:space="preserve">U.S. Department of Health and Human Services &amp; National Institute of Health Implementation Science at a glance: a guide for cancer control practitioners. . </w:t>
      </w:r>
      <w:r w:rsidRPr="00B76C99">
        <w:t>https://cancercontrol.cancer.gov/IS/docs/NCI-ISaaG-Workbook.pdf</w:t>
      </w:r>
      <w:r w:rsidRPr="00B76C99">
        <w:rPr>
          <w:noProof/>
        </w:rPr>
        <w:t xml:space="preserve"> (accessed June 9, 2020</w:t>
      </w:r>
      <w:r w:rsidRPr="00B76C99">
        <w:t>)</w:t>
      </w:r>
      <w:r w:rsidRPr="00B76C99">
        <w:rPr>
          <w:noProof/>
        </w:rPr>
        <w:t xml:space="preserve"> </w:t>
      </w:r>
    </w:p>
    <w:p w14:paraId="0675B161" w14:textId="0DB839FE" w:rsidR="009C5F48" w:rsidRPr="00B76C99" w:rsidRDefault="00B921C8" w:rsidP="009C5F48">
      <w:pPr>
        <w:numPr>
          <w:ilvl w:val="0"/>
          <w:numId w:val="3"/>
        </w:numPr>
        <w:spacing w:line="480" w:lineRule="auto"/>
        <w:ind w:left="540"/>
        <w:textAlignment w:val="center"/>
        <w:rPr>
          <w:rFonts w:eastAsia="Times New Roman"/>
          <w:color w:val="000000"/>
          <w:lang w:eastAsia="en-AU"/>
        </w:rPr>
      </w:pPr>
      <w:r w:rsidRPr="00B76C99">
        <w:rPr>
          <w:rFonts w:eastAsia="Times New Roman"/>
          <w:color w:val="000000"/>
          <w:lang w:eastAsia="en-AU"/>
        </w:rPr>
        <w:lastRenderedPageBreak/>
        <w:t>Stirman S, Baumann AA, Miller CJ</w:t>
      </w:r>
      <w:r w:rsidR="005E7389" w:rsidRPr="00B76C99">
        <w:rPr>
          <w:rFonts w:eastAsia="Times New Roman"/>
          <w:color w:val="000000"/>
          <w:lang w:eastAsia="en-AU"/>
        </w:rPr>
        <w:t xml:space="preserve"> (2019) </w:t>
      </w:r>
      <w:r w:rsidRPr="00B76C99">
        <w:rPr>
          <w:rFonts w:eastAsia="Times New Roman"/>
          <w:color w:val="000000"/>
          <w:lang w:eastAsia="en-AU"/>
        </w:rPr>
        <w:t xml:space="preserve">The FRAME: an expanded framework for reporting adaptations and modifications to evidence-based interventions. </w:t>
      </w:r>
      <w:r w:rsidR="00980DD6" w:rsidRPr="00B76C99">
        <w:rPr>
          <w:rFonts w:eastAsia="Times New Roman"/>
          <w:i/>
          <w:iCs/>
          <w:color w:val="000000"/>
          <w:lang w:eastAsia="en-AU"/>
        </w:rPr>
        <w:t xml:space="preserve">Implement Sci </w:t>
      </w:r>
      <w:r w:rsidRPr="00B76C99">
        <w:rPr>
          <w:rFonts w:eastAsia="Times New Roman"/>
          <w:b/>
          <w:bCs/>
          <w:color w:val="000000"/>
          <w:lang w:eastAsia="en-AU"/>
        </w:rPr>
        <w:t>14</w:t>
      </w:r>
      <w:r w:rsidR="00A358E2" w:rsidRPr="00B76C99">
        <w:rPr>
          <w:rFonts w:eastAsia="Times New Roman"/>
          <w:color w:val="000000"/>
          <w:lang w:eastAsia="en-AU"/>
        </w:rPr>
        <w:t xml:space="preserve">, </w:t>
      </w:r>
      <w:r w:rsidRPr="00B76C99">
        <w:rPr>
          <w:rFonts w:eastAsia="Times New Roman"/>
          <w:color w:val="000000"/>
          <w:lang w:eastAsia="en-AU"/>
        </w:rPr>
        <w:t>58</w:t>
      </w:r>
    </w:p>
    <w:p w14:paraId="7DB7FEE3" w14:textId="568EEF86" w:rsidR="00B921C8" w:rsidRPr="00B76C99" w:rsidRDefault="00B921C8" w:rsidP="009C5F48">
      <w:pPr>
        <w:numPr>
          <w:ilvl w:val="0"/>
          <w:numId w:val="3"/>
        </w:numPr>
        <w:spacing w:line="480" w:lineRule="auto"/>
        <w:ind w:left="540"/>
        <w:textAlignment w:val="center"/>
        <w:rPr>
          <w:rFonts w:eastAsia="Times New Roman"/>
          <w:color w:val="000000"/>
          <w:lang w:eastAsia="en-AU"/>
        </w:rPr>
      </w:pPr>
      <w:r w:rsidRPr="00B76C99">
        <w:rPr>
          <w:rFonts w:eastAsia="Times New Roman"/>
          <w:color w:val="000000"/>
          <w:lang w:eastAsia="en-AU"/>
        </w:rPr>
        <w:t>Milat AJ, Newson R, King L</w:t>
      </w:r>
      <w:r w:rsidR="005E7389" w:rsidRPr="00B76C99">
        <w:rPr>
          <w:rFonts w:eastAsia="Times New Roman"/>
          <w:color w:val="000000"/>
          <w:lang w:eastAsia="en-AU"/>
        </w:rPr>
        <w:t xml:space="preserve"> </w:t>
      </w:r>
      <w:r w:rsidRPr="00B76C99">
        <w:rPr>
          <w:rFonts w:eastAsia="Times New Roman"/>
          <w:i/>
          <w:iCs/>
          <w:color w:val="000000"/>
          <w:lang w:eastAsia="en-AU"/>
        </w:rPr>
        <w:t>et al</w:t>
      </w:r>
      <w:r w:rsidRPr="00B76C99">
        <w:rPr>
          <w:rFonts w:eastAsia="Times New Roman"/>
          <w:color w:val="000000"/>
          <w:lang w:eastAsia="en-AU"/>
        </w:rPr>
        <w:t>.</w:t>
      </w:r>
      <w:r w:rsidR="005E7389" w:rsidRPr="00B76C99">
        <w:rPr>
          <w:rFonts w:eastAsia="Times New Roman"/>
          <w:color w:val="000000"/>
          <w:lang w:eastAsia="en-AU"/>
        </w:rPr>
        <w:t xml:space="preserve"> (2016)</w:t>
      </w:r>
      <w:r w:rsidRPr="00B76C99">
        <w:rPr>
          <w:rFonts w:eastAsia="Times New Roman"/>
          <w:color w:val="000000"/>
          <w:lang w:eastAsia="en-AU"/>
        </w:rPr>
        <w:t xml:space="preserve"> A guide to scaling up population health interventions. </w:t>
      </w:r>
      <w:r w:rsidRPr="00B76C99">
        <w:rPr>
          <w:rFonts w:eastAsia="Times New Roman"/>
          <w:i/>
          <w:iCs/>
          <w:color w:val="000000"/>
          <w:lang w:eastAsia="en-AU"/>
        </w:rPr>
        <w:t>Public Health Res Pract</w:t>
      </w:r>
      <w:r w:rsidR="005E7389" w:rsidRPr="00B76C99">
        <w:rPr>
          <w:rFonts w:eastAsia="Times New Roman"/>
          <w:color w:val="000000"/>
          <w:lang w:eastAsia="en-AU"/>
        </w:rPr>
        <w:t xml:space="preserve"> </w:t>
      </w:r>
      <w:r w:rsidRPr="00B76C99">
        <w:rPr>
          <w:rFonts w:eastAsia="Times New Roman"/>
          <w:b/>
          <w:bCs/>
          <w:color w:val="000000"/>
          <w:lang w:eastAsia="en-AU"/>
        </w:rPr>
        <w:t>26</w:t>
      </w:r>
      <w:r w:rsidR="00A358E2" w:rsidRPr="00B76C99">
        <w:rPr>
          <w:rFonts w:eastAsia="Times New Roman"/>
          <w:color w:val="000000"/>
          <w:lang w:eastAsia="en-AU"/>
        </w:rPr>
        <w:t xml:space="preserve">, </w:t>
      </w:r>
      <w:r w:rsidRPr="00B76C99">
        <w:rPr>
          <w:rFonts w:eastAsia="Times New Roman"/>
          <w:color w:val="000000"/>
          <w:lang w:eastAsia="en-AU"/>
        </w:rPr>
        <w:t>e2611604.</w:t>
      </w:r>
    </w:p>
    <w:p w14:paraId="16BA41C1" w14:textId="77777777" w:rsidR="00B921C8" w:rsidRPr="004932CE" w:rsidRDefault="00B921C8" w:rsidP="00F62B88">
      <w:pPr>
        <w:tabs>
          <w:tab w:val="left" w:pos="2271"/>
        </w:tabs>
        <w:rPr>
          <w:rFonts w:ascii="Times New Roman" w:hAnsi="Times New Roman" w:cs="Times New Roman"/>
          <w:b/>
          <w:sz w:val="24"/>
          <w:szCs w:val="24"/>
        </w:rPr>
      </w:pPr>
    </w:p>
    <w:p w14:paraId="02794330" w14:textId="1F5741F1" w:rsidR="00F62B88" w:rsidRDefault="00F62B88" w:rsidP="0089632D">
      <w:pPr>
        <w:tabs>
          <w:tab w:val="left" w:pos="2271"/>
        </w:tabs>
        <w:rPr>
          <w:rFonts w:ascii="Times New Roman" w:hAnsi="Times New Roman" w:cs="Times New Roman"/>
          <w:sz w:val="24"/>
          <w:szCs w:val="24"/>
        </w:rPr>
      </w:pPr>
    </w:p>
    <w:p w14:paraId="7189700C" w14:textId="77777777" w:rsidR="004932CE" w:rsidRPr="004932CE" w:rsidRDefault="004932CE" w:rsidP="0089632D">
      <w:pPr>
        <w:tabs>
          <w:tab w:val="left" w:pos="2271"/>
        </w:tabs>
        <w:rPr>
          <w:rFonts w:ascii="Times New Roman" w:hAnsi="Times New Roman" w:cs="Times New Roman"/>
          <w:sz w:val="24"/>
          <w:szCs w:val="24"/>
        </w:rPr>
      </w:pPr>
    </w:p>
    <w:sectPr w:rsidR="004932CE" w:rsidRPr="004932C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5AA1F" w14:textId="77777777" w:rsidR="00B8488E" w:rsidRDefault="00B8488E" w:rsidP="005E1397">
      <w:pPr>
        <w:spacing w:after="0" w:line="240" w:lineRule="auto"/>
      </w:pPr>
      <w:r>
        <w:separator/>
      </w:r>
    </w:p>
  </w:endnote>
  <w:endnote w:type="continuationSeparator" w:id="0">
    <w:p w14:paraId="170AD4D3" w14:textId="77777777" w:rsidR="00B8488E" w:rsidRDefault="00B8488E" w:rsidP="005E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BB63" w14:textId="42F1A7AA" w:rsidR="00E85AED" w:rsidRDefault="00E85AED" w:rsidP="00E85AED">
    <w:pPr>
      <w:pStyle w:val="Footer"/>
      <w:pBdr>
        <w:top w:val="single" w:sz="6" w:space="1" w:color="auto"/>
      </w:pBdr>
      <w:rPr>
        <w:rStyle w:val="PageNumber"/>
        <w:sz w:val="16"/>
      </w:rPr>
    </w:pPr>
    <w:r>
      <w:rPr>
        <w:sz w:val="16"/>
      </w:rPr>
      <w:tab/>
    </w:r>
    <w:r>
      <w:rPr>
        <w:sz w:val="16"/>
      </w:rPr>
      <w:tab/>
    </w:r>
    <w:r>
      <w:rPr>
        <w:b/>
      </w:rPr>
      <w:t xml:space="preserve">Page </w:t>
    </w:r>
    <w:r>
      <w:rPr>
        <w:rStyle w:val="PageNumber"/>
        <w:b/>
      </w:rPr>
      <w:fldChar w:fldCharType="begin"/>
    </w:r>
    <w:r w:rsidRPr="0089632D">
      <w:rPr>
        <w:rStyle w:val="PageNumber"/>
        <w:b/>
      </w:rPr>
      <w:instrText xml:space="preserve"> PAGE </w:instrText>
    </w:r>
    <w:r>
      <w:rPr>
        <w:rStyle w:val="PageNumber"/>
        <w:b/>
      </w:rPr>
      <w:fldChar w:fldCharType="separate"/>
    </w:r>
    <w:r w:rsidR="00D42B93">
      <w:rPr>
        <w:rStyle w:val="PageNumber"/>
        <w:b/>
        <w:noProof/>
      </w:rPr>
      <w:t>6</w:t>
    </w:r>
    <w:r>
      <w:rPr>
        <w:rStyle w:val="PageNumber"/>
        <w:b/>
      </w:rPr>
      <w:fldChar w:fldCharType="end"/>
    </w:r>
  </w:p>
  <w:p w14:paraId="515489C0" w14:textId="63223CE4" w:rsidR="00E85AED" w:rsidRDefault="00E85AED" w:rsidP="00E85AED">
    <w:pPr>
      <w:pStyle w:val="Footer"/>
      <w:pBdr>
        <w:top w:val="single" w:sz="6" w:space="1" w:color="auto"/>
      </w:pBdr>
    </w:pPr>
    <w:r>
      <w:rPr>
        <w:rStyle w:val="PageNumber"/>
        <w:sz w:val="16"/>
      </w:rPr>
      <w:fldChar w:fldCharType="begin"/>
    </w:r>
    <w:r>
      <w:rPr>
        <w:rStyle w:val="PageNumber"/>
        <w:sz w:val="16"/>
      </w:rPr>
      <w:instrText xml:space="preserve"> FILENAME \* Lower\p \ \p </w:instrText>
    </w:r>
    <w:r>
      <w:rPr>
        <w:rStyle w:val="PageNumber"/>
        <w:sz w:val="16"/>
      </w:rPr>
      <w:fldChar w:fldCharType="separate"/>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98B36" w14:textId="77777777" w:rsidR="00B8488E" w:rsidRDefault="00B8488E" w:rsidP="005E1397">
      <w:pPr>
        <w:spacing w:after="0" w:line="240" w:lineRule="auto"/>
      </w:pPr>
      <w:r>
        <w:separator/>
      </w:r>
    </w:p>
  </w:footnote>
  <w:footnote w:type="continuationSeparator" w:id="0">
    <w:p w14:paraId="4AB651AD" w14:textId="77777777" w:rsidR="00B8488E" w:rsidRDefault="00B8488E" w:rsidP="005E1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018"/>
    <w:multiLevelType w:val="multilevel"/>
    <w:tmpl w:val="2486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6D301B"/>
    <w:multiLevelType w:val="multilevel"/>
    <w:tmpl w:val="8390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067AB"/>
    <w:multiLevelType w:val="hybridMultilevel"/>
    <w:tmpl w:val="CE2CE7AE"/>
    <w:lvl w:ilvl="0" w:tplc="DD7A3544">
      <w:start w:val="1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4F4746"/>
    <w:multiLevelType w:val="multilevel"/>
    <w:tmpl w:val="189C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3302B"/>
    <w:multiLevelType w:val="multilevel"/>
    <w:tmpl w:val="327C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4"/>
    <w:lvlOverride w:ilvl="0">
      <w:startOverride w:val="5"/>
    </w:lvlOverride>
  </w:num>
  <w:num w:numId="3">
    <w:abstractNumId w:val="3"/>
    <w:lvlOverride w:ilvl="0">
      <w:startOverride w:val="7"/>
    </w:lvlOverride>
  </w:num>
  <w:num w:numId="4">
    <w:abstractNumId w:val="0"/>
    <w:lvlOverride w:ilvl="0">
      <w:startOverride w:val="9"/>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88"/>
    <w:rsid w:val="00004A65"/>
    <w:rsid w:val="00085CA7"/>
    <w:rsid w:val="00134D12"/>
    <w:rsid w:val="001F2C9C"/>
    <w:rsid w:val="003C3B77"/>
    <w:rsid w:val="003E539C"/>
    <w:rsid w:val="004932CE"/>
    <w:rsid w:val="00505344"/>
    <w:rsid w:val="00523FDE"/>
    <w:rsid w:val="00545D92"/>
    <w:rsid w:val="005536AB"/>
    <w:rsid w:val="0058601D"/>
    <w:rsid w:val="005E1397"/>
    <w:rsid w:val="005E7389"/>
    <w:rsid w:val="00737568"/>
    <w:rsid w:val="00791EAF"/>
    <w:rsid w:val="00796E72"/>
    <w:rsid w:val="007D5ACF"/>
    <w:rsid w:val="007F539A"/>
    <w:rsid w:val="00810F65"/>
    <w:rsid w:val="008316D2"/>
    <w:rsid w:val="0087667F"/>
    <w:rsid w:val="0089632D"/>
    <w:rsid w:val="00955FBE"/>
    <w:rsid w:val="00980DD6"/>
    <w:rsid w:val="009C5F48"/>
    <w:rsid w:val="00A358E2"/>
    <w:rsid w:val="00A670D7"/>
    <w:rsid w:val="00AB33F1"/>
    <w:rsid w:val="00B25C47"/>
    <w:rsid w:val="00B60632"/>
    <w:rsid w:val="00B66E9E"/>
    <w:rsid w:val="00B76C99"/>
    <w:rsid w:val="00B81DE6"/>
    <w:rsid w:val="00B8488E"/>
    <w:rsid w:val="00B914C6"/>
    <w:rsid w:val="00B921C8"/>
    <w:rsid w:val="00C0660C"/>
    <w:rsid w:val="00C46B9A"/>
    <w:rsid w:val="00CC452D"/>
    <w:rsid w:val="00D04F87"/>
    <w:rsid w:val="00D42B93"/>
    <w:rsid w:val="00E368B4"/>
    <w:rsid w:val="00E85AED"/>
    <w:rsid w:val="00EC416E"/>
    <w:rsid w:val="00ED4DBD"/>
    <w:rsid w:val="00F04D09"/>
    <w:rsid w:val="00F62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7030"/>
  <w15:chartTrackingRefBased/>
  <w15:docId w15:val="{3300F982-0AD0-46A9-A202-5BEEE194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2B88"/>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397"/>
  </w:style>
  <w:style w:type="paragraph" w:styleId="Footer">
    <w:name w:val="footer"/>
    <w:basedOn w:val="Normal"/>
    <w:link w:val="FooterChar"/>
    <w:unhideWhenUsed/>
    <w:rsid w:val="005E1397"/>
    <w:pPr>
      <w:tabs>
        <w:tab w:val="center" w:pos="4513"/>
        <w:tab w:val="right" w:pos="9026"/>
      </w:tabs>
      <w:spacing w:after="0" w:line="240" w:lineRule="auto"/>
    </w:pPr>
  </w:style>
  <w:style w:type="character" w:customStyle="1" w:styleId="FooterChar">
    <w:name w:val="Footer Char"/>
    <w:basedOn w:val="DefaultParagraphFont"/>
    <w:link w:val="Footer"/>
    <w:rsid w:val="005E1397"/>
  </w:style>
  <w:style w:type="character" w:styleId="PageNumber">
    <w:name w:val="page number"/>
    <w:basedOn w:val="DefaultParagraphFont"/>
    <w:rsid w:val="00E85AED"/>
  </w:style>
  <w:style w:type="character" w:styleId="Hyperlink">
    <w:name w:val="Hyperlink"/>
    <w:basedOn w:val="DefaultParagraphFont"/>
    <w:uiPriority w:val="99"/>
    <w:unhideWhenUsed/>
    <w:rsid w:val="00B921C8"/>
    <w:rPr>
      <w:color w:val="0000FF"/>
      <w:u w:val="single"/>
    </w:rPr>
  </w:style>
  <w:style w:type="paragraph" w:styleId="BalloonText">
    <w:name w:val="Balloon Text"/>
    <w:basedOn w:val="Normal"/>
    <w:link w:val="BalloonTextChar"/>
    <w:uiPriority w:val="99"/>
    <w:semiHidden/>
    <w:unhideWhenUsed/>
    <w:rsid w:val="00C0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0C"/>
    <w:rPr>
      <w:rFonts w:ascii="Segoe UI" w:eastAsia="Arial" w:hAnsi="Segoe UI" w:cs="Segoe UI"/>
      <w:sz w:val="18"/>
      <w:szCs w:val="18"/>
    </w:rPr>
  </w:style>
  <w:style w:type="character" w:customStyle="1" w:styleId="UnresolvedMention">
    <w:name w:val="Unresolved Mention"/>
    <w:basedOn w:val="DefaultParagraphFont"/>
    <w:uiPriority w:val="99"/>
    <w:semiHidden/>
    <w:unhideWhenUsed/>
    <w:rsid w:val="00F04D09"/>
    <w:rPr>
      <w:color w:val="605E5C"/>
      <w:shd w:val="clear" w:color="auto" w:fill="E1DFDD"/>
    </w:rPr>
  </w:style>
  <w:style w:type="paragraph" w:styleId="ListParagraph">
    <w:name w:val="List Paragraph"/>
    <w:basedOn w:val="Normal"/>
    <w:uiPriority w:val="34"/>
    <w:qFormat/>
    <w:rsid w:val="00523FDE"/>
    <w:pPr>
      <w:ind w:left="720"/>
      <w:contextualSpacing/>
    </w:pPr>
  </w:style>
  <w:style w:type="table" w:styleId="TableGrid">
    <w:name w:val="Table Grid"/>
    <w:basedOn w:val="TableNormal"/>
    <w:uiPriority w:val="39"/>
    <w:rsid w:val="00B9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14C6"/>
    <w:rPr>
      <w:sz w:val="16"/>
      <w:szCs w:val="16"/>
    </w:rPr>
  </w:style>
  <w:style w:type="paragraph" w:styleId="CommentText">
    <w:name w:val="annotation text"/>
    <w:basedOn w:val="Normal"/>
    <w:link w:val="CommentTextChar"/>
    <w:uiPriority w:val="99"/>
    <w:unhideWhenUsed/>
    <w:rsid w:val="00B914C6"/>
    <w:pPr>
      <w:spacing w:line="240" w:lineRule="auto"/>
    </w:pPr>
    <w:rPr>
      <w:sz w:val="20"/>
      <w:szCs w:val="20"/>
    </w:rPr>
  </w:style>
  <w:style w:type="character" w:customStyle="1" w:styleId="CommentTextChar">
    <w:name w:val="Comment Text Char"/>
    <w:basedOn w:val="DefaultParagraphFont"/>
    <w:link w:val="CommentText"/>
    <w:uiPriority w:val="99"/>
    <w:rsid w:val="00B914C6"/>
    <w:rPr>
      <w:rFonts w:eastAsia="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rc.gov.au/guidelinesforguidelines/implement/dissemination-and-communication" TargetMode="External"/><Relationship Id="rId5" Type="http://schemas.openxmlformats.org/officeDocument/2006/relationships/styles" Target="styles.xml"/><Relationship Id="rId10" Type="http://schemas.openxmlformats.org/officeDocument/2006/relationships/hyperlink" Target="https://www.who.int/heli/economics/costeffanalysis/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2" ma:contentTypeDescription="Create a new document." ma:contentTypeScope="" ma:versionID="3226cb51b4cc4aa52f4d405f3f4da24c">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370e5302283351224d2d61499544617d"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113E4D-26D3-44C1-8703-4947EA89E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C4C47-7518-45DB-88E4-5686A5E52FE0}">
  <ds:schemaRefs>
    <ds:schemaRef ds:uri="http://schemas.microsoft.com/sharepoint/v3/contenttype/forms"/>
  </ds:schemaRefs>
</ds:datastoreItem>
</file>

<file path=customXml/itemProps3.xml><?xml version="1.0" encoding="utf-8"?>
<ds:datastoreItem xmlns:ds="http://schemas.openxmlformats.org/officeDocument/2006/customXml" ds:itemID="{F7FC3C37-0BD1-4649-98C4-0FC16AA1D83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24a7236-42d0-4b59-9a8f-b62230abe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HNELHD</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Jackson</dc:creator>
  <cp:keywords/>
  <dc:description/>
  <cp:lastModifiedBy>Alice Gooch</cp:lastModifiedBy>
  <cp:revision>2</cp:revision>
  <cp:lastPrinted>2020-08-10T03:17:00Z</cp:lastPrinted>
  <dcterms:created xsi:type="dcterms:W3CDTF">2021-01-07T10:27:00Z</dcterms:created>
  <dcterms:modified xsi:type="dcterms:W3CDTF">2021-01-07T10:27:00Z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0x010100178E165393A5544881DABF1AE57CB826</vt:lpwstr>
  </property>
</Properties>
</file>