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60" w:rsidRPr="00AF0716" w:rsidRDefault="00CB3E60" w:rsidP="00CB3E60">
      <w:pPr>
        <w:pStyle w:val="Heading1"/>
      </w:pPr>
      <w:r w:rsidRPr="00AF0716">
        <w:t>Supplementary material</w:t>
      </w:r>
    </w:p>
    <w:p w:rsidR="00CB3E60" w:rsidRPr="00AF0716" w:rsidRDefault="00CB3E60" w:rsidP="00CB3E60">
      <w:pPr>
        <w:pStyle w:val="Heading2"/>
      </w:pPr>
      <w:r w:rsidRPr="00AF0716">
        <w:t>Further introduction</w:t>
      </w:r>
    </w:p>
    <w:p w:rsidR="00CB3E60" w:rsidRPr="00AF0716" w:rsidRDefault="00CB3E60" w:rsidP="00CB3E60">
      <w:pPr>
        <w:spacing w:after="0"/>
      </w:pPr>
      <w:r w:rsidRPr="00AF0716">
        <w:t>Cook Islands SSB taxes were evaluated because of the increases in SSB taxes were greater than the 10% level, trade data were available and relationships were able to be established.</w:t>
      </w:r>
    </w:p>
    <w:p w:rsidR="00CB3E60" w:rsidRDefault="00CB3E60" w:rsidP="00CB3E60">
      <w:pPr>
        <w:spacing w:after="0"/>
      </w:pPr>
      <w:r w:rsidRPr="00AF0716">
        <w:t xml:space="preserve">The Cook Islands are </w:t>
      </w:r>
      <w:r>
        <w:t xml:space="preserve">closely </w:t>
      </w:r>
      <w:r w:rsidRPr="00AF0716">
        <w:t xml:space="preserve">affiliated with New Zealand which is their main trading partner. Tourism is the major contributor to the economy with 161,000 visitors to the Cook Islands in 2017 (Statistics Division, Ministry of Finance and Economic Management [MFEM], Cook Islands). </w:t>
      </w:r>
    </w:p>
    <w:p w:rsidR="00CB3E60" w:rsidRDefault="00CB3E60" w:rsidP="00CB3E60">
      <w:pPr>
        <w:spacing w:after="0"/>
      </w:pPr>
    </w:p>
    <w:p w:rsidR="00CB3E60" w:rsidRPr="00AF0716" w:rsidRDefault="00CB3E60" w:rsidP="00CB3E60">
      <w:pPr>
        <w:spacing w:after="0"/>
        <w:rPr>
          <w:b/>
        </w:rPr>
      </w:pPr>
      <w:r w:rsidRPr="00AF0716">
        <w:t xml:space="preserve">Based on economic theory, it was expected that tariff increases in 2008 and 2012 would increase the shelf price of taxed beverages more than existing trends; and subsequently </w:t>
      </w:r>
      <w:r>
        <w:t xml:space="preserve">decrease </w:t>
      </w:r>
      <w:r w:rsidRPr="00AF0716">
        <w:t>the importation and sales volumes of taxed beverages. Little change was expected after the revenue neutral excise introduction in 2014, except for an increase in ASB sales given the removal of SSB tax on these products.</w:t>
      </w:r>
    </w:p>
    <w:p w:rsidR="00CB3E60" w:rsidRPr="00AF0716" w:rsidRDefault="00CB3E60" w:rsidP="00CB3E60">
      <w:pPr>
        <w:spacing w:after="0"/>
      </w:pPr>
    </w:p>
    <w:p w:rsidR="00CB3E60" w:rsidRPr="00AF0716" w:rsidRDefault="00CB3E60" w:rsidP="00CB3E60">
      <w:pPr>
        <w:pStyle w:val="Heading2"/>
      </w:pPr>
      <w:r w:rsidRPr="00AF0716">
        <w:t>Further methods</w:t>
      </w:r>
    </w:p>
    <w:p w:rsidR="00CB3E60" w:rsidRPr="00AF0716" w:rsidRDefault="00CB3E60" w:rsidP="00CB3E60">
      <w:pPr>
        <w:pStyle w:val="Heading3"/>
      </w:pPr>
      <w:r w:rsidRPr="00AF0716">
        <w:t xml:space="preserve">Litter survey </w:t>
      </w:r>
    </w:p>
    <w:p w:rsidR="00CB3E60" w:rsidRDefault="00CB3E60" w:rsidP="00CB3E60">
      <w:pPr>
        <w:spacing w:after="0"/>
      </w:pPr>
      <w:r w:rsidRPr="00AF0716">
        <w:t>As part of the field work in Rarotonga in July 2018, a litter survey was carried out at three different beaches and three different roadside transects by the first author (AT). Locations were selected by prioritising frequently used areas and excluding beaches that were known to be regularly cleaned (eg, Muri beach) (</w:t>
      </w:r>
      <w:r w:rsidRPr="009D0A37">
        <w:t>Figure</w:t>
      </w:r>
      <w:r w:rsidRPr="00AF0716">
        <w:t xml:space="preserve"> </w:t>
      </w:r>
      <w:r w:rsidR="009121FC">
        <w:t>S</w:t>
      </w:r>
      <w:r>
        <w:t>1</w:t>
      </w:r>
      <w:r w:rsidRPr="00AF0716">
        <w:t>).</w:t>
      </w:r>
      <w:r>
        <w:t xml:space="preserve"> </w:t>
      </w:r>
    </w:p>
    <w:p w:rsidR="00CB3E60" w:rsidRPr="00AF0716" w:rsidRDefault="00CB3E60" w:rsidP="00CB3E60">
      <w:pPr>
        <w:spacing w:after="0"/>
      </w:pPr>
    </w:p>
    <w:p w:rsidR="00CB3E60" w:rsidRPr="00AF0716" w:rsidRDefault="00CB3E60" w:rsidP="00CB3E60">
      <w:pPr>
        <w:spacing w:after="0"/>
      </w:pPr>
      <w:r w:rsidRPr="00AF0716">
        <w:t>Information was collected on each survey location (via GPS recording) and for each type of litter (eg, via photographs) using study protocols</w:t>
      </w:r>
      <w:r>
        <w:t>, which has been published elsewhere [</w:t>
      </w:r>
      <w:r w:rsidR="00116E52">
        <w:t>manuscript</w:t>
      </w:r>
      <w:r>
        <w:t xml:space="preserve"> under review].</w:t>
      </w:r>
    </w:p>
    <w:p w:rsidR="00CB3E60" w:rsidRPr="00AF0716" w:rsidRDefault="00CB3E60" w:rsidP="00CB3E60">
      <w:pPr>
        <w:spacing w:after="0"/>
      </w:pPr>
    </w:p>
    <w:p w:rsidR="00757210" w:rsidRDefault="00757210">
      <w:pPr>
        <w:spacing w:after="200"/>
        <w:rPr>
          <w:b/>
        </w:rPr>
      </w:pPr>
      <w:r>
        <w:rPr>
          <w:b/>
        </w:rPr>
        <w:br w:type="page"/>
      </w:r>
    </w:p>
    <w:p w:rsidR="00CB3E60" w:rsidRPr="00AF0716" w:rsidRDefault="00CB3E60" w:rsidP="00CB3E60">
      <w:pPr>
        <w:spacing w:after="0"/>
        <w:rPr>
          <w:b/>
        </w:rPr>
      </w:pPr>
      <w:r>
        <w:rPr>
          <w:b/>
        </w:rPr>
        <w:lastRenderedPageBreak/>
        <w:t>Figure</w:t>
      </w:r>
      <w:r w:rsidRPr="00AF0716">
        <w:rPr>
          <w:b/>
        </w:rPr>
        <w:t xml:space="preserve"> </w:t>
      </w:r>
      <w:r w:rsidR="009121FC">
        <w:rPr>
          <w:b/>
        </w:rPr>
        <w:t>S</w:t>
      </w:r>
      <w:r>
        <w:rPr>
          <w:b/>
        </w:rPr>
        <w:t>1</w:t>
      </w:r>
      <w:r w:rsidRPr="00AF0716">
        <w:rPr>
          <w:b/>
        </w:rPr>
        <w:t>: Litter survey sites examined in July 2018 in Rarotonga, Cook Islands (from above) and in the capital of the Cook Islands, Avarua township (zoomed in below)</w:t>
      </w:r>
    </w:p>
    <w:p w:rsidR="00CB3E60" w:rsidRPr="00AF0716" w:rsidRDefault="00CB3E60" w:rsidP="00CB3E60">
      <w:pPr>
        <w:spacing w:after="0"/>
        <w:ind w:left="360"/>
      </w:pPr>
      <w:r w:rsidRPr="00AF0716">
        <w:rPr>
          <w:noProof/>
          <w:lang w:eastAsia="en-NZ"/>
        </w:rPr>
        <w:drawing>
          <wp:inline distT="0" distB="0" distL="0" distR="0" wp14:anchorId="68639C70" wp14:editId="50755ABD">
            <wp:extent cx="5327646" cy="3207224"/>
            <wp:effectExtent l="0" t="0" r="6985" b="0"/>
            <wp:docPr id="14" name="Picture 14" descr="C:\Users\anmcdon\Documents\SSBtax\Data\Litter survey\Rarotong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mcdon\Documents\SSBtax\Data\Litter survey\Rarotonga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8097" cy="3213516"/>
                    </a:xfrm>
                    <a:prstGeom prst="rect">
                      <a:avLst/>
                    </a:prstGeom>
                    <a:noFill/>
                    <a:ln>
                      <a:noFill/>
                    </a:ln>
                  </pic:spPr>
                </pic:pic>
              </a:graphicData>
            </a:graphic>
          </wp:inline>
        </w:drawing>
      </w:r>
    </w:p>
    <w:p w:rsidR="00CB3E60" w:rsidRDefault="00CB3E60" w:rsidP="00CB3E60">
      <w:pPr>
        <w:spacing w:after="0"/>
        <w:ind w:left="360"/>
      </w:pPr>
      <w:r w:rsidRPr="00AF0716">
        <w:rPr>
          <w:noProof/>
          <w:lang w:eastAsia="en-NZ"/>
        </w:rPr>
        <w:drawing>
          <wp:inline distT="0" distB="0" distL="0" distR="0" wp14:anchorId="0D774C0D" wp14:editId="34AD4D4A">
            <wp:extent cx="5336275" cy="3212417"/>
            <wp:effectExtent l="0" t="0" r="0" b="7620"/>
            <wp:docPr id="15" name="Picture 15" descr="C:\Users\anmcdon\Documents\SSBtax\Data\Litter survey\Avaru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mcdon\Documents\SSBtax\Data\Litter survey\Avarua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9331" cy="3220277"/>
                    </a:xfrm>
                    <a:prstGeom prst="rect">
                      <a:avLst/>
                    </a:prstGeom>
                    <a:noFill/>
                    <a:ln>
                      <a:noFill/>
                    </a:ln>
                  </pic:spPr>
                </pic:pic>
              </a:graphicData>
            </a:graphic>
          </wp:inline>
        </w:drawing>
      </w:r>
    </w:p>
    <w:p w:rsidR="00757210" w:rsidRPr="00AF0716" w:rsidRDefault="00757210" w:rsidP="00CB3E60">
      <w:pPr>
        <w:spacing w:after="0"/>
        <w:ind w:left="360"/>
      </w:pPr>
    </w:p>
    <w:p w:rsidR="00CB3E60" w:rsidRPr="00AF0716" w:rsidRDefault="00CB3E60" w:rsidP="00CB3E60">
      <w:pPr>
        <w:pStyle w:val="Heading4"/>
      </w:pPr>
      <w:r w:rsidRPr="00AF0716">
        <w:t>Results</w:t>
      </w:r>
    </w:p>
    <w:p w:rsidR="00CB3E60" w:rsidRDefault="00CB3E60" w:rsidP="00CB3E60">
      <w:pPr>
        <w:spacing w:after="0"/>
      </w:pPr>
      <w:r w:rsidRPr="00AF0716">
        <w:t xml:space="preserve">Overall 88 beverage containers were collected per kilometre of beach and 97 containers were collected per kilometre of road. Over a third (39%) of the total beverage container litter was from SSBs (soft drinks, energy drinks, flavoured milk and other sugar-sweetened drinks) and 35% was from alcoholic beverages (beer, wine, drink mixes and spirits). Litter from water containers (10%), juice (5%), ASBs (1%) and unknown types (10%, such as plastic or paper cups) was also present. The distribution of the litter differed by location type. Roadsides had a greater proportion of SSB litter (43%) and beaches had more alcohol beverage litter (40%). Results also differed between sites </w:t>
      </w:r>
      <w:r w:rsidRPr="00AF0716">
        <w:lastRenderedPageBreak/>
        <w:t>(</w:t>
      </w:r>
      <w:r w:rsidRPr="009D0A37">
        <w:t>Figure</w:t>
      </w:r>
      <w:r>
        <w:rPr>
          <w:b/>
        </w:rPr>
        <w:t xml:space="preserve"> </w:t>
      </w:r>
      <w:r w:rsidR="009121FC" w:rsidRPr="009121FC">
        <w:t>S</w:t>
      </w:r>
      <w:r w:rsidRPr="009121FC">
        <w:t>2</w:t>
      </w:r>
      <w:r w:rsidRPr="00AF0716">
        <w:t>), suggesting that site specific factors were important, such as the level of beach use and frequency of cleaning. The beach that was used for swimming and located close to tourist accommodation had a much lower level of litter (site F). It is possible that this beach is more frequently cleaned by local tourist operators compared to the other beaches that were not in tourist areas. The main street in Avarua (site C) had the least litter compared to the other roads and this may be because it is regularly cleaned by government workers.</w:t>
      </w:r>
    </w:p>
    <w:p w:rsidR="00CB3E60" w:rsidRPr="00AF0716" w:rsidRDefault="00CB3E60" w:rsidP="00CB3E60">
      <w:pPr>
        <w:spacing w:after="0"/>
      </w:pPr>
    </w:p>
    <w:p w:rsidR="00CB3E60" w:rsidRDefault="00CB3E60" w:rsidP="00CB3E60">
      <w:pPr>
        <w:spacing w:after="0"/>
      </w:pPr>
      <w:r w:rsidRPr="00AF0716">
        <w:t>Country of origin of beverage manufacture could be identified for 85% of the litter collected (n=240/284). Of these containers, 17% were manufactured in the Cook Islands and the rest were from elsewhere, including 74% from New Zealand and none from PICTA countries. Looking at specific categories of beverages, 24% of SSBs collected were produced in the Cook Isla</w:t>
      </w:r>
      <w:r>
        <w:t>nds, 56% of water, 0% of juice</w:t>
      </w:r>
      <w:r w:rsidRPr="00AF0716">
        <w:t xml:space="preserve"> and 1% of alcohol litter; compared to 63% of SSBs collected that were produced in New Zealand, 93% of juice, 44% of water and 91% of alcohol litter. </w:t>
      </w:r>
    </w:p>
    <w:p w:rsidR="00CB3E60" w:rsidRPr="00AF0716" w:rsidRDefault="00CB3E60" w:rsidP="00CB3E60">
      <w:pPr>
        <w:spacing w:after="0"/>
      </w:pPr>
    </w:p>
    <w:p w:rsidR="00CB3E60" w:rsidRPr="00AF0716" w:rsidRDefault="00CB3E60" w:rsidP="00CB3E60">
      <w:pPr>
        <w:spacing w:after="0"/>
        <w:rPr>
          <w:b/>
        </w:rPr>
      </w:pPr>
      <w:r>
        <w:rPr>
          <w:b/>
        </w:rPr>
        <w:t>Figure</w:t>
      </w:r>
      <w:r w:rsidRPr="00AF0716">
        <w:rPr>
          <w:b/>
        </w:rPr>
        <w:t xml:space="preserve"> </w:t>
      </w:r>
      <w:r w:rsidR="009121FC">
        <w:rPr>
          <w:b/>
        </w:rPr>
        <w:t>S</w:t>
      </w:r>
      <w:r>
        <w:rPr>
          <w:b/>
        </w:rPr>
        <w:t>2</w:t>
      </w:r>
      <w:r w:rsidRPr="00AF0716">
        <w:rPr>
          <w:b/>
        </w:rPr>
        <w:t>: Beverage container litter density from systematic surveys of three beaches and three roadsides in Rarotonga, Cook Islands, July 2018 (n=284 containers found in 3.05 km length of road or beach)</w:t>
      </w:r>
    </w:p>
    <w:p w:rsidR="00CB3E60" w:rsidRPr="00AF0716" w:rsidRDefault="00CB3E60" w:rsidP="00CB3E60">
      <w:pPr>
        <w:spacing w:after="0"/>
      </w:pPr>
      <w:r w:rsidRPr="00AF0716">
        <w:rPr>
          <w:noProof/>
          <w:lang w:eastAsia="en-NZ"/>
        </w:rPr>
        <w:drawing>
          <wp:inline distT="0" distB="0" distL="0" distR="0" wp14:anchorId="4DB28B7C" wp14:editId="559DE618">
            <wp:extent cx="4924425" cy="2805112"/>
            <wp:effectExtent l="0" t="0" r="952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3E60" w:rsidRPr="00AF0716" w:rsidRDefault="00CB3E60" w:rsidP="00CB3E60">
      <w:pPr>
        <w:pStyle w:val="Caption"/>
        <w:keepNext/>
        <w:spacing w:after="0"/>
        <w:rPr>
          <w:b w:val="0"/>
          <w:lang w:val="en-NZ"/>
        </w:rPr>
      </w:pPr>
      <w:r w:rsidRPr="00AF0716">
        <w:rPr>
          <w:b w:val="0"/>
          <w:lang w:val="en-NZ"/>
        </w:rPr>
        <w:t>Note: Sugar-sweetened beverages (SSBs) included soft drinks, energy drinks, flavoured milk and other sugar-sweetened drinks; artificial-sweetened beverages (ASBs) comprised zero-sugar soft drinks; unknown beverages were largely cups and some unlabelled containers from which the product could not be identified. Six specific sites in Rarotonga were surveyed for litter in July 2018, including frequently-use</w:t>
      </w:r>
      <w:r>
        <w:rPr>
          <w:b w:val="0"/>
          <w:lang w:val="en-NZ"/>
        </w:rPr>
        <w:t>d streets (kerbs on both sides)</w:t>
      </w:r>
      <w:r w:rsidRPr="00AF0716">
        <w:rPr>
          <w:b w:val="0"/>
          <w:lang w:val="en-NZ"/>
        </w:rPr>
        <w:t xml:space="preserve"> and public beaches close to Avarua or tourist areas. The number of containers was reported per kilometre of street or beach surveyed. </w:t>
      </w:r>
    </w:p>
    <w:p w:rsidR="00CB3E60" w:rsidRPr="00AF0716" w:rsidRDefault="00CB3E60" w:rsidP="00CB3E60">
      <w:pPr>
        <w:spacing w:after="0"/>
      </w:pPr>
    </w:p>
    <w:p w:rsidR="00CB3E60" w:rsidRPr="00AF0716" w:rsidRDefault="00CB3E60" w:rsidP="00CB3E60">
      <w:pPr>
        <w:pStyle w:val="Heading4"/>
      </w:pPr>
      <w:r w:rsidRPr="00AF0716">
        <w:t>Discussion</w:t>
      </w:r>
    </w:p>
    <w:p w:rsidR="00CB3E60" w:rsidRDefault="00CB3E60" w:rsidP="00CB3E60">
      <w:pPr>
        <w:spacing w:after="0"/>
      </w:pPr>
      <w:r w:rsidRPr="00AF0716">
        <w:t xml:space="preserve">The beverage waste documented here is a problem given its environmental impacts (on land and in the water), adverse health impacts (eg, receptacles for mosquito larvae), adverse implications for tourism and the associated revenue for the government, the island’s limited landfill space and dependence on offshore recycling for metal and plastics. Nearly three times more litter was identified on the beaches sampled in Rarotonga than a recent survey of beverage litter in New South Wales, Australia. The latter found just 14 plastic containers per kilometre of beach </w:t>
      </w:r>
      <w:r w:rsidRPr="00AF0716">
        <w:fldChar w:fldCharType="begin"/>
      </w:r>
      <w:r w:rsidR="007C5A63">
        <w:instrText xml:space="preserve"> ADDIN EN.CITE &lt;EndNote&gt;&lt;Cite&gt;&lt;Author&gt;Smith&lt;/Author&gt;&lt;Year&gt;2018&lt;/Year&gt;&lt;RecNum&gt;1127&lt;/RecNum&gt;&lt;DisplayText&gt;&lt;style face="superscript"&gt;1&lt;/style&gt;&lt;/DisplayText&gt;&lt;record&gt;&lt;rec-number&gt;1127&lt;/rec-number&gt;&lt;foreign-keys&gt;&lt;key app="EN" db-id="srtews2r90f0aqe2s9r5da54ptadf0ztv5vs" timestamp="1523237080"&gt;1127&lt;/key&gt;&lt;/foreign-keys&gt;&lt;ref-type name="Journal Article"&gt;17&lt;/ref-type&gt;&lt;contributors&gt;&lt;authors&gt;&lt;author&gt;Smith, S. D. A.&lt;/author&gt;&lt;author&gt;Banister, K.&lt;/author&gt;&lt;author&gt;Fraser, N.&lt;/author&gt;&lt;author&gt;Edgar, R. J.&lt;/author&gt;&lt;/authors&gt;&lt;/contributors&gt;&lt;auth-address&gt;National Marine Science Centre, Southern Cross University, Coffs Harbour, NSW, Australia. Electronic address: steve.smith@scu.edu.au.&amp;#xD;National Marine Science Centre, Southern Cross University, Coffs Harbour, NSW, Australia.&lt;/auth-address&gt;&lt;titles&gt;&lt;title&gt;Tracing the source of marine debris on the beaches of northern New South Wales, Australia: The Bottles on Beaches program&lt;/title&gt;&lt;secondary-title&gt;Mar Pollut Bull&lt;/secondary-title&gt;&lt;/titles&gt;&lt;periodical&gt;&lt;full-title&gt;Mar Pollut Bull&lt;/full-title&gt;&lt;/periodical&gt;&lt;pages&gt;304-307&lt;/pages&gt;&lt;volume&gt;126&lt;/volume&gt;&lt;edition&gt;2018/02/09&lt;/edition&gt;&lt;keywords&gt;&lt;keyword&gt;Citizen science&lt;/keyword&gt;&lt;keyword&gt;Marpol&lt;/keyword&gt;&lt;keyword&gt;Plastics&lt;/keyword&gt;&lt;keyword&gt;Remote beaches&lt;/keyword&gt;&lt;keyword&gt;Shipping&lt;/keyword&gt;&lt;/keywords&gt;&lt;dates&gt;&lt;year&gt;2018&lt;/year&gt;&lt;pub-dates&gt;&lt;date&gt;Jan&lt;/date&gt;&lt;/pub-dates&gt;&lt;/dates&gt;&lt;isbn&gt;1879-3363 (Electronic)&amp;#xD;0025-326X (Linking)&lt;/isbn&gt;&lt;accession-num&gt;29421101&lt;/accession-num&gt;&lt;urls&gt;&lt;related-urls&gt;&lt;url&gt;https://www.ncbi.nlm.nih.gov/pubmed/29421101&lt;/url&gt;&lt;/related-urls&gt;&lt;/urls&gt;&lt;electronic-resource-num&gt;10.1016/j.marpolbul.2017.11.022&lt;/electronic-resource-num&gt;&lt;/record&gt;&lt;/Cite&gt;&lt;/EndNote&gt;</w:instrText>
      </w:r>
      <w:r w:rsidRPr="00AF0716">
        <w:fldChar w:fldCharType="separate"/>
      </w:r>
      <w:r w:rsidR="007C5A63" w:rsidRPr="007C5A63">
        <w:rPr>
          <w:noProof/>
          <w:vertAlign w:val="superscript"/>
        </w:rPr>
        <w:t>1</w:t>
      </w:r>
      <w:r w:rsidRPr="00AF0716">
        <w:fldChar w:fldCharType="end"/>
      </w:r>
      <w:r w:rsidRPr="00AF0716">
        <w:t xml:space="preserve"> compared to 39 plastic containers per kilometre found on Rarotonga beaches. Beverage litter density on popular </w:t>
      </w:r>
      <w:r w:rsidRPr="00AF0716">
        <w:lastRenderedPageBreak/>
        <w:t>roadsides in Rarotonga was 2.5 times that found in a New Zealand litter survey of eight urban areas (16 containers per 1000m</w:t>
      </w:r>
      <w:r w:rsidRPr="00AF0716">
        <w:rPr>
          <w:vertAlign w:val="superscript"/>
        </w:rPr>
        <w:t>2</w:t>
      </w:r>
      <w:r w:rsidRPr="00AF0716">
        <w:t xml:space="preserve"> in Rarotonga [assuming an average kerbside width of 3m] vs 6 items of drink packaging per 1000m</w:t>
      </w:r>
      <w:r w:rsidRPr="00AF0716">
        <w:rPr>
          <w:vertAlign w:val="superscript"/>
        </w:rPr>
        <w:t>2</w:t>
      </w:r>
      <w:r w:rsidRPr="00AF0716">
        <w:t xml:space="preserve"> in New Zealand). All the roadsides sampled in Rarotonga were adjacent to small convenience stores selling SSBs and other non-alcoholic beverages. These stores were common around the island and are likely to have contributed to the volume of litter identified. There are potential policy synergies between the </w:t>
      </w:r>
      <w:r>
        <w:t>Cook Islands Ministry of Health</w:t>
      </w:r>
      <w:r w:rsidRPr="00AF0716">
        <w:t xml:space="preserve"> and </w:t>
      </w:r>
      <w:r>
        <w:t>Infrastructure Cook Islands Water and Sanitation Division (</w:t>
      </w:r>
      <w:r w:rsidRPr="00AF0716">
        <w:t>WATSAN</w:t>
      </w:r>
      <w:r>
        <w:t>)</w:t>
      </w:r>
      <w:r w:rsidRPr="00AF0716">
        <w:t xml:space="preserve"> that could help to address environment and health goals, such as </w:t>
      </w:r>
      <w:r>
        <w:t>a</w:t>
      </w:r>
      <w:r w:rsidRPr="00AF0716">
        <w:t xml:space="preserve"> </w:t>
      </w:r>
      <w:r>
        <w:t>WATSAN</w:t>
      </w:r>
      <w:r w:rsidRPr="00AF0716">
        <w:t xml:space="preserve"> proposed</w:t>
      </w:r>
      <w:r>
        <w:t xml:space="preserve"> A</w:t>
      </w:r>
      <w:r w:rsidRPr="00AF0716">
        <w:t xml:space="preserve">dvance </w:t>
      </w:r>
      <w:r>
        <w:t>D</w:t>
      </w:r>
      <w:r w:rsidRPr="00AF0716">
        <w:t xml:space="preserve">isposal </w:t>
      </w:r>
      <w:r>
        <w:t>F</w:t>
      </w:r>
      <w:r w:rsidRPr="00AF0716">
        <w:t>ee.</w:t>
      </w:r>
      <w:r>
        <w:t xml:space="preserve"> This proposal would add a sum of money onto an imported product to pay for its disposal when it reaches the end of its life (</w:t>
      </w:r>
      <w:hyperlink r:id="rId10" w:history="1">
        <w:r>
          <w:rPr>
            <w:rStyle w:val="Hyperlink"/>
          </w:rPr>
          <w:t>http://www.cookislandsnews.com/national/local/item/50105-finding-a-new-landfill/50105-finding-a-new-landfill?tmpl=component&amp;print=1</w:t>
        </w:r>
      </w:hyperlink>
      <w:r>
        <w:t>).</w:t>
      </w:r>
    </w:p>
    <w:p w:rsidR="00CB3E60" w:rsidRDefault="00CB3E60" w:rsidP="00CB3E60">
      <w:pPr>
        <w:spacing w:after="0"/>
      </w:pPr>
    </w:p>
    <w:p w:rsidR="00CB3E60" w:rsidRDefault="00CB3E60" w:rsidP="00CB3E60">
      <w:pPr>
        <w:pStyle w:val="Heading3"/>
      </w:pPr>
      <w:r>
        <w:t>Market share</w:t>
      </w:r>
    </w:p>
    <w:p w:rsidR="00CB3E60" w:rsidRPr="00AF0716" w:rsidRDefault="00CB3E60" w:rsidP="00CB3E60">
      <w:pPr>
        <w:spacing w:after="0"/>
      </w:pPr>
      <w:r>
        <w:t>The litter survey indicated that l</w:t>
      </w:r>
      <w:r w:rsidRPr="00AF0716">
        <w:t xml:space="preserve">ittered containers of sweetened beverages </w:t>
      </w:r>
      <w:r>
        <w:t xml:space="preserve">in the Cook Islands </w:t>
      </w:r>
      <w:r w:rsidRPr="00AF0716">
        <w:t xml:space="preserve">were mainly of imported products (76%) with the rest (24%) being locally manufactured (Vaiora). </w:t>
      </w:r>
      <w:r>
        <w:t>However, it is unclear if this figure was less in the decade up to 2018. The current study</w:t>
      </w:r>
      <w:r w:rsidRPr="00AF0716">
        <w:t xml:space="preserve"> analysis </w:t>
      </w:r>
      <w:r>
        <w:t xml:space="preserve">is </w:t>
      </w:r>
      <w:r w:rsidRPr="00AF0716">
        <w:t xml:space="preserve">focussed on import volumes </w:t>
      </w:r>
      <w:r>
        <w:t xml:space="preserve">given these products were targeted by tariff increases and </w:t>
      </w:r>
      <w:r w:rsidRPr="00AF0716">
        <w:t xml:space="preserve">even though they </w:t>
      </w:r>
      <w:r>
        <w:t>appeared to be</w:t>
      </w:r>
      <w:r w:rsidRPr="00AF0716">
        <w:t xml:space="preserve"> less than the 90%+ market share </w:t>
      </w:r>
      <w:r>
        <w:t>specified in</w:t>
      </w:r>
      <w:r w:rsidRPr="00AF0716">
        <w:t xml:space="preserve"> the study protocol</w:t>
      </w:r>
      <w:r>
        <w:t>. Changes in production of local soft drinks could have an important influence on overall consumption but could not be measured here. T</w:t>
      </w:r>
      <w:r w:rsidRPr="00AF0716">
        <w:t xml:space="preserve">he litter survey also suggested that juice </w:t>
      </w:r>
      <w:r>
        <w:t xml:space="preserve">was all </w:t>
      </w:r>
      <w:r w:rsidRPr="00AF0716">
        <w:t>imported with no local manufacturing</w:t>
      </w:r>
      <w:r>
        <w:t xml:space="preserve"> </w:t>
      </w:r>
      <w:r w:rsidRPr="00AF0716">
        <w:t>(</w:t>
      </w:r>
      <w:r>
        <w:t>although</w:t>
      </w:r>
      <w:r w:rsidRPr="00AF0716">
        <w:t xml:space="preserve"> the origin of local juices that are known to be sold in cups could not be identified). </w:t>
      </w:r>
      <w:r>
        <w:t>For b</w:t>
      </w:r>
      <w:r w:rsidRPr="00AF0716">
        <w:t>ottled water container</w:t>
      </w:r>
      <w:r>
        <w:t xml:space="preserve"> litter</w:t>
      </w:r>
      <w:r w:rsidRPr="00AF0716">
        <w:t>, 44% of products were imported</w:t>
      </w:r>
      <w:r>
        <w:t xml:space="preserve"> and</w:t>
      </w:r>
      <w:r w:rsidRPr="00AF0716">
        <w:t xml:space="preserve"> 56% were locally produced</w:t>
      </w:r>
      <w:r>
        <w:t>; and thus water import trends were not useful for this analysis and were excluded</w:t>
      </w:r>
      <w:r w:rsidRPr="00AF0716">
        <w:t xml:space="preserve">. </w:t>
      </w:r>
    </w:p>
    <w:p w:rsidR="00CB3E60" w:rsidRDefault="00CB3E60" w:rsidP="00CB3E60">
      <w:pPr>
        <w:pStyle w:val="Heading3"/>
      </w:pPr>
      <w:r w:rsidRPr="00AF0716">
        <w:t>Variable</w:t>
      </w:r>
      <w:r>
        <w:t xml:space="preserve"> definition</w:t>
      </w:r>
      <w:r w:rsidRPr="00AF0716">
        <w:t>s</w:t>
      </w:r>
    </w:p>
    <w:p w:rsidR="00CB3E60" w:rsidRPr="00455134" w:rsidRDefault="00CB3E60" w:rsidP="00CB3E60">
      <w:r>
        <w:t xml:space="preserve">Variable definitions are outlined in Table </w:t>
      </w:r>
      <w:r w:rsidR="009121FC">
        <w:t>S</w:t>
      </w:r>
      <w:r>
        <w:t xml:space="preserve">2 and sales beverage products in Table </w:t>
      </w:r>
      <w:r w:rsidR="009121FC">
        <w:t>S</w:t>
      </w:r>
      <w:r>
        <w:t xml:space="preserve">3. </w:t>
      </w:r>
      <w:r w:rsidRPr="00AF0716">
        <w:t xml:space="preserve">Time series trends for each variable were examined to assess data quality and identify any missing information or changes that might indicate data errors or changes in measurement. </w:t>
      </w:r>
      <w:r w:rsidRPr="00AF0716">
        <w:rPr>
          <w:rFonts w:cs="Arial"/>
        </w:rPr>
        <w:t>A comprehensive set of data w</w:t>
      </w:r>
      <w:r>
        <w:rPr>
          <w:rFonts w:cs="Arial"/>
        </w:rPr>
        <w:t>ere available from 2001 to 2017</w:t>
      </w:r>
      <w:r w:rsidRPr="00AF0716">
        <w:rPr>
          <w:rFonts w:cs="Arial"/>
        </w:rPr>
        <w:t xml:space="preserve"> and thus this period was selected for analysis.</w:t>
      </w:r>
    </w:p>
    <w:p w:rsidR="00CB3E60" w:rsidRPr="00AF0716" w:rsidRDefault="00CB3E60" w:rsidP="00CB3E60">
      <w:pPr>
        <w:spacing w:after="0"/>
        <w:rPr>
          <w:b/>
        </w:rPr>
      </w:pPr>
      <w:r w:rsidRPr="00AF0716">
        <w:rPr>
          <w:b/>
        </w:rPr>
        <w:t xml:space="preserve">Table </w:t>
      </w:r>
      <w:r w:rsidR="009121FC">
        <w:rPr>
          <w:b/>
        </w:rPr>
        <w:t>S</w:t>
      </w:r>
      <w:r>
        <w:rPr>
          <w:b/>
        </w:rPr>
        <w:t>2</w:t>
      </w:r>
      <w:r w:rsidRPr="00AF0716">
        <w:rPr>
          <w:b/>
        </w:rPr>
        <w:t>: Cook Islands variable definitions</w:t>
      </w:r>
    </w:p>
    <w:tbl>
      <w:tblPr>
        <w:tblW w:w="7088" w:type="dxa"/>
        <w:tblInd w:w="108" w:type="dxa"/>
        <w:tblBorders>
          <w:top w:val="single" w:sz="4" w:space="0" w:color="auto"/>
          <w:bottom w:val="single" w:sz="4" w:space="0" w:color="auto"/>
        </w:tblBorders>
        <w:tblLayout w:type="fixed"/>
        <w:tblLook w:val="04A0" w:firstRow="1" w:lastRow="0" w:firstColumn="1" w:lastColumn="0" w:noHBand="0" w:noVBand="1"/>
      </w:tblPr>
      <w:tblGrid>
        <w:gridCol w:w="1523"/>
        <w:gridCol w:w="5565"/>
      </w:tblGrid>
      <w:tr w:rsidR="00CB3E60" w:rsidRPr="00AF0716" w:rsidTr="005B5968">
        <w:trPr>
          <w:trHeight w:val="1279"/>
        </w:trPr>
        <w:tc>
          <w:tcPr>
            <w:tcW w:w="1523" w:type="dxa"/>
            <w:shd w:val="clear" w:color="auto" w:fill="auto"/>
            <w:noWrap/>
            <w:hideMark/>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Residential population</w:t>
            </w:r>
          </w:p>
        </w:tc>
        <w:tc>
          <w:tcPr>
            <w:tcW w:w="5565" w:type="dxa"/>
            <w:shd w:val="clear" w:color="auto" w:fill="auto"/>
            <w:hideMark/>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Estimate residential population; http://www.mfem.gov.ck/statistics/social-statistics/vital-stats-pop-est</w:t>
            </w:r>
            <w:r w:rsidRPr="00AF0716">
              <w:rPr>
                <w:rFonts w:eastAsia="Times New Roman" w:cs="Times New Roman"/>
                <w:color w:val="000000"/>
                <w:sz w:val="16"/>
                <w:szCs w:val="16"/>
              </w:rPr>
              <w:br/>
              <w:t xml:space="preserve">Updated population estimate provided by Anne Tangimetua at Department of Statistics on 9 April 2019. The updated file changes population numbers back from Q2 2013 to 2018. Note 2018 figures are provisional only. Quarterly data </w:t>
            </w:r>
            <w:r>
              <w:rPr>
                <w:rFonts w:eastAsia="Times New Roman" w:cs="Times New Roman"/>
                <w:color w:val="000000"/>
                <w:sz w:val="16"/>
                <w:szCs w:val="16"/>
              </w:rPr>
              <w:t>were</w:t>
            </w:r>
            <w:r w:rsidRPr="00AF0716">
              <w:rPr>
                <w:rFonts w:eastAsia="Times New Roman" w:cs="Times New Roman"/>
                <w:color w:val="000000"/>
                <w:sz w:val="16"/>
                <w:szCs w:val="16"/>
              </w:rPr>
              <w:t xml:space="preserve"> transformed into monthly data using the moving average of quarterly data.</w:t>
            </w:r>
          </w:p>
        </w:tc>
      </w:tr>
      <w:tr w:rsidR="00CB3E60" w:rsidRPr="00AF0716" w:rsidTr="005B5968">
        <w:trPr>
          <w:trHeight w:val="2044"/>
        </w:trPr>
        <w:tc>
          <w:tcPr>
            <w:tcW w:w="1523" w:type="dxa"/>
            <w:shd w:val="clear" w:color="auto" w:fill="auto"/>
            <w:noWrap/>
            <w:hideMark/>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GDP per capita</w:t>
            </w:r>
          </w:p>
        </w:tc>
        <w:tc>
          <w:tcPr>
            <w:tcW w:w="5565" w:type="dxa"/>
            <w:shd w:val="clear" w:color="auto" w:fill="auto"/>
            <w:hideMark/>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Cook Is</w:t>
            </w:r>
            <w:r>
              <w:rPr>
                <w:rFonts w:eastAsia="Times New Roman" w:cs="Times New Roman"/>
                <w:color w:val="000000"/>
                <w:sz w:val="16"/>
                <w:szCs w:val="16"/>
              </w:rPr>
              <w:t>lands</w:t>
            </w:r>
            <w:r w:rsidRPr="00AF0716">
              <w:rPr>
                <w:rFonts w:eastAsia="Times New Roman" w:cs="Times New Roman"/>
                <w:color w:val="000000"/>
                <w:sz w:val="16"/>
                <w:szCs w:val="16"/>
              </w:rPr>
              <w:t xml:space="preserve"> GDP in 2016 NZ$, quarterly data available from 2008 to 2017 and annually before that back to 2001 from MFEM and online (http://www.mfem.gov.ck/statistics/economic-statistics/national-accounts). Accessed 20 September 2018 and 7 April 2019. </w:t>
            </w:r>
            <w:r w:rsidRPr="00AF0716">
              <w:rPr>
                <w:rFonts w:eastAsia="Times New Roman" w:cs="Times New Roman"/>
                <w:color w:val="000000"/>
                <w:sz w:val="16"/>
                <w:szCs w:val="16"/>
              </w:rPr>
              <w:br/>
              <w:t xml:space="preserve">Data were used from ‘Table: Gross Domestic Product at </w:t>
            </w:r>
            <w:r w:rsidRPr="00AF0716">
              <w:rPr>
                <w:rFonts w:eastAsia="Times New Roman" w:cs="Times New Roman"/>
                <w:b/>
                <w:bCs/>
                <w:color w:val="000000"/>
                <w:sz w:val="16"/>
                <w:szCs w:val="16"/>
              </w:rPr>
              <w:t>2016</w:t>
            </w:r>
            <w:r w:rsidRPr="00AF0716">
              <w:rPr>
                <w:rFonts w:eastAsia="Times New Roman" w:cs="Times New Roman"/>
                <w:color w:val="000000"/>
                <w:sz w:val="16"/>
                <w:szCs w:val="16"/>
              </w:rPr>
              <w:t xml:space="preserve"> Prices ($'M)’. The earlier data </w:t>
            </w:r>
            <w:r>
              <w:rPr>
                <w:rFonts w:eastAsia="Times New Roman" w:cs="Times New Roman"/>
                <w:color w:val="000000"/>
                <w:sz w:val="16"/>
                <w:szCs w:val="16"/>
              </w:rPr>
              <w:t>were</w:t>
            </w:r>
            <w:r w:rsidRPr="00AF0716">
              <w:rPr>
                <w:rFonts w:eastAsia="Times New Roman" w:cs="Times New Roman"/>
                <w:color w:val="000000"/>
                <w:sz w:val="16"/>
                <w:szCs w:val="16"/>
              </w:rPr>
              <w:t xml:space="preserve"> transformed from 2006 to 2016 current prices using the official inflation index. The annual 2001 to 2007 data </w:t>
            </w:r>
            <w:r>
              <w:rPr>
                <w:rFonts w:eastAsia="Times New Roman" w:cs="Times New Roman"/>
                <w:color w:val="000000"/>
                <w:sz w:val="16"/>
                <w:szCs w:val="16"/>
              </w:rPr>
              <w:t>were</w:t>
            </w:r>
            <w:r w:rsidRPr="00AF0716">
              <w:rPr>
                <w:rFonts w:eastAsia="Times New Roman" w:cs="Times New Roman"/>
                <w:color w:val="000000"/>
                <w:sz w:val="16"/>
                <w:szCs w:val="16"/>
              </w:rPr>
              <w:t xml:space="preserve"> converted into quarterly data using the same pattern as 2008 to 2015 quarters as an average over this time period. Monthly data </w:t>
            </w:r>
            <w:r>
              <w:rPr>
                <w:rFonts w:eastAsia="Times New Roman" w:cs="Times New Roman"/>
                <w:color w:val="000000"/>
                <w:sz w:val="16"/>
                <w:szCs w:val="16"/>
              </w:rPr>
              <w:t>were</w:t>
            </w:r>
            <w:r w:rsidRPr="00AF0716">
              <w:rPr>
                <w:rFonts w:eastAsia="Times New Roman" w:cs="Times New Roman"/>
                <w:color w:val="000000"/>
                <w:sz w:val="16"/>
                <w:szCs w:val="16"/>
              </w:rPr>
              <w:t xml:space="preserve"> calculated as a moving average of the quarterly data.</w:t>
            </w:r>
            <w:r w:rsidR="0059065F">
              <w:rPr>
                <w:rFonts w:eastAsia="Times New Roman" w:cs="Times New Roman"/>
                <w:color w:val="000000"/>
                <w:sz w:val="16"/>
                <w:szCs w:val="16"/>
              </w:rPr>
              <w:t xml:space="preserve"> </w:t>
            </w:r>
          </w:p>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 xml:space="preserve">GDP was divided by the residential population to give per capita values. </w:t>
            </w:r>
          </w:p>
        </w:tc>
      </w:tr>
      <w:tr w:rsidR="00CB3E60" w:rsidRPr="00AF0716" w:rsidTr="005B5968">
        <w:trPr>
          <w:trHeight w:val="1068"/>
        </w:trPr>
        <w:tc>
          <w:tcPr>
            <w:tcW w:w="1523" w:type="dxa"/>
            <w:shd w:val="clear" w:color="auto" w:fill="auto"/>
            <w:noWrap/>
            <w:hideMark/>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International visitor numbers</w:t>
            </w:r>
          </w:p>
        </w:tc>
        <w:tc>
          <w:tcPr>
            <w:tcW w:w="5565" w:type="dxa"/>
            <w:shd w:val="clear" w:color="auto" w:fill="auto"/>
            <w:hideMark/>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 xml:space="preserve">Visitor arrivals, provisional in last five years 2013-2017, http://www.mfem.gov.ck/statistics/economic-statistics/key-economic-indicators Ministry </w:t>
            </w:r>
            <w:r>
              <w:rPr>
                <w:rFonts w:eastAsia="Times New Roman" w:cs="Times New Roman"/>
                <w:color w:val="000000"/>
                <w:sz w:val="16"/>
                <w:szCs w:val="16"/>
              </w:rPr>
              <w:t>o</w:t>
            </w:r>
            <w:r w:rsidRPr="00AF0716">
              <w:rPr>
                <w:rFonts w:eastAsia="Times New Roman" w:cs="Times New Roman"/>
                <w:color w:val="000000"/>
                <w:sz w:val="16"/>
                <w:szCs w:val="16"/>
              </w:rPr>
              <w:t xml:space="preserve">f Finance </w:t>
            </w:r>
            <w:r>
              <w:rPr>
                <w:rFonts w:eastAsia="Times New Roman" w:cs="Times New Roman"/>
                <w:color w:val="000000"/>
                <w:sz w:val="16"/>
                <w:szCs w:val="16"/>
              </w:rPr>
              <w:t>a</w:t>
            </w:r>
            <w:r w:rsidRPr="00AF0716">
              <w:rPr>
                <w:rFonts w:eastAsia="Times New Roman" w:cs="Times New Roman"/>
                <w:color w:val="000000"/>
                <w:sz w:val="16"/>
                <w:szCs w:val="16"/>
              </w:rPr>
              <w:t xml:space="preserve">nd Economic Management Government </w:t>
            </w:r>
            <w:r>
              <w:rPr>
                <w:rFonts w:eastAsia="Times New Roman" w:cs="Times New Roman"/>
                <w:color w:val="000000"/>
                <w:sz w:val="16"/>
                <w:szCs w:val="16"/>
              </w:rPr>
              <w:t>o</w:t>
            </w:r>
            <w:r w:rsidRPr="00AF0716">
              <w:rPr>
                <w:rFonts w:eastAsia="Times New Roman" w:cs="Times New Roman"/>
                <w:color w:val="000000"/>
                <w:sz w:val="16"/>
                <w:szCs w:val="16"/>
              </w:rPr>
              <w:t xml:space="preserve">f </w:t>
            </w:r>
            <w:r>
              <w:rPr>
                <w:rFonts w:eastAsia="Times New Roman" w:cs="Times New Roman"/>
                <w:color w:val="000000"/>
                <w:sz w:val="16"/>
                <w:szCs w:val="16"/>
              </w:rPr>
              <w:t>t</w:t>
            </w:r>
            <w:r w:rsidRPr="00AF0716">
              <w:rPr>
                <w:rFonts w:eastAsia="Times New Roman" w:cs="Times New Roman"/>
                <w:color w:val="000000"/>
                <w:sz w:val="16"/>
                <w:szCs w:val="16"/>
              </w:rPr>
              <w:t>he Cook Islands (2017). "Cook Islands Statistical Bulletin: Migration Statistics</w:t>
            </w:r>
            <w:r>
              <w:rPr>
                <w:rFonts w:eastAsia="Times New Roman" w:cs="Times New Roman"/>
                <w:color w:val="000000"/>
                <w:sz w:val="16"/>
                <w:szCs w:val="16"/>
              </w:rPr>
              <w:t>”</w:t>
            </w:r>
            <w:r w:rsidRPr="00AF0716">
              <w:rPr>
                <w:rFonts w:eastAsia="Times New Roman" w:cs="Times New Roman"/>
                <w:color w:val="000000"/>
                <w:sz w:val="16"/>
                <w:szCs w:val="16"/>
              </w:rPr>
              <w:t xml:space="preserve"> May 2017. Available monthly and summed to give quarterly data. </w:t>
            </w:r>
          </w:p>
        </w:tc>
      </w:tr>
      <w:tr w:rsidR="00CB3E60" w:rsidRPr="00AF0716" w:rsidTr="005B5968">
        <w:trPr>
          <w:trHeight w:val="63"/>
        </w:trPr>
        <w:tc>
          <w:tcPr>
            <w:tcW w:w="1523" w:type="dxa"/>
            <w:shd w:val="clear" w:color="auto" w:fill="auto"/>
            <w:noWrap/>
            <w:hideMark/>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lastRenderedPageBreak/>
              <w:t>Season</w:t>
            </w:r>
          </w:p>
        </w:tc>
        <w:tc>
          <w:tcPr>
            <w:tcW w:w="5565" w:type="dxa"/>
            <w:shd w:val="clear" w:color="auto" w:fill="auto"/>
            <w:hideMark/>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1 to 4 for each quarter or 1 to 12 for each month in monthly analyses</w:t>
            </w:r>
          </w:p>
        </w:tc>
      </w:tr>
    </w:tbl>
    <w:p w:rsidR="00CB3E60" w:rsidRPr="00AF0716" w:rsidRDefault="00CB3E60" w:rsidP="00CB3E60">
      <w:pPr>
        <w:spacing w:after="0"/>
        <w:rPr>
          <w:b/>
        </w:rPr>
      </w:pPr>
    </w:p>
    <w:p w:rsidR="00CB3E60" w:rsidRPr="00AF0716" w:rsidRDefault="00CB3E60" w:rsidP="00CB3E60">
      <w:pPr>
        <w:spacing w:after="0"/>
        <w:rPr>
          <w:b/>
        </w:rPr>
      </w:pPr>
    </w:p>
    <w:p w:rsidR="00CB3E60" w:rsidRPr="00AF0716" w:rsidRDefault="00CB3E60" w:rsidP="00CB3E60">
      <w:pPr>
        <w:spacing w:after="0"/>
        <w:rPr>
          <w:b/>
        </w:rPr>
      </w:pPr>
      <w:r w:rsidRPr="00AF0716">
        <w:rPr>
          <w:b/>
        </w:rPr>
        <w:t xml:space="preserve">Table </w:t>
      </w:r>
      <w:r w:rsidR="009121FC">
        <w:rPr>
          <w:b/>
        </w:rPr>
        <w:t>S</w:t>
      </w:r>
      <w:r>
        <w:rPr>
          <w:b/>
        </w:rPr>
        <w:t>3</w:t>
      </w:r>
      <w:r w:rsidRPr="00AF0716">
        <w:rPr>
          <w:b/>
        </w:rPr>
        <w:t>: Products included in sales beverage analysis</w:t>
      </w:r>
    </w:p>
    <w:tbl>
      <w:tblPr>
        <w:tblW w:w="5827" w:type="dxa"/>
        <w:tblInd w:w="93" w:type="dxa"/>
        <w:tblBorders>
          <w:top w:val="single" w:sz="4" w:space="0" w:color="auto"/>
          <w:bottom w:val="single" w:sz="4" w:space="0" w:color="auto"/>
        </w:tblBorders>
        <w:tblLook w:val="04A0" w:firstRow="1" w:lastRow="0" w:firstColumn="1" w:lastColumn="0" w:noHBand="0" w:noVBand="1"/>
      </w:tblPr>
      <w:tblGrid>
        <w:gridCol w:w="1575"/>
        <w:gridCol w:w="1842"/>
        <w:gridCol w:w="2410"/>
      </w:tblGrid>
      <w:tr w:rsidR="00CB3E60" w:rsidRPr="00AF0716" w:rsidTr="005B5968">
        <w:trPr>
          <w:trHeight w:val="289"/>
          <w:tblHeader/>
        </w:trPr>
        <w:tc>
          <w:tcPr>
            <w:tcW w:w="1575" w:type="dxa"/>
            <w:tcBorders>
              <w:top w:val="single" w:sz="4" w:space="0" w:color="auto"/>
              <w:bottom w:val="single" w:sz="4" w:space="0" w:color="auto"/>
            </w:tcBorders>
            <w:vAlign w:val="center"/>
          </w:tcPr>
          <w:p w:rsidR="00CB3E60" w:rsidRPr="00864885" w:rsidRDefault="00CB3E60" w:rsidP="005B5968">
            <w:pPr>
              <w:spacing w:after="0" w:line="240" w:lineRule="auto"/>
              <w:rPr>
                <w:rFonts w:eastAsia="Times New Roman" w:cs="Times New Roman"/>
                <w:b/>
                <w:sz w:val="16"/>
                <w:szCs w:val="16"/>
              </w:rPr>
            </w:pPr>
            <w:r w:rsidRPr="00864885">
              <w:rPr>
                <w:rFonts w:eastAsia="Times New Roman" w:cs="Times New Roman"/>
                <w:b/>
                <w:sz w:val="16"/>
                <w:szCs w:val="16"/>
              </w:rPr>
              <w:t>Analysis category</w:t>
            </w:r>
          </w:p>
        </w:tc>
        <w:tc>
          <w:tcPr>
            <w:tcW w:w="1842" w:type="dxa"/>
            <w:tcBorders>
              <w:top w:val="single" w:sz="4" w:space="0" w:color="auto"/>
              <w:bottom w:val="single" w:sz="4" w:space="0" w:color="auto"/>
            </w:tcBorders>
            <w:vAlign w:val="center"/>
          </w:tcPr>
          <w:p w:rsidR="00CB3E60" w:rsidRPr="00864885" w:rsidRDefault="00CB3E60" w:rsidP="005B5968">
            <w:pPr>
              <w:spacing w:after="0" w:line="240" w:lineRule="auto"/>
              <w:rPr>
                <w:rFonts w:eastAsia="Times New Roman" w:cs="Times New Roman"/>
                <w:b/>
                <w:sz w:val="16"/>
                <w:szCs w:val="16"/>
              </w:rPr>
            </w:pPr>
            <w:r w:rsidRPr="00864885">
              <w:rPr>
                <w:rFonts w:eastAsia="Times New Roman" w:cs="Times New Roman"/>
                <w:b/>
                <w:sz w:val="16"/>
                <w:szCs w:val="16"/>
              </w:rPr>
              <w:t>Beverage category</w:t>
            </w:r>
          </w:p>
        </w:tc>
        <w:tc>
          <w:tcPr>
            <w:tcW w:w="2410" w:type="dxa"/>
            <w:tcBorders>
              <w:top w:val="single" w:sz="4" w:space="0" w:color="auto"/>
              <w:bottom w:val="single" w:sz="4" w:space="0" w:color="auto"/>
            </w:tcBorders>
            <w:shd w:val="clear" w:color="auto" w:fill="auto"/>
            <w:noWrap/>
            <w:vAlign w:val="center"/>
          </w:tcPr>
          <w:p w:rsidR="00CB3E60" w:rsidRPr="00864885" w:rsidRDefault="00CB3E60" w:rsidP="005B5968">
            <w:pPr>
              <w:spacing w:after="0" w:line="240" w:lineRule="auto"/>
              <w:rPr>
                <w:rFonts w:eastAsia="Times New Roman" w:cs="Times New Roman"/>
                <w:b/>
                <w:sz w:val="16"/>
                <w:szCs w:val="16"/>
              </w:rPr>
            </w:pPr>
            <w:r w:rsidRPr="00864885">
              <w:rPr>
                <w:rFonts w:eastAsia="Times New Roman" w:cs="Times New Roman"/>
                <w:b/>
                <w:sz w:val="16"/>
                <w:szCs w:val="16"/>
              </w:rPr>
              <w:t>Included products</w:t>
            </w:r>
          </w:p>
        </w:tc>
      </w:tr>
      <w:tr w:rsidR="00CB3E60" w:rsidRPr="00AF0716" w:rsidTr="005B5968">
        <w:trPr>
          <w:trHeight w:val="289"/>
        </w:trPr>
        <w:tc>
          <w:tcPr>
            <w:tcW w:w="1575" w:type="dxa"/>
            <w:tcBorders>
              <w:top w:val="single" w:sz="4" w:space="0" w:color="auto"/>
            </w:tcBorders>
            <w:vAlign w:val="center"/>
          </w:tcPr>
          <w:p w:rsidR="00CB3E60" w:rsidRPr="00AF0716" w:rsidRDefault="00CB3E60" w:rsidP="005B5968">
            <w:pPr>
              <w:spacing w:after="0" w:line="240" w:lineRule="auto"/>
              <w:rPr>
                <w:rFonts w:eastAsia="Times New Roman" w:cs="Times New Roman"/>
                <w:sz w:val="16"/>
                <w:szCs w:val="16"/>
              </w:rPr>
            </w:pPr>
            <w:r>
              <w:rPr>
                <w:rFonts w:eastAsia="Times New Roman" w:cs="Times New Roman"/>
                <w:sz w:val="16"/>
                <w:szCs w:val="16"/>
              </w:rPr>
              <w:t>Full-sugar</w:t>
            </w:r>
            <w:r w:rsidRPr="00AF0716">
              <w:rPr>
                <w:rFonts w:eastAsia="Times New Roman" w:cs="Times New Roman"/>
                <w:sz w:val="16"/>
                <w:szCs w:val="16"/>
              </w:rPr>
              <w:t xml:space="preserve"> beverages</w:t>
            </w:r>
          </w:p>
        </w:tc>
        <w:tc>
          <w:tcPr>
            <w:tcW w:w="1842" w:type="dxa"/>
            <w:tcBorders>
              <w:top w:val="single" w:sz="4" w:space="0" w:color="auto"/>
            </w:tcBorders>
            <w:vAlign w:val="center"/>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Carbonated </w:t>
            </w:r>
            <w:r>
              <w:rPr>
                <w:rFonts w:eastAsia="Times New Roman" w:cs="Times New Roman"/>
                <w:sz w:val="16"/>
                <w:szCs w:val="16"/>
              </w:rPr>
              <w:t>full-sugar</w:t>
            </w:r>
          </w:p>
        </w:tc>
        <w:tc>
          <w:tcPr>
            <w:tcW w:w="2410" w:type="dxa"/>
            <w:tcBorders>
              <w:top w:val="single" w:sz="4" w:space="0" w:color="auto"/>
            </w:tcBorders>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Coca-Cola range 330ml</w:t>
            </w:r>
          </w:p>
        </w:tc>
      </w:tr>
      <w:tr w:rsidR="00CB3E60" w:rsidRPr="00AF0716" w:rsidTr="005B5968">
        <w:trPr>
          <w:trHeight w:val="289"/>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Coca-Cola range 1.5</w:t>
            </w:r>
            <w:r>
              <w:rPr>
                <w:rFonts w:eastAsia="Times New Roman" w:cs="Times New Roman"/>
                <w:sz w:val="16"/>
                <w:szCs w:val="16"/>
              </w:rPr>
              <w:t>L</w:t>
            </w:r>
          </w:p>
        </w:tc>
      </w:tr>
      <w:tr w:rsidR="00CB3E60" w:rsidRPr="00AF0716" w:rsidTr="005B5968">
        <w:trPr>
          <w:trHeight w:val="289"/>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Coca-Cola range 600ml</w:t>
            </w:r>
          </w:p>
        </w:tc>
      </w:tr>
      <w:tr w:rsidR="00CB3E60" w:rsidRPr="00AF0716" w:rsidTr="005B5968">
        <w:trPr>
          <w:trHeight w:val="289"/>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Coca-Cola range 355ml</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Energy drink </w:t>
            </w:r>
            <w:r>
              <w:rPr>
                <w:rFonts w:eastAsia="Times New Roman" w:cs="Times New Roman"/>
                <w:sz w:val="16"/>
                <w:szCs w:val="16"/>
              </w:rPr>
              <w:t>full-sugar</w:t>
            </w: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Monster Original 500ml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Monster Sunrise 500ml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Mother 500ml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Powerade 750ml </w:t>
            </w:r>
          </w:p>
        </w:tc>
      </w:tr>
      <w:tr w:rsidR="00CB3E60" w:rsidRPr="00AF0716" w:rsidTr="005B5968">
        <w:trPr>
          <w:trHeight w:val="289"/>
        </w:trPr>
        <w:tc>
          <w:tcPr>
            <w:tcW w:w="1575" w:type="dxa"/>
            <w:vAlign w:val="center"/>
          </w:tcPr>
          <w:p w:rsidR="00CB3E60" w:rsidRPr="00AF0716" w:rsidRDefault="00CB3E60" w:rsidP="005B5968">
            <w:pPr>
              <w:spacing w:after="0" w:line="240" w:lineRule="auto"/>
              <w:rPr>
                <w:rFonts w:eastAsia="Times New Roman" w:cs="Times New Roman"/>
                <w:sz w:val="16"/>
                <w:szCs w:val="16"/>
              </w:rPr>
            </w:pPr>
            <w:r>
              <w:rPr>
                <w:rFonts w:eastAsia="Times New Roman" w:cs="Times New Roman"/>
                <w:sz w:val="16"/>
                <w:szCs w:val="16"/>
              </w:rPr>
              <w:t>Low-sugar</w:t>
            </w:r>
            <w:r w:rsidRPr="00AF0716">
              <w:rPr>
                <w:rFonts w:eastAsia="Times New Roman" w:cs="Times New Roman"/>
                <w:sz w:val="16"/>
                <w:szCs w:val="16"/>
              </w:rPr>
              <w:t xml:space="preserve"> beverages</w:t>
            </w:r>
          </w:p>
        </w:tc>
        <w:tc>
          <w:tcPr>
            <w:tcW w:w="1842" w:type="dxa"/>
            <w:vAlign w:val="center"/>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Carbonated </w:t>
            </w:r>
            <w:r>
              <w:rPr>
                <w:rFonts w:eastAsia="Times New Roman" w:cs="Times New Roman"/>
                <w:sz w:val="16"/>
                <w:szCs w:val="16"/>
              </w:rPr>
              <w:t>low-sugar</w:t>
            </w: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Coca-Cola range </w:t>
            </w:r>
            <w:r>
              <w:rPr>
                <w:rFonts w:eastAsia="Times New Roman" w:cs="Times New Roman"/>
                <w:sz w:val="16"/>
                <w:szCs w:val="16"/>
              </w:rPr>
              <w:t>low-sugar</w:t>
            </w:r>
            <w:r w:rsidRPr="00AF0716">
              <w:rPr>
                <w:rFonts w:eastAsia="Times New Roman" w:cs="Times New Roman"/>
                <w:sz w:val="16"/>
                <w:szCs w:val="16"/>
              </w:rPr>
              <w:t xml:space="preserve"> 1.5L</w:t>
            </w:r>
          </w:p>
        </w:tc>
      </w:tr>
      <w:tr w:rsidR="00CB3E60" w:rsidRPr="00AF0716" w:rsidTr="005B5968">
        <w:trPr>
          <w:trHeight w:val="289"/>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Coca-Cola range </w:t>
            </w:r>
            <w:r>
              <w:rPr>
                <w:rFonts w:eastAsia="Times New Roman" w:cs="Times New Roman"/>
                <w:sz w:val="16"/>
                <w:szCs w:val="16"/>
              </w:rPr>
              <w:t>low-sugar</w:t>
            </w:r>
            <w:r w:rsidRPr="00AF0716">
              <w:rPr>
                <w:rFonts w:eastAsia="Times New Roman" w:cs="Times New Roman"/>
                <w:sz w:val="16"/>
                <w:szCs w:val="16"/>
              </w:rPr>
              <w:t xml:space="preserve"> 600ml</w:t>
            </w:r>
          </w:p>
        </w:tc>
      </w:tr>
      <w:tr w:rsidR="00CB3E60" w:rsidRPr="00AF0716" w:rsidTr="005B5968">
        <w:trPr>
          <w:trHeight w:val="289"/>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Coca-Cola range </w:t>
            </w:r>
            <w:r>
              <w:rPr>
                <w:rFonts w:eastAsia="Times New Roman" w:cs="Times New Roman"/>
                <w:sz w:val="16"/>
                <w:szCs w:val="16"/>
              </w:rPr>
              <w:t>low-sugar</w:t>
            </w:r>
            <w:r w:rsidRPr="00AF0716">
              <w:rPr>
                <w:rFonts w:eastAsia="Times New Roman" w:cs="Times New Roman"/>
                <w:sz w:val="16"/>
                <w:szCs w:val="16"/>
              </w:rPr>
              <w:t xml:space="preserve"> 355ml</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Energy drink </w:t>
            </w:r>
            <w:r>
              <w:rPr>
                <w:rFonts w:eastAsia="Times New Roman" w:cs="Times New Roman"/>
                <w:sz w:val="16"/>
                <w:szCs w:val="16"/>
              </w:rPr>
              <w:t>low-sugar</w:t>
            </w: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Monster Zero Ultra 500ml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Powerade </w:t>
            </w:r>
            <w:r>
              <w:rPr>
                <w:rFonts w:eastAsia="Times New Roman" w:cs="Times New Roman"/>
                <w:sz w:val="16"/>
                <w:szCs w:val="16"/>
              </w:rPr>
              <w:t>Z</w:t>
            </w:r>
            <w:r w:rsidRPr="00AF0716">
              <w:rPr>
                <w:rFonts w:eastAsia="Times New Roman" w:cs="Times New Roman"/>
                <w:sz w:val="16"/>
                <w:szCs w:val="16"/>
              </w:rPr>
              <w:t>ero</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Flavoured water</w:t>
            </w: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Pumped Flavours 750ml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Water</w:t>
            </w:r>
          </w:p>
        </w:tc>
        <w:tc>
          <w:tcPr>
            <w:tcW w:w="1842" w:type="dxa"/>
            <w:vAlign w:val="center"/>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Imported water</w:t>
            </w: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Pump 400ml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Pump 750ml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Pump 1.25</w:t>
            </w:r>
            <w:r>
              <w:rPr>
                <w:rFonts w:eastAsia="Times New Roman" w:cs="Times New Roman"/>
                <w:sz w:val="16"/>
                <w:szCs w:val="16"/>
              </w:rPr>
              <w:t>L</w:t>
            </w:r>
            <w:r w:rsidRPr="00AF0716">
              <w:rPr>
                <w:rFonts w:eastAsia="Times New Roman" w:cs="Times New Roman"/>
                <w:sz w:val="16"/>
                <w:szCs w:val="16"/>
              </w:rPr>
              <w:t xml:space="preserve">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 xml:space="preserve">Kiwi Sparkling 450ml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Kiwi Sparkling 1.25</w:t>
            </w:r>
            <w:r>
              <w:rPr>
                <w:rFonts w:eastAsia="Times New Roman" w:cs="Times New Roman"/>
                <w:sz w:val="16"/>
                <w:szCs w:val="16"/>
              </w:rPr>
              <w:t>L</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Kiwi Blue 1.5</w:t>
            </w:r>
            <w:r>
              <w:rPr>
                <w:rFonts w:eastAsia="Times New Roman" w:cs="Times New Roman"/>
                <w:sz w:val="16"/>
                <w:szCs w:val="16"/>
              </w:rPr>
              <w:t>L</w:t>
            </w:r>
            <w:r w:rsidRPr="00AF0716">
              <w:rPr>
                <w:rFonts w:eastAsia="Times New Roman" w:cs="Times New Roman"/>
                <w:sz w:val="16"/>
                <w:szCs w:val="16"/>
              </w:rPr>
              <w:t xml:space="preserve"> </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Pr>
                <w:rFonts w:eastAsia="Times New Roman" w:cs="Times New Roman"/>
                <w:sz w:val="16"/>
                <w:szCs w:val="16"/>
              </w:rPr>
              <w:t>W</w:t>
            </w:r>
            <w:r w:rsidRPr="00AF0716">
              <w:rPr>
                <w:rFonts w:eastAsia="Times New Roman" w:cs="Times New Roman"/>
                <w:sz w:val="16"/>
                <w:szCs w:val="16"/>
              </w:rPr>
              <w:t>ater</w:t>
            </w:r>
            <w:r>
              <w:rPr>
                <w:rFonts w:eastAsia="Times New Roman" w:cs="Times New Roman"/>
                <w:sz w:val="16"/>
                <w:szCs w:val="16"/>
              </w:rPr>
              <w:t xml:space="preserve"> 6L</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Pr>
                <w:rFonts w:eastAsia="Times New Roman" w:cs="Times New Roman"/>
                <w:sz w:val="16"/>
                <w:szCs w:val="16"/>
              </w:rPr>
              <w:t>W</w:t>
            </w:r>
            <w:r w:rsidRPr="00AF0716">
              <w:rPr>
                <w:rFonts w:eastAsia="Times New Roman" w:cs="Times New Roman"/>
                <w:sz w:val="16"/>
                <w:szCs w:val="16"/>
              </w:rPr>
              <w:t>ater</w:t>
            </w:r>
            <w:r>
              <w:rPr>
                <w:rFonts w:eastAsia="Times New Roman" w:cs="Times New Roman"/>
                <w:sz w:val="16"/>
                <w:szCs w:val="16"/>
              </w:rPr>
              <w:t xml:space="preserve"> 4L</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Local water</w:t>
            </w: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Pr>
                <w:rFonts w:eastAsia="Times New Roman" w:cs="Times New Roman"/>
                <w:sz w:val="16"/>
                <w:szCs w:val="16"/>
              </w:rPr>
              <w:t>V</w:t>
            </w:r>
            <w:r w:rsidRPr="00AF0716">
              <w:rPr>
                <w:rFonts w:eastAsia="Times New Roman" w:cs="Times New Roman"/>
                <w:sz w:val="16"/>
                <w:szCs w:val="16"/>
              </w:rPr>
              <w:t>aima 1.5</w:t>
            </w:r>
            <w:r>
              <w:rPr>
                <w:rFonts w:eastAsia="Times New Roman" w:cs="Times New Roman"/>
                <w:sz w:val="16"/>
                <w:szCs w:val="16"/>
              </w:rPr>
              <w:t>L</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Vaima 3L</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Vaima 15L</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sidRPr="00AF0716">
              <w:rPr>
                <w:rFonts w:eastAsia="Times New Roman" w:cs="Times New Roman"/>
                <w:sz w:val="16"/>
                <w:szCs w:val="16"/>
              </w:rPr>
              <w:t>Vaima 600ml</w:t>
            </w:r>
          </w:p>
        </w:tc>
      </w:tr>
      <w:tr w:rsidR="00CB3E60" w:rsidRPr="00AF0716" w:rsidTr="005B5968">
        <w:trPr>
          <w:trHeight w:val="300"/>
        </w:trPr>
        <w:tc>
          <w:tcPr>
            <w:tcW w:w="1575" w:type="dxa"/>
            <w:vAlign w:val="center"/>
          </w:tcPr>
          <w:p w:rsidR="00CB3E60" w:rsidRPr="00AF0716" w:rsidRDefault="00CB3E60" w:rsidP="005B5968">
            <w:pPr>
              <w:spacing w:after="0" w:line="240" w:lineRule="auto"/>
              <w:rPr>
                <w:rFonts w:eastAsia="Times New Roman" w:cs="Times New Roman"/>
                <w:sz w:val="16"/>
                <w:szCs w:val="16"/>
              </w:rPr>
            </w:pPr>
          </w:p>
        </w:tc>
        <w:tc>
          <w:tcPr>
            <w:tcW w:w="1842" w:type="dxa"/>
            <w:vAlign w:val="center"/>
          </w:tcPr>
          <w:p w:rsidR="00CB3E60" w:rsidRPr="00AF0716" w:rsidRDefault="00CB3E60" w:rsidP="005B5968">
            <w:pPr>
              <w:spacing w:after="0" w:line="240" w:lineRule="auto"/>
              <w:rPr>
                <w:rFonts w:eastAsia="Times New Roman" w:cs="Times New Roman"/>
                <w:sz w:val="16"/>
                <w:szCs w:val="16"/>
              </w:rPr>
            </w:pPr>
          </w:p>
        </w:tc>
        <w:tc>
          <w:tcPr>
            <w:tcW w:w="2410" w:type="dxa"/>
            <w:shd w:val="clear" w:color="auto" w:fill="auto"/>
            <w:noWrap/>
            <w:vAlign w:val="center"/>
            <w:hideMark/>
          </w:tcPr>
          <w:p w:rsidR="00CB3E60" w:rsidRPr="00AF0716" w:rsidRDefault="00CB3E60" w:rsidP="005B5968">
            <w:pPr>
              <w:spacing w:after="0" w:line="240" w:lineRule="auto"/>
              <w:rPr>
                <w:rFonts w:eastAsia="Times New Roman" w:cs="Times New Roman"/>
                <w:sz w:val="16"/>
                <w:szCs w:val="16"/>
              </w:rPr>
            </w:pPr>
            <w:r>
              <w:rPr>
                <w:rFonts w:eastAsia="Times New Roman" w:cs="Times New Roman"/>
                <w:sz w:val="16"/>
                <w:szCs w:val="16"/>
              </w:rPr>
              <w:t>V</w:t>
            </w:r>
            <w:r w:rsidRPr="00AF0716">
              <w:rPr>
                <w:rFonts w:eastAsia="Times New Roman" w:cs="Times New Roman"/>
                <w:sz w:val="16"/>
                <w:szCs w:val="16"/>
              </w:rPr>
              <w:t>aima 800ml</w:t>
            </w:r>
          </w:p>
        </w:tc>
      </w:tr>
    </w:tbl>
    <w:p w:rsidR="00CB3E60" w:rsidRPr="00AF0716" w:rsidRDefault="00CB3E60" w:rsidP="00CB3E60">
      <w:pPr>
        <w:spacing w:after="0"/>
        <w:rPr>
          <w:sz w:val="20"/>
        </w:rPr>
      </w:pPr>
      <w:r w:rsidRPr="00AF0716">
        <w:rPr>
          <w:sz w:val="20"/>
        </w:rPr>
        <w:t>Source: C</w:t>
      </w:r>
      <w:r>
        <w:rPr>
          <w:sz w:val="20"/>
        </w:rPr>
        <w:t>ook Islands Trading Company</w:t>
      </w:r>
    </w:p>
    <w:p w:rsidR="00CB3E60" w:rsidRPr="00AF0716" w:rsidRDefault="00CB3E60" w:rsidP="00CB3E60">
      <w:pPr>
        <w:spacing w:after="0"/>
      </w:pPr>
    </w:p>
    <w:p w:rsidR="00CB3E60" w:rsidRPr="00AF0716" w:rsidRDefault="00CB3E60" w:rsidP="00CB3E60">
      <w:pPr>
        <w:spacing w:after="0"/>
      </w:pPr>
    </w:p>
    <w:p w:rsidR="00CB3E60" w:rsidRPr="00AF0716" w:rsidRDefault="00CB3E60" w:rsidP="00CB3E60">
      <w:pPr>
        <w:pStyle w:val="Heading3"/>
      </w:pPr>
      <w:r w:rsidRPr="00AF0716">
        <w:t>Primary model</w:t>
      </w:r>
    </w:p>
    <w:p w:rsidR="00CB3E60" w:rsidRPr="00AF0716" w:rsidRDefault="00CB3E60" w:rsidP="00CB3E60">
      <w:pPr>
        <w:spacing w:after="0"/>
      </w:pPr>
      <w:r w:rsidRPr="00AF0716">
        <w:t>The Cook Islands model from the primary trade analysis with three tax changes:</w:t>
      </w:r>
    </w:p>
    <w:p w:rsidR="00CB3E60" w:rsidRPr="00AF0716" w:rsidRDefault="00CB3E60" w:rsidP="00CB3E60">
      <w:pPr>
        <w:spacing w:after="0"/>
      </w:pPr>
      <m:oMathPara>
        <m:oMath>
          <m:r>
            <w:rPr>
              <w:rFonts w:ascii="Cambria Math" w:hAnsi="Cambria Math"/>
            </w:rPr>
            <m:t>Trade</m:t>
          </m:r>
          <m:d>
            <m:dPr>
              <m:ctrlPr>
                <w:rPr>
                  <w:rFonts w:ascii="Cambria Math" w:hAnsi="Cambria Math"/>
                  <w:i/>
                </w:rPr>
              </m:ctrlPr>
            </m:dPr>
            <m:e>
              <m:f>
                <m:fPr>
                  <m:type m:val="lin"/>
                  <m:ctrlPr>
                    <w:rPr>
                      <w:rFonts w:ascii="Cambria Math" w:hAnsi="Cambria Math"/>
                      <w:i/>
                    </w:rPr>
                  </m:ctrlPr>
                </m:fPr>
                <m:num>
                  <m:r>
                    <w:rPr>
                      <w:rFonts w:ascii="Cambria Math" w:hAnsi="Cambria Math"/>
                    </w:rPr>
                    <m:t>L</m:t>
                  </m:r>
                </m:num>
                <m:den>
                  <m:r>
                    <w:rPr>
                      <w:rFonts w:ascii="Cambria Math" w:hAnsi="Cambria Math"/>
                    </w:rPr>
                    <m:t>population</m:t>
                  </m:r>
                </m:den>
              </m:f>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time</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ta</m:t>
              </m:r>
              <m:sSub>
                <m:sSubPr>
                  <m:ctrlPr>
                    <w:rPr>
                      <w:rFonts w:ascii="Cambria Math" w:hAnsi="Cambria Math"/>
                      <w:i/>
                    </w:rPr>
                  </m:ctrlPr>
                </m:sSubPr>
                <m:e>
                  <m:r>
                    <w:rPr>
                      <w:rFonts w:ascii="Cambria Math" w:hAnsi="Cambria Math"/>
                    </w:rPr>
                    <m:t>x</m:t>
                  </m:r>
                </m:e>
                <m:sub>
                  <m:r>
                    <w:rPr>
                      <w:rFonts w:ascii="Cambria Math" w:hAnsi="Cambria Math"/>
                    </w:rPr>
                    <m:t>1</m:t>
                  </m:r>
                </m:sub>
              </m:sSub>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trend</m:t>
              </m:r>
            </m:e>
            <m:sub>
              <m:r>
                <w:rPr>
                  <w:rFonts w:ascii="Cambria Math" w:hAnsi="Cambria Math"/>
                </w:rPr>
                <m:t>1t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tax2</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trend2</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tax3</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trend3</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m:t>
          </m:r>
          <m:sSub>
            <m:sSubPr>
              <m:ctrlPr>
                <w:rPr>
                  <w:rFonts w:ascii="Cambria Math" w:hAnsi="Cambria Math"/>
                  <w:i/>
                </w:rPr>
              </m:ctrlPr>
            </m:sSubPr>
            <m:e>
              <m:r>
                <w:rPr>
                  <w:rFonts w:ascii="Cambria Math" w:hAnsi="Cambria Math"/>
                </w:rPr>
                <m:t>GDP</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m:t>
          </m:r>
          <m:sSub>
            <m:sSubPr>
              <m:ctrlPr>
                <w:rPr>
                  <w:rFonts w:ascii="Cambria Math" w:hAnsi="Cambria Math"/>
                  <w:i/>
                </w:rPr>
              </m:ctrlPr>
            </m:sSubPr>
            <m:e>
              <m:r>
                <w:rPr>
                  <w:rFonts w:ascii="Cambria Math" w:hAnsi="Cambria Math"/>
                </w:rPr>
                <m:t>visitors</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season</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t</m:t>
              </m:r>
            </m:sub>
          </m:sSub>
        </m:oMath>
      </m:oMathPara>
    </w:p>
    <w:p w:rsidR="00CB3E60" w:rsidRPr="00AF0716" w:rsidRDefault="00CB3E60" w:rsidP="00CB3E60">
      <w:pPr>
        <w:spacing w:after="0"/>
        <w:jc w:val="right"/>
      </w:pPr>
      <w:r w:rsidRPr="00AF0716">
        <w:rPr>
          <w:rFonts w:eastAsiaTheme="minorEastAsia"/>
        </w:rPr>
        <w:t>(1)</w:t>
      </w:r>
    </w:p>
    <w:p w:rsidR="00CB3E60" w:rsidRPr="00AF0716" w:rsidRDefault="00CB3E60" w:rsidP="00CB3E60">
      <w:pPr>
        <w:spacing w:after="0"/>
        <w:rPr>
          <w:rFonts w:eastAsiaTheme="minorEastAsia"/>
        </w:rPr>
      </w:pPr>
      <w:r w:rsidRPr="00AF0716">
        <w:rPr>
          <w:rFonts w:eastAsiaTheme="minorEastAsia"/>
        </w:rPr>
        <w:t>Where;</w:t>
      </w:r>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r>
            <m:rPr>
              <m:sty m:val="p"/>
            </m:rPr>
            <w:rPr>
              <w:rFonts w:ascii="Cambria Math" w:hAnsi="Cambria Math"/>
            </w:rPr>
            <m:t>intercept</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r>
            <m:rPr>
              <m:sty m:val="p"/>
            </m:rPr>
            <w:rPr>
              <w:rFonts w:ascii="Cambria Math" w:hAnsi="Cambria Math"/>
            </w:rPr>
            <m:t>prexisting trend before the intervention</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r>
            <m:rPr>
              <m:sty m:val="p"/>
            </m:rPr>
            <w:rPr>
              <w:rFonts w:ascii="Cambria Math" w:hAnsi="Cambria Math"/>
            </w:rPr>
            <m:t>level change after the 2008 tariff change compared to prexisting level of trade</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r>
            <m:rPr>
              <m:sty m:val="p"/>
            </m:rPr>
            <w:rPr>
              <w:rFonts w:ascii="Cambria Math" w:hAnsi="Cambria Math"/>
            </w:rPr>
            <m:t>trend change after the 2008 tariff change compared to prexisting trend</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r>
            <m:rPr>
              <m:sty m:val="p"/>
            </m:rPr>
            <w:rPr>
              <w:rFonts w:ascii="Cambria Math" w:hAnsi="Cambria Math"/>
            </w:rPr>
            <m:t>level change after the 2012 tariff change</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r>
            <m:rPr>
              <m:sty m:val="p"/>
            </m:rPr>
            <w:rPr>
              <w:rFonts w:ascii="Cambria Math" w:hAnsi="Cambria Math"/>
            </w:rPr>
            <m:t>trend change after the 2012 tariff change</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m:t>
          </m:r>
          <m:r>
            <m:rPr>
              <m:sty m:val="p"/>
            </m:rPr>
            <w:rPr>
              <w:rFonts w:ascii="Cambria Math" w:hAnsi="Cambria Math"/>
            </w:rPr>
            <m:t>level change after the 2014 excise introduction</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m:t>
          </m:r>
          <m:r>
            <m:rPr>
              <m:sty m:val="p"/>
            </m:rPr>
            <w:rPr>
              <w:rFonts w:ascii="Cambria Math" w:hAnsi="Cambria Math"/>
            </w:rPr>
            <m:t>trend change after the 2014 excise introduction</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m:t>
          </m:r>
          <m:r>
            <m:rPr>
              <m:sty m:val="p"/>
            </m:rPr>
            <w:rPr>
              <w:rFonts w:ascii="Cambria Math" w:hAnsi="Cambria Math"/>
            </w:rPr>
            <m:t>association between GDP per capita and trade</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m:t>
          </m:r>
          <m:r>
            <m:rPr>
              <m:sty m:val="p"/>
            </m:rPr>
            <w:rPr>
              <w:rFonts w:ascii="Cambria Math" w:hAnsi="Cambria Math"/>
            </w:rPr>
            <m:t>association between visitor numbers and trade</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m:t>
          </m:r>
          <m:r>
            <m:rPr>
              <m:sty m:val="p"/>
            </m:rPr>
            <w:rPr>
              <w:rFonts w:ascii="Cambria Math" w:hAnsi="Cambria Math"/>
            </w:rPr>
            <m:t>association between season and trade</m:t>
          </m:r>
        </m:oMath>
      </m:oMathPara>
    </w:p>
    <w:p w:rsidR="00CB3E60" w:rsidRPr="00AF0716" w:rsidRDefault="00CB3E60" w:rsidP="00CB3E60">
      <w:pPr>
        <w:spacing w:after="0"/>
      </w:pPr>
      <m:oMathPara>
        <m:oMathParaPr>
          <m:jc m:val="left"/>
        </m:oMathParaPr>
        <m:oMath>
          <m:r>
            <w:rPr>
              <w:rFonts w:ascii="Cambria Math" w:hAnsi="Cambria Math"/>
            </w:rPr>
            <m:t>∈ =</m:t>
          </m:r>
          <m:r>
            <m:rPr>
              <m:sty m:val="p"/>
            </m:rPr>
            <w:rPr>
              <w:rFonts w:ascii="Cambria Math" w:hAnsi="Cambria Math"/>
            </w:rPr>
            <m:t>error term</m:t>
          </m:r>
        </m:oMath>
      </m:oMathPara>
    </w:p>
    <w:p w:rsidR="00CB3E60" w:rsidRPr="00AF0716" w:rsidRDefault="00CB3E60" w:rsidP="00CB3E60">
      <w:pPr>
        <w:spacing w:after="0"/>
      </w:pPr>
    </w:p>
    <w:p w:rsidR="00CB3E60" w:rsidRPr="00AF0716" w:rsidRDefault="00CB3E60" w:rsidP="00CB3E60">
      <w:pPr>
        <w:pStyle w:val="Heading3"/>
      </w:pPr>
      <w:r w:rsidRPr="00AF0716">
        <w:t>Control</w:t>
      </w:r>
      <w:r>
        <w:t>led</w:t>
      </w:r>
      <w:r w:rsidRPr="00AF0716">
        <w:t xml:space="preserve"> analyses</w:t>
      </w:r>
    </w:p>
    <w:p w:rsidR="00CB3E60" w:rsidRPr="00AF0716" w:rsidRDefault="00CB3E60" w:rsidP="00CB3E60">
      <w:pPr>
        <w:spacing w:after="0"/>
        <w:rPr>
          <w:rFonts w:cs="Arial"/>
        </w:rPr>
      </w:pPr>
      <w:r w:rsidRPr="00AF0716">
        <w:rPr>
          <w:rFonts w:cs="Arial"/>
        </w:rPr>
        <w:t>Controlled analyses were not selected for the main analysis given the limitations trying to find available data from a Pacific Island country without SSB taxes and an appropriate in-country control.</w:t>
      </w:r>
    </w:p>
    <w:p w:rsidR="00CB3E60" w:rsidRPr="00AF0716" w:rsidRDefault="00CB3E60" w:rsidP="00CB3E60">
      <w:pPr>
        <w:spacing w:after="0"/>
        <w:rPr>
          <w:rFonts w:cs="Arial"/>
        </w:rPr>
      </w:pPr>
      <w:r w:rsidRPr="00AF0716">
        <w:rPr>
          <w:rFonts w:cs="Arial"/>
        </w:rPr>
        <w:t>An ideal control would be a neighbouring jurisdiction with very similar socio-economic/cultural context and all the required available data, where no SSB tax was introduced during the study time period. A limited amount of data from control countries limited the application of this approach in this study.</w:t>
      </w:r>
      <w:r w:rsidR="0059065F">
        <w:rPr>
          <w:rFonts w:cs="Arial"/>
        </w:rPr>
        <w:t xml:space="preserve"> </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rPr>
        <w:t>Also, it was difficult to identify a food category that was largely imported from New Zealand, similar to SSBs, but not potentially/theoretically susceptible to the SSB tax changes. Untaxed beverages were not a suitable control because they might respond to the SSB tax changes as substitutes and trade volumes of these beverages may increase. A group of discretionary and sweetened foods w</w:t>
      </w:r>
      <w:r>
        <w:rPr>
          <w:rFonts w:cs="Arial"/>
        </w:rPr>
        <w:t>as</w:t>
      </w:r>
      <w:r w:rsidRPr="00AF0716">
        <w:rPr>
          <w:rFonts w:cs="Arial"/>
        </w:rPr>
        <w:t xml:space="preserve"> selected as a within country control to compare with SSB trends as a sensitivity test for the main results.</w:t>
      </w:r>
      <w:r>
        <w:rPr>
          <w:rFonts w:cs="Arial"/>
        </w:rPr>
        <w:t xml:space="preserve"> </w:t>
      </w:r>
      <w:r w:rsidRPr="00AF0716">
        <w:rPr>
          <w:rFonts w:cs="Arial"/>
        </w:rPr>
        <w:t>The sugary snack categories comprised ice cream, chocolate, sweets, crackers/biscuits and cake. There is limited evidence of any relationship between SSB taxes and substitution effects to sugary snack foods</w:t>
      </w:r>
      <w:r>
        <w:rPr>
          <w:rFonts w:cs="Arial"/>
        </w:rPr>
        <w:t>.</w:t>
      </w:r>
      <w:r w:rsidRPr="00AF0716">
        <w:fldChar w:fldCharType="begin">
          <w:fldData xml:space="preserve">PEVuZE5vdGU+PENpdGU+PEF1dGhvcj5GaW5rZWxzdGVpbjwvQXV0aG9yPjxZZWFyPjIwMTM8L1ll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</w:fldData>
        </w:fldChar>
      </w:r>
      <w:r w:rsidR="007C5A63">
        <w:instrText xml:space="preserve"> ADDIN EN.CITE </w:instrText>
      </w:r>
      <w:r w:rsidR="007C5A63">
        <w:fldChar w:fldCharType="begin">
          <w:fldData xml:space="preserve">PEVuZE5vdGU+PENpdGU+PEF1dGhvcj5GaW5rZWxzdGVpbjwvQXV0aG9yPjxZZWFyPjIwMTM8L1ll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</w:fldData>
        </w:fldChar>
      </w:r>
      <w:r w:rsidR="007C5A63">
        <w:instrText xml:space="preserve"> ADDIN EN.CITE.DATA </w:instrText>
      </w:r>
      <w:r w:rsidR="007C5A63">
        <w:fldChar w:fldCharType="end"/>
      </w:r>
      <w:r w:rsidRPr="00AF0716">
        <w:fldChar w:fldCharType="separate"/>
      </w:r>
      <w:r w:rsidR="007C5A63" w:rsidRPr="007C5A63">
        <w:rPr>
          <w:noProof/>
          <w:vertAlign w:val="superscript"/>
        </w:rPr>
        <w:t>2-4</w:t>
      </w:r>
      <w:r w:rsidRPr="00AF0716">
        <w:fldChar w:fldCharType="end"/>
      </w:r>
      <w:r w:rsidRPr="00AF0716">
        <w:rPr>
          <w:rFonts w:cs="Arial"/>
        </w:rPr>
        <w:t xml:space="preserve"> If there is an affect it appears to be quite small eg, sweets/desserts/chocolate/chewing gum (cross price elasticity 0.03, p&lt;0.001)</w:t>
      </w:r>
      <w:r>
        <w:rPr>
          <w:rFonts w:cs="Arial"/>
        </w:rPr>
        <w:t>,</w:t>
      </w:r>
      <w:r w:rsidRPr="00AF0716">
        <w:rPr>
          <w:rFonts w:cs="Arial"/>
        </w:rPr>
        <w:fldChar w:fldCharType="begin">
          <w:fldData xml:space="preserve">PEVuZE5vdGU+PENpdGU+PEF1dGhvcj5HdWVycmVyby1Mb3BlejwvQXV0aG9yPjxZZWFyPjIwMTc8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</w:fldData>
        </w:fldChar>
      </w:r>
      <w:r w:rsidR="007C5A63">
        <w:rPr>
          <w:rFonts w:cs="Arial"/>
        </w:rPr>
        <w:instrText xml:space="preserve"> ADDIN EN.CITE </w:instrText>
      </w:r>
      <w:r w:rsidR="007C5A63">
        <w:rPr>
          <w:rFonts w:cs="Arial"/>
        </w:rPr>
        <w:fldChar w:fldCharType="begin">
          <w:fldData xml:space="preserve">PEVuZE5vdGU+PENpdGU+PEF1dGhvcj5HdWVycmVyby1Mb3BlejwvQXV0aG9yPjxZZWFyPjIwMTc8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</w:fldData>
        </w:fldChar>
      </w:r>
      <w:r w:rsidR="007C5A63">
        <w:rPr>
          <w:rFonts w:cs="Arial"/>
        </w:rPr>
        <w:instrText xml:space="preserve"> ADDIN EN.CITE.DATA </w:instrText>
      </w:r>
      <w:r w:rsidR="007C5A63">
        <w:rPr>
          <w:rFonts w:cs="Arial"/>
        </w:rPr>
      </w:r>
      <w:r w:rsidR="007C5A63">
        <w:rPr>
          <w:rFonts w:cs="Arial"/>
        </w:rPr>
        <w:fldChar w:fldCharType="end"/>
      </w:r>
      <w:r w:rsidRPr="00AF0716">
        <w:rPr>
          <w:rFonts w:cs="Arial"/>
        </w:rPr>
      </w:r>
      <w:r w:rsidRPr="00AF0716">
        <w:rPr>
          <w:rFonts w:cs="Arial"/>
        </w:rPr>
        <w:fldChar w:fldCharType="separate"/>
      </w:r>
      <w:r w:rsidR="007C5A63" w:rsidRPr="007C5A63">
        <w:rPr>
          <w:rFonts w:cs="Arial"/>
          <w:noProof/>
          <w:vertAlign w:val="superscript"/>
        </w:rPr>
        <w:t>4</w:t>
      </w:r>
      <w:r w:rsidRPr="00AF0716">
        <w:rPr>
          <w:rFonts w:cs="Arial"/>
        </w:rPr>
        <w:fldChar w:fldCharType="end"/>
      </w:r>
      <w:r w:rsidRPr="00AF0716">
        <w:rPr>
          <w:rFonts w:cs="Arial"/>
        </w:rPr>
        <w:t xml:space="preserve"> and cookies/other snacks (cross price elasticity 0.01, p&lt;0.001)</w:t>
      </w:r>
      <w:r>
        <w:rPr>
          <w:rFonts w:cs="Arial"/>
        </w:rPr>
        <w:t>.</w:t>
      </w:r>
      <w:r w:rsidRPr="00AF0716">
        <w:rPr>
          <w:rFonts w:cs="Arial"/>
        </w:rPr>
        <w:fldChar w:fldCharType="begin">
          <w:fldData xml:space="preserve">PEVuZE5vdGU+PENpdGU+PEF1dGhvcj5HdWVycmVyby1Mb3BlejwvQXV0aG9yPjxZZWFyPjIwMTc8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</w:fldData>
        </w:fldChar>
      </w:r>
      <w:r w:rsidR="007C5A63">
        <w:rPr>
          <w:rFonts w:cs="Arial"/>
        </w:rPr>
        <w:instrText xml:space="preserve"> ADDIN EN.CITE </w:instrText>
      </w:r>
      <w:r w:rsidR="007C5A63">
        <w:rPr>
          <w:rFonts w:cs="Arial"/>
        </w:rPr>
        <w:fldChar w:fldCharType="begin">
          <w:fldData xml:space="preserve">PEVuZE5vdGU+PENpdGU+PEF1dGhvcj5HdWVycmVyby1Mb3BlejwvQXV0aG9yPjxZZWFyPjIwMTc8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</w:fldData>
        </w:fldChar>
      </w:r>
      <w:r w:rsidR="007C5A63">
        <w:rPr>
          <w:rFonts w:cs="Arial"/>
        </w:rPr>
        <w:instrText xml:space="preserve"> ADDIN EN.CITE.DATA </w:instrText>
      </w:r>
      <w:r w:rsidR="007C5A63">
        <w:rPr>
          <w:rFonts w:cs="Arial"/>
        </w:rPr>
      </w:r>
      <w:r w:rsidR="007C5A63">
        <w:rPr>
          <w:rFonts w:cs="Arial"/>
        </w:rPr>
        <w:fldChar w:fldCharType="end"/>
      </w:r>
      <w:r w:rsidRPr="00AF0716">
        <w:rPr>
          <w:rFonts w:cs="Arial"/>
        </w:rPr>
      </w:r>
      <w:r w:rsidRPr="00AF0716">
        <w:rPr>
          <w:rFonts w:cs="Arial"/>
        </w:rPr>
        <w:fldChar w:fldCharType="separate"/>
      </w:r>
      <w:r w:rsidR="007C5A63" w:rsidRPr="007C5A63">
        <w:rPr>
          <w:rFonts w:cs="Arial"/>
          <w:noProof/>
          <w:vertAlign w:val="superscript"/>
        </w:rPr>
        <w:t>4</w:t>
      </w:r>
      <w:r w:rsidRPr="00AF0716">
        <w:rPr>
          <w:rFonts w:cs="Arial"/>
        </w:rPr>
        <w:fldChar w:fldCharType="end"/>
      </w:r>
      <w:r w:rsidRPr="00AF0716">
        <w:rPr>
          <w:rFonts w:cs="Arial"/>
        </w:rPr>
        <w:t xml:space="preserve"> However, because of the risk that sugary snacks could be a substitute, the default analyses did not include the sugary snack control.</w:t>
      </w:r>
    </w:p>
    <w:p w:rsidR="00CB3E60" w:rsidRPr="00AF0716" w:rsidRDefault="00CB3E60" w:rsidP="00CB3E60">
      <w:pPr>
        <w:spacing w:after="0"/>
        <w:rPr>
          <w:rFonts w:cs="Arial"/>
        </w:rPr>
      </w:pPr>
    </w:p>
    <w:p w:rsidR="00CB3E60" w:rsidRPr="00AF0716" w:rsidRDefault="00CB3E60" w:rsidP="00CB3E60">
      <w:pPr>
        <w:spacing w:after="0"/>
      </w:pPr>
      <w:r w:rsidRPr="00AF0716">
        <w:t>Here is a summary of the regression model specifications where the outcome is compared to a control group (eg sugary food imports):</w:t>
      </w:r>
    </w:p>
    <w:p w:rsidR="00CB3E60" w:rsidRPr="00AF0716" w:rsidRDefault="00CB3E60" w:rsidP="00CB3E60">
      <w:pPr>
        <w:spacing w:after="0"/>
      </w:pPr>
      <m:oMathPara>
        <m:oMath>
          <m:r>
            <w:rPr>
              <w:rFonts w:ascii="Cambria Math" w:hAnsi="Cambria Math"/>
            </w:rPr>
            <m:t>Trade</m:t>
          </m:r>
          <m:d>
            <m:dPr>
              <m:ctrlPr>
                <w:rPr>
                  <w:rFonts w:ascii="Cambria Math" w:hAnsi="Cambria Math"/>
                  <w:i/>
                </w:rPr>
              </m:ctrlPr>
            </m:dPr>
            <m:e>
              <m:f>
                <m:fPr>
                  <m:type m:val="lin"/>
                  <m:ctrlPr>
                    <w:rPr>
                      <w:rFonts w:ascii="Cambria Math" w:hAnsi="Cambria Math"/>
                      <w:i/>
                    </w:rPr>
                  </m:ctrlPr>
                </m:fPr>
                <m:num>
                  <m:r>
                    <w:rPr>
                      <w:rFonts w:ascii="Cambria Math" w:hAnsi="Cambria Math"/>
                    </w:rPr>
                    <m:t>L</m:t>
                  </m:r>
                </m:num>
                <m:den>
                  <m:r>
                    <w:rPr>
                      <w:rFonts w:ascii="Cambria Math" w:hAnsi="Cambria Math"/>
                    </w:rPr>
                    <m:t>pop</m:t>
                  </m:r>
                </m:den>
              </m:f>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time</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group</m:t>
              </m:r>
            </m:e>
            <m:sub>
              <m:r>
                <w:rPr>
                  <w:rFonts w:ascii="Cambria Math" w:hAnsi="Cambria Math"/>
                </w:rPr>
                <m:t>k</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group</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time</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tax</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trend</m:t>
              </m:r>
            </m:e>
            <m:sub>
              <m:r>
                <w:rPr>
                  <w:rFonts w:ascii="Cambria Math" w:hAnsi="Cambria Math"/>
                </w:rPr>
                <m:t>jt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group</m:t>
                  </m:r>
                </m:e>
                <m:sub>
                  <m:r>
                    <w:rPr>
                      <w:rFonts w:ascii="Cambria Math" w:hAnsi="Cambria Math"/>
                    </w:rPr>
                    <m:t>k</m:t>
                  </m:r>
                </m:sub>
              </m:sSub>
              <m:r>
                <w:rPr>
                  <w:rFonts w:ascii="Cambria Math" w:hAnsi="Cambria Math"/>
                </w:rPr>
                <m:t>.tax</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group</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trend</m:t>
              </m:r>
            </m:e>
            <m:sub>
              <m:r>
                <w:rPr>
                  <w:rFonts w:ascii="Cambria Math" w:hAnsi="Cambria Math"/>
                </w:rPr>
                <m:t>jt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m:t>
          </m:r>
          <m:sSub>
            <m:sSubPr>
              <m:ctrlPr>
                <w:rPr>
                  <w:rFonts w:ascii="Cambria Math" w:hAnsi="Cambria Math"/>
                  <w:i/>
                </w:rPr>
              </m:ctrlPr>
            </m:sSubPr>
            <m:e>
              <m:r>
                <w:rPr>
                  <w:rFonts w:ascii="Cambria Math" w:hAnsi="Cambria Math"/>
                </w:rPr>
                <m:t>tax2</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m:t>
          </m:r>
          <m:sSub>
            <m:sSubPr>
              <m:ctrlPr>
                <w:rPr>
                  <w:rFonts w:ascii="Cambria Math" w:hAnsi="Cambria Math"/>
                  <w:i/>
                </w:rPr>
              </m:ctrlPr>
            </m:sSubPr>
            <m:e>
              <m:r>
                <w:rPr>
                  <w:rFonts w:ascii="Cambria Math" w:hAnsi="Cambria Math"/>
                </w:rPr>
                <m:t>trend2</m:t>
              </m:r>
            </m:e>
            <m:sub>
              <m:r>
                <w:rPr>
                  <w:rFonts w:ascii="Cambria Math" w:hAnsi="Cambria Math"/>
                </w:rPr>
                <m:t>jt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group</m:t>
                  </m:r>
                </m:e>
                <m:sub>
                  <m:r>
                    <w:rPr>
                      <w:rFonts w:ascii="Cambria Math" w:hAnsi="Cambria Math"/>
                    </w:rPr>
                    <m:t>k</m:t>
                  </m:r>
                </m:sub>
              </m:sSub>
              <m:r>
                <w:rPr>
                  <w:rFonts w:ascii="Cambria Math" w:hAnsi="Cambria Math"/>
                </w:rPr>
                <m:t>.tax2</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group</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trend2</m:t>
              </m:r>
            </m:e>
            <m:sub>
              <m:r>
                <w:rPr>
                  <w:rFonts w:ascii="Cambria Math" w:hAnsi="Cambria Math"/>
                </w:rPr>
                <m:t>jt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tax3</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13</m:t>
              </m:r>
            </m:sub>
          </m:sSub>
          <m:r>
            <w:rPr>
              <w:rFonts w:ascii="Cambria Math" w:hAnsi="Cambria Math"/>
            </w:rPr>
            <m:t>.</m:t>
          </m:r>
          <m:sSub>
            <m:sSubPr>
              <m:ctrlPr>
                <w:rPr>
                  <w:rFonts w:ascii="Cambria Math" w:hAnsi="Cambria Math"/>
                  <w:i/>
                </w:rPr>
              </m:ctrlPr>
            </m:sSubPr>
            <m:e>
              <m:r>
                <w:rPr>
                  <w:rFonts w:ascii="Cambria Math" w:hAnsi="Cambria Math"/>
                </w:rPr>
                <m:t>trend3</m:t>
              </m:r>
            </m:e>
            <m:sub>
              <m:r>
                <w:rPr>
                  <w:rFonts w:ascii="Cambria Math" w:hAnsi="Cambria Math"/>
                </w:rPr>
                <m:t>jt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14</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group</m:t>
                  </m:r>
                </m:e>
                <m:sub>
                  <m:r>
                    <w:rPr>
                      <w:rFonts w:ascii="Cambria Math" w:hAnsi="Cambria Math"/>
                    </w:rPr>
                    <m:t>k</m:t>
                  </m:r>
                </m:sub>
              </m:sSub>
              <m:r>
                <w:rPr>
                  <w:rFonts w:ascii="Cambria Math" w:hAnsi="Cambria Math"/>
                </w:rPr>
                <m:t>.tax3</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15</m:t>
              </m:r>
            </m:sub>
          </m:sSub>
          <m:r>
            <w:rPr>
              <w:rFonts w:ascii="Cambria Math" w:hAnsi="Cambria Math"/>
            </w:rPr>
            <m:t>.</m:t>
          </m:r>
          <m:sSub>
            <m:sSubPr>
              <m:ctrlPr>
                <w:rPr>
                  <w:rFonts w:ascii="Cambria Math" w:hAnsi="Cambria Math"/>
                  <w:i/>
                </w:rPr>
              </m:ctrlPr>
            </m:sSubPr>
            <m:e>
              <m:r>
                <w:rPr>
                  <w:rFonts w:ascii="Cambria Math" w:hAnsi="Cambria Math"/>
                </w:rPr>
                <m:t>group</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trend3</m:t>
              </m:r>
            </m:e>
            <m:sub>
              <m:r>
                <w:rPr>
                  <w:rFonts w:ascii="Cambria Math" w:hAnsi="Cambria Math"/>
                </w:rPr>
                <m:t>jt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16</m:t>
              </m:r>
            </m:sub>
          </m:sSub>
          <m:r>
            <w:rPr>
              <w:rFonts w:ascii="Cambria Math" w:hAnsi="Cambria Math"/>
            </w:rPr>
            <m:t>.</m:t>
          </m:r>
          <m:sSub>
            <m:sSubPr>
              <m:ctrlPr>
                <w:rPr>
                  <w:rFonts w:ascii="Cambria Math" w:hAnsi="Cambria Math"/>
                  <w:i/>
                </w:rPr>
              </m:ctrlPr>
            </m:sSubPr>
            <m:e>
              <m:r>
                <w:rPr>
                  <w:rFonts w:ascii="Cambria Math" w:hAnsi="Cambria Math"/>
                </w:rPr>
                <m:t>GDP</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17</m:t>
              </m:r>
            </m:sub>
          </m:sSub>
          <m:r>
            <w:rPr>
              <w:rFonts w:ascii="Cambria Math" w:hAnsi="Cambria Math"/>
            </w:rPr>
            <m:t>.</m:t>
          </m:r>
          <m:sSub>
            <m:sSubPr>
              <m:ctrlPr>
                <w:rPr>
                  <w:rFonts w:ascii="Cambria Math" w:hAnsi="Cambria Math"/>
                  <w:i/>
                </w:rPr>
              </m:ctrlPr>
            </m:sSubPr>
            <m:e>
              <m:r>
                <w:rPr>
                  <w:rFonts w:ascii="Cambria Math" w:hAnsi="Cambria Math"/>
                </w:rPr>
                <m:t>visitors</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18</m:t>
              </m:r>
            </m:sub>
          </m:sSub>
          <m:r>
            <w:rPr>
              <w:rFonts w:ascii="Cambria Math" w:hAnsi="Cambria Math"/>
            </w:rPr>
            <m:t>.</m:t>
          </m:r>
          <m:sSub>
            <m:sSubPr>
              <m:ctrlPr>
                <w:rPr>
                  <w:rFonts w:ascii="Cambria Math" w:hAnsi="Cambria Math"/>
                  <w:i/>
                </w:rPr>
              </m:ctrlPr>
            </m:sSubPr>
            <m:e>
              <m:r>
                <w:rPr>
                  <w:rFonts w:ascii="Cambria Math" w:hAnsi="Cambria Math"/>
                </w:rPr>
                <m:t>season</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jkt</m:t>
              </m:r>
            </m:sub>
          </m:sSub>
        </m:oMath>
      </m:oMathPara>
    </w:p>
    <w:p w:rsidR="00CB3E60" w:rsidRPr="00AF0716" w:rsidRDefault="00CB3E60" w:rsidP="00CB3E60">
      <w:pPr>
        <w:spacing w:after="0"/>
        <w:jc w:val="right"/>
      </w:pPr>
      <w:r w:rsidRPr="00AF0716">
        <w:rPr>
          <w:rFonts w:eastAsiaTheme="minorEastAsia"/>
        </w:rPr>
        <w:t>(2)</w:t>
      </w:r>
    </w:p>
    <w:p w:rsidR="00CB3E60" w:rsidRPr="00AF0716" w:rsidRDefault="00CB3E60" w:rsidP="00CB3E60">
      <w:pPr>
        <w:spacing w:after="0"/>
        <w:rPr>
          <w:rFonts w:eastAsiaTheme="minorEastAsia"/>
        </w:rPr>
      </w:pPr>
      <w:r w:rsidRPr="00AF0716">
        <w:rPr>
          <w:rFonts w:eastAsiaTheme="minorEastAsia"/>
        </w:rPr>
        <w:t>Where;</w:t>
      </w:r>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r>
            <m:rPr>
              <m:sty m:val="p"/>
            </m:rPr>
            <w:rPr>
              <w:rFonts w:ascii="Cambria Math" w:hAnsi="Cambria Math"/>
            </w:rPr>
            <m:t>intercept</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r>
            <m:rPr>
              <m:sty m:val="p"/>
            </m:rPr>
            <w:rPr>
              <w:rFonts w:ascii="Cambria Math" w:hAnsi="Cambria Math"/>
            </w:rPr>
            <m:t>prexisting trend in the control group before the intervention</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r>
            <m:rPr>
              <m:sty m:val="p"/>
            </m:rPr>
            <w:rPr>
              <w:rFonts w:ascii="Cambria Math" w:hAnsi="Cambria Math"/>
            </w:rPr>
            <m:t>difference in level of trade in the intervention group compared to the control</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r>
            <m:rPr>
              <m:sty m:val="p"/>
            </m:rPr>
            <w:rPr>
              <w:rFonts w:ascii="Cambria Math" w:hAnsi="Cambria Math"/>
            </w:rPr>
            <m:t>difference in the presixting trend in the</m:t>
          </m:r>
          <m:r>
            <w:rPr>
              <w:rFonts w:ascii="Cambria Math" w:hAnsi="Cambria Math"/>
            </w:rPr>
            <m:t xml:space="preserve"> </m:t>
          </m:r>
          <m:r>
            <m:rPr>
              <m:sty m:val="p"/>
            </m:rPr>
            <w:rPr>
              <w:rFonts w:ascii="Cambria Math" w:hAnsi="Cambria Math"/>
            </w:rPr>
            <m:t>intervention group compared to the control</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r>
            <m:rPr>
              <m:sty m:val="p"/>
            </m:rPr>
            <w:rPr>
              <w:rFonts w:ascii="Cambria Math" w:hAnsi="Cambria Math"/>
            </w:rPr>
            <m:t>level change in the control group after the 2008 tariff change</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r>
            <m:rPr>
              <m:sty m:val="p"/>
            </m:rPr>
            <w:rPr>
              <w:rFonts w:ascii="Cambria Math" w:hAnsi="Cambria Math"/>
            </w:rPr>
            <m:t>trend change in the control group after the 2008 tariff change</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m:t>
          </m:r>
          <m:r>
            <m:rPr>
              <m:sty m:val="p"/>
            </m:rPr>
            <w:rPr>
              <w:rFonts w:ascii="Cambria Math" w:hAnsi="Cambria Math"/>
            </w:rPr>
            <m:t>level change in the intervention group compated to the control group</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m:t>
          </m:r>
          <m:r>
            <m:rPr>
              <m:sty m:val="p"/>
            </m:rPr>
            <w:rPr>
              <w:rFonts w:ascii="Cambria Math" w:hAnsi="Cambria Math"/>
            </w:rPr>
            <m:t>trend change in the intervention group compared to the control group</m:t>
          </m:r>
        </m:oMath>
      </m:oMathPara>
    </w:p>
    <w:p w:rsidR="00CB3E60" w:rsidRPr="00AF0716" w:rsidRDefault="00CB3E60" w:rsidP="00CB3E60">
      <w:pPr>
        <w:spacing w:after="0"/>
        <w:rPr>
          <w:rFonts w:eastAsiaTheme="minorEastAsia"/>
        </w:rPr>
      </w:pPr>
      <w:r w:rsidRPr="00AF0716">
        <w:rPr>
          <w:rFonts w:eastAsiaTheme="minorEastAsia"/>
        </w:rPr>
        <w:t>…</w:t>
      </w:r>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16</m:t>
              </m:r>
            </m:sub>
          </m:sSub>
          <m:r>
            <w:rPr>
              <w:rFonts w:ascii="Cambria Math" w:hAnsi="Cambria Math"/>
            </w:rPr>
            <m:t>=</m:t>
          </m:r>
          <m:r>
            <m:rPr>
              <m:sty m:val="p"/>
            </m:rPr>
            <w:rPr>
              <w:rFonts w:ascii="Cambria Math" w:hAnsi="Cambria Math"/>
            </w:rPr>
            <m:t>association between GDP per capita and trade</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17</m:t>
              </m:r>
            </m:sub>
          </m:sSub>
          <m:r>
            <w:rPr>
              <w:rFonts w:ascii="Cambria Math" w:hAnsi="Cambria Math"/>
            </w:rPr>
            <m:t>=</m:t>
          </m:r>
          <m:r>
            <m:rPr>
              <m:sty m:val="p"/>
            </m:rPr>
            <w:rPr>
              <w:rFonts w:ascii="Cambria Math" w:hAnsi="Cambria Math"/>
            </w:rPr>
            <m:t>association between visitor numbers and trade</m:t>
          </m:r>
        </m:oMath>
      </m:oMathPara>
    </w:p>
    <w:p w:rsidR="00CB3E60" w:rsidRPr="00AF0716" w:rsidRDefault="005F5ADC" w:rsidP="00CB3E60">
      <w:pPr>
        <w:spacing w:after="0"/>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18</m:t>
              </m:r>
            </m:sub>
          </m:sSub>
          <m:r>
            <w:rPr>
              <w:rFonts w:ascii="Cambria Math" w:hAnsi="Cambria Math"/>
            </w:rPr>
            <m:t>=</m:t>
          </m:r>
          <m:r>
            <m:rPr>
              <m:sty m:val="p"/>
            </m:rPr>
            <w:rPr>
              <w:rFonts w:ascii="Cambria Math" w:hAnsi="Cambria Math"/>
            </w:rPr>
            <m:t>association between season and trade</m:t>
          </m:r>
        </m:oMath>
      </m:oMathPara>
    </w:p>
    <w:p w:rsidR="00CB3E60" w:rsidRPr="00AF0716" w:rsidRDefault="00CB3E60" w:rsidP="00CB3E60">
      <w:pPr>
        <w:spacing w:after="0"/>
      </w:pPr>
      <m:oMathPara>
        <m:oMathParaPr>
          <m:jc m:val="left"/>
        </m:oMathParaPr>
        <m:oMath>
          <m:r>
            <w:rPr>
              <w:rFonts w:ascii="Cambria Math" w:hAnsi="Cambria Math"/>
            </w:rPr>
            <m:t>∈ =</m:t>
          </m:r>
          <m:r>
            <m:rPr>
              <m:sty m:val="p"/>
            </m:rPr>
            <w:rPr>
              <w:rFonts w:ascii="Cambria Math" w:hAnsi="Cambria Math"/>
            </w:rPr>
            <m:t>error term</m:t>
          </m:r>
        </m:oMath>
      </m:oMathPara>
    </w:p>
    <w:p w:rsidR="00CB3E60" w:rsidRPr="00AF0716" w:rsidRDefault="00CB3E60" w:rsidP="00CB3E60">
      <w:pPr>
        <w:pStyle w:val="Heading3"/>
      </w:pPr>
      <w:r w:rsidRPr="00AF0716">
        <w:t>Monte Carlo simulation</w:t>
      </w:r>
    </w:p>
    <w:p w:rsidR="00CB3E60" w:rsidRDefault="00CB3E60" w:rsidP="00CB3E60">
      <w:pPr>
        <w:spacing w:after="0"/>
      </w:pPr>
      <w:r w:rsidRPr="00AF0716">
        <w:rPr>
          <w:rFonts w:cs="Arial"/>
        </w:rPr>
        <w:t>Monte Carlo simulation</w:t>
      </w:r>
      <w:r w:rsidRPr="00AF0716">
        <w:t xml:space="preserve"> was used to calculate 95% c</w:t>
      </w:r>
      <w:r w:rsidRPr="00AF0716">
        <w:rPr>
          <w:rFonts w:cs="Arial"/>
        </w:rPr>
        <w:t xml:space="preserve">onfidence intervals. </w:t>
      </w:r>
      <w:r w:rsidRPr="00AF0716">
        <w:t>The distribution of each model coefficient and its standard error were sampled 100,000 times to produce predicted and counterfactual values. These values were used to calculate simulated absolute and relative differences for each year. The 2.5th and the 97.5th percentile of the simulated outcome measures provided the upper and lower limits for a 95% confidence interval (CI). This method allows for the correlation between variables and their variances in the model.</w:t>
      </w:r>
    </w:p>
    <w:p w:rsidR="00CB3E60" w:rsidRPr="00AF0716" w:rsidRDefault="00CB3E60" w:rsidP="00CB3E60">
      <w:pPr>
        <w:pStyle w:val="Heading3"/>
      </w:pPr>
      <w:r w:rsidRPr="00AF0716">
        <w:t>Sensitivity tests</w:t>
      </w:r>
    </w:p>
    <w:p w:rsidR="00CB3E60" w:rsidRPr="00AF0716" w:rsidRDefault="00CB3E60" w:rsidP="00CB3E60">
      <w:pPr>
        <w:spacing w:after="0"/>
        <w:rPr>
          <w:rFonts w:cs="Arial"/>
        </w:rPr>
      </w:pPr>
      <w:r w:rsidRPr="00AF0716">
        <w:rPr>
          <w:rFonts w:cs="Arial"/>
        </w:rPr>
        <w:t xml:space="preserve">A set of pre-specified sensitivity tests were used to assess the robustness of the key SSB trade results. Further details on each these analyses are described below. </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b/>
        </w:rPr>
        <w:t xml:space="preserve">Time lag: </w:t>
      </w:r>
      <w:r w:rsidRPr="00AF0716">
        <w:rPr>
          <w:rFonts w:cs="Arial"/>
        </w:rPr>
        <w:t>This analysis allowed for a three month lag time in the changes to import data, reflecting the time it could theoretically take to run out of stock, place new orders and for these to arrive. Personal communication with key informants</w:t>
      </w:r>
      <w:r>
        <w:rPr>
          <w:rFonts w:cs="Arial"/>
        </w:rPr>
        <w:t xml:space="preserve"> indicated </w:t>
      </w:r>
      <w:r w:rsidRPr="00AF0716">
        <w:rPr>
          <w:rFonts w:cs="Arial"/>
        </w:rPr>
        <w:t>that the effect of SSB tax on price was noticed within three months, so the default analysis did not include any time lag. Pre-existing trends will be calculated using the same data, thus the first quarter post-tax will drop out of the model and analysis.</w:t>
      </w:r>
      <w:r w:rsidR="0059065F">
        <w:rPr>
          <w:rFonts w:cs="Arial"/>
        </w:rPr>
        <w:t xml:space="preserve"> </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b/>
        </w:rPr>
        <w:t xml:space="preserve">Shorter lead-in period: </w:t>
      </w:r>
      <w:r w:rsidRPr="00AF0716">
        <w:rPr>
          <w:rFonts w:cs="Arial"/>
        </w:rPr>
        <w:t>A three year pre-tax time period was selected (ie</w:t>
      </w:r>
      <w:r>
        <w:rPr>
          <w:rFonts w:cs="Arial"/>
        </w:rPr>
        <w:t>,</w:t>
      </w:r>
      <w:r w:rsidRPr="00AF0716">
        <w:rPr>
          <w:rFonts w:cs="Arial"/>
        </w:rPr>
        <w:t xml:space="preserve"> to shorten lead-in but retain statistical power) to investigate the impact of removing time points a long time away from the tax change, which may be more susceptible to external non-SSB tax factors. This is particularly import</w:t>
      </w:r>
      <w:r>
        <w:rPr>
          <w:rFonts w:cs="Arial"/>
        </w:rPr>
        <w:t>ant</w:t>
      </w:r>
      <w:r w:rsidRPr="00AF0716">
        <w:rPr>
          <w:rFonts w:cs="Arial"/>
        </w:rPr>
        <w:t xml:space="preserve"> if historical trends have changed over time.</w:t>
      </w:r>
      <w:r w:rsidRPr="00AF0716">
        <w:rPr>
          <w:rFonts w:cs="Arial"/>
        </w:rPr>
        <w:fldChar w:fldCharType="begin"/>
      </w:r>
      <w:r w:rsidR="007C5A63">
        <w:rPr>
          <w:rFonts w:cs="Arial"/>
        </w:rPr>
        <w:instrText xml:space="preserve"> ADDIN EN.CITE &lt;EndNote&gt;&lt;Cite&gt;&lt;Author&gt;Lopez Bernal&lt;/Author&gt;&lt;Year&gt;2017&lt;/Year&gt;&lt;RecNum&gt;1056&lt;/RecNum&gt;&lt;DisplayText&gt;&lt;style face="superscript"&gt;5&lt;/style&gt;&lt;/DisplayText&gt;&lt;record&gt;&lt;rec-number&gt;1056&lt;/rec-number&gt;&lt;foreign-keys&gt;&lt;key app="EN" db-id="srtews2r90f0aqe2s9r5da54ptadf0ztv5vs" timestamp="1512518799"&gt;1056&lt;/key&gt;&lt;/foreign-keys&gt;&lt;ref-type name="Journal Article"&gt;17&lt;/ref-type&gt;&lt;contributors&gt;&lt;authors&gt;&lt;author&gt;Lopez Bernal, J.&lt;/author&gt;&lt;author&gt;Cummins, S.&lt;/author&gt;&lt;author&gt;Gasparrini, A.&lt;/author&gt;&lt;/authors&gt;&lt;/contributors&gt;&lt;auth-address&gt;Department of Social and Environmental Health Research, London School of Hygiene and Tropical Medicine, London, UK james.lopez-bernal@lshtm.ac.uk.&amp;#xD;Department of Social and Environmental Health Research, London School of Hygiene and Tropical Medicine, London, UK.&lt;/auth-address&gt;&lt;titles&gt;&lt;title&gt;Interrupted time series regression for the evaluation of public health interventions: a tutorial&lt;/title&gt;&lt;secondary-title&gt;Int J Epidemiol&lt;/secondary-title&gt;&lt;/titles&gt;&lt;periodical&gt;&lt;full-title&gt;Int J Epidemiol&lt;/full-title&gt;&lt;/periodical&gt;&lt;pages&gt;348-355&lt;/pages&gt;&lt;volume&gt;46&lt;/volume&gt;&lt;number&gt;1&lt;/number&gt;&lt;dates&gt;&lt;year&gt;2017&lt;/year&gt;&lt;pub-dates&gt;&lt;date&gt;Feb 1&lt;/date&gt;&lt;/pub-dates&gt;&lt;/dates&gt;&lt;isbn&gt;1464-3685 (Electronic)&amp;#xD;0300-5771 (Linking)&lt;/isbn&gt;&lt;accession-num&gt;27283160&lt;/accession-num&gt;&lt;urls&gt;&lt;related-urls&gt;&lt;url&gt;&lt;style face="underline" font="default" size="100%"&gt;https://www.ncbi.nlm.nih.gov/pubmed/27283160&lt;/style&gt;&lt;/url&gt;&lt;/related-urls&gt;&lt;/urls&gt;&lt;custom2&gt;PMC5407170&lt;/custom2&gt;&lt;electronic-resource-num&gt;10.1093/ije/dyw098&lt;/electronic-resource-num&gt;&lt;/record&gt;&lt;/Cite&gt;&lt;/EndNote&gt;</w:instrText>
      </w:r>
      <w:r w:rsidRPr="00AF0716">
        <w:rPr>
          <w:rFonts w:cs="Arial"/>
        </w:rPr>
        <w:fldChar w:fldCharType="separate"/>
      </w:r>
      <w:r w:rsidR="007C5A63" w:rsidRPr="007C5A63">
        <w:rPr>
          <w:rFonts w:cs="Arial"/>
          <w:noProof/>
          <w:vertAlign w:val="superscript"/>
        </w:rPr>
        <w:t>5</w:t>
      </w:r>
      <w:r w:rsidRPr="00AF0716">
        <w:rPr>
          <w:rFonts w:cs="Arial"/>
        </w:rPr>
        <w:fldChar w:fldCharType="end"/>
      </w:r>
      <w:r w:rsidRPr="00AF0716">
        <w:rPr>
          <w:rFonts w:cs="Arial"/>
        </w:rPr>
        <w:t xml:space="preserve"> The default analysis includes all available data to maximise study power. </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b/>
        </w:rPr>
        <w:t xml:space="preserve">Weighting: </w:t>
      </w:r>
      <w:r w:rsidRPr="00300840">
        <w:rPr>
          <w:rFonts w:cs="Arial"/>
        </w:rPr>
        <w:t>This was to te</w:t>
      </w:r>
      <w:r w:rsidRPr="00AF0716">
        <w:rPr>
          <w:rFonts w:cs="Arial"/>
        </w:rPr>
        <w:t>st the robustness of the export weighting, by limiting the study to New Zealand export volumes alone (rather than weighting New Zealand export volumes up to make them represent worldwide exports to the Cook Islands). The UN Comtrade data</w:t>
      </w:r>
      <w:r>
        <w:rPr>
          <w:rFonts w:cs="Arial"/>
        </w:rPr>
        <w:t>,</w:t>
      </w:r>
      <w:r w:rsidRPr="00AF0716">
        <w:rPr>
          <w:rFonts w:cs="Arial"/>
        </w:rPr>
        <w:t xml:space="preserve"> from where the weights </w:t>
      </w:r>
      <w:r>
        <w:rPr>
          <w:rFonts w:cs="Arial"/>
        </w:rPr>
        <w:t>we</w:t>
      </w:r>
      <w:r w:rsidRPr="00AF0716">
        <w:rPr>
          <w:rFonts w:cs="Arial"/>
        </w:rPr>
        <w:t>re sourced</w:t>
      </w:r>
      <w:r>
        <w:rPr>
          <w:rFonts w:cs="Arial"/>
        </w:rPr>
        <w:t>,</w:t>
      </w:r>
      <w:r w:rsidRPr="00AF0716">
        <w:rPr>
          <w:rFonts w:cs="Arial"/>
        </w:rPr>
        <w:t xml:space="preserve"> included some missing data, so this analysis test</w:t>
      </w:r>
      <w:r>
        <w:rPr>
          <w:rFonts w:cs="Arial"/>
        </w:rPr>
        <w:t>ed</w:t>
      </w:r>
      <w:r w:rsidRPr="00AF0716">
        <w:rPr>
          <w:rFonts w:cs="Arial"/>
        </w:rPr>
        <w:t xml:space="preserve"> the impact of the weights on study results. </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b/>
        </w:rPr>
        <w:t xml:space="preserve">Cyclones: </w:t>
      </w:r>
      <w:r w:rsidRPr="00300840">
        <w:rPr>
          <w:rFonts w:cs="Arial"/>
        </w:rPr>
        <w:t>This was to allow</w:t>
      </w:r>
      <w:r w:rsidRPr="00AF0716">
        <w:rPr>
          <w:rFonts w:cs="Arial"/>
        </w:rPr>
        <w:t xml:space="preserve"> for the impact of major cyclones to see if any significant changes </w:t>
      </w:r>
      <w:r>
        <w:rPr>
          <w:rFonts w:cs="Arial"/>
        </w:rPr>
        <w:t>occurred</w:t>
      </w:r>
      <w:r w:rsidRPr="00AF0716">
        <w:rPr>
          <w:rFonts w:cs="Arial"/>
        </w:rPr>
        <w:t xml:space="preserve"> eg, Cook Islands in 2005. If this </w:t>
      </w:r>
      <w:r>
        <w:rPr>
          <w:rFonts w:cs="Arial"/>
        </w:rPr>
        <w:t>made</w:t>
      </w:r>
      <w:r w:rsidRPr="00AF0716">
        <w:rPr>
          <w:rFonts w:cs="Arial"/>
        </w:rPr>
        <w:t xml:space="preserve"> a significant impact then this additional variable</w:t>
      </w:r>
      <w:r>
        <w:rPr>
          <w:rFonts w:cs="Arial"/>
        </w:rPr>
        <w:t xml:space="preserve"> would be included</w:t>
      </w:r>
      <w:r w:rsidRPr="00AF0716">
        <w:rPr>
          <w:rFonts w:cs="Arial"/>
        </w:rPr>
        <w:t xml:space="preserve"> in the final model. A dummy variable </w:t>
      </w:r>
      <w:r>
        <w:rPr>
          <w:rFonts w:cs="Arial"/>
        </w:rPr>
        <w:t>was</w:t>
      </w:r>
      <w:r w:rsidRPr="00AF0716">
        <w:rPr>
          <w:rFonts w:cs="Arial"/>
        </w:rPr>
        <w:t xml:space="preserve"> added to the model</w:t>
      </w:r>
      <w:r>
        <w:rPr>
          <w:rFonts w:cs="Arial"/>
        </w:rPr>
        <w:t>,</w:t>
      </w:r>
      <w:r w:rsidRPr="00AF0716">
        <w:rPr>
          <w:rFonts w:cs="Arial"/>
        </w:rPr>
        <w:t xml:space="preserve"> for the month of major cyclone damage in the island nation of the study and the month following and otherwise the variable </w:t>
      </w:r>
      <w:r>
        <w:rPr>
          <w:rFonts w:cs="Arial"/>
        </w:rPr>
        <w:t>was</w:t>
      </w:r>
      <w:r w:rsidRPr="00AF0716">
        <w:rPr>
          <w:rFonts w:cs="Arial"/>
        </w:rPr>
        <w:t xml:space="preserve"> coded zero.</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b/>
        </w:rPr>
        <w:lastRenderedPageBreak/>
        <w:t>Autocorrelation:</w:t>
      </w:r>
      <w:r w:rsidRPr="00AF0716">
        <w:rPr>
          <w:rFonts w:cs="Arial"/>
        </w:rPr>
        <w:t xml:space="preserve"> </w:t>
      </w:r>
      <w:r>
        <w:rPr>
          <w:rFonts w:cs="Arial"/>
        </w:rPr>
        <w:t>This was to e</w:t>
      </w:r>
      <w:r w:rsidRPr="00AF0716">
        <w:rPr>
          <w:rFonts w:cs="Arial"/>
        </w:rPr>
        <w:t>xamine the impact of removing autoc</w:t>
      </w:r>
      <w:r>
        <w:rPr>
          <w:rFonts w:cs="Arial"/>
        </w:rPr>
        <w:t>orrelation from the model</w:t>
      </w:r>
      <w:r w:rsidRPr="00AF0716">
        <w:rPr>
          <w:rFonts w:cs="Arial"/>
        </w:rPr>
        <w:t xml:space="preserve"> </w:t>
      </w:r>
      <w:r>
        <w:rPr>
          <w:rFonts w:cs="Arial"/>
        </w:rPr>
        <w:t>to</w:t>
      </w:r>
      <w:r w:rsidRPr="00AF0716">
        <w:rPr>
          <w:rFonts w:cs="Arial"/>
        </w:rPr>
        <w:t xml:space="preserve"> compare study outcomes.</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b/>
        </w:rPr>
        <w:t>Confounding:</w:t>
      </w:r>
      <w:r w:rsidRPr="00AF0716">
        <w:rPr>
          <w:rFonts w:cs="Arial"/>
        </w:rPr>
        <w:t xml:space="preserve"> </w:t>
      </w:r>
      <w:r>
        <w:rPr>
          <w:rFonts w:cs="Arial"/>
        </w:rPr>
        <w:t>This was to e</w:t>
      </w:r>
      <w:r w:rsidRPr="00AF0716">
        <w:rPr>
          <w:rFonts w:cs="Arial"/>
        </w:rPr>
        <w:t>xamine the impact of removing all confounders from the model</w:t>
      </w:r>
      <w:r>
        <w:rPr>
          <w:rFonts w:cs="Arial"/>
        </w:rPr>
        <w:t xml:space="preserve"> on study outcomes</w:t>
      </w:r>
      <w:r w:rsidRPr="00AF0716">
        <w:rPr>
          <w:rFonts w:cs="Arial"/>
        </w:rPr>
        <w:t xml:space="preserve">. </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b/>
        </w:rPr>
        <w:t>Quadratic</w:t>
      </w:r>
      <w:r w:rsidRPr="00AF0716">
        <w:rPr>
          <w:rFonts w:cs="Arial"/>
        </w:rPr>
        <w:t xml:space="preserve">: </w:t>
      </w:r>
      <w:r>
        <w:rPr>
          <w:rFonts w:cs="Arial"/>
        </w:rPr>
        <w:t>This was to e</w:t>
      </w:r>
      <w:r w:rsidRPr="00AF0716">
        <w:rPr>
          <w:rFonts w:cs="Arial"/>
        </w:rPr>
        <w:t xml:space="preserve">xamine the impact of modelling time as time squared to </w:t>
      </w:r>
      <w:r>
        <w:rPr>
          <w:rFonts w:cs="Arial"/>
        </w:rPr>
        <w:t>test</w:t>
      </w:r>
      <w:r w:rsidRPr="00AF0716">
        <w:rPr>
          <w:rFonts w:cs="Arial"/>
        </w:rPr>
        <w:t xml:space="preserve"> if there were any quadratic effects over time. </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b/>
        </w:rPr>
        <w:t>Population change</w:t>
      </w:r>
      <w:r w:rsidRPr="00AF0716">
        <w:rPr>
          <w:rFonts w:cs="Arial"/>
        </w:rPr>
        <w:t xml:space="preserve">: </w:t>
      </w:r>
      <w:r>
        <w:rPr>
          <w:rFonts w:cs="Arial"/>
        </w:rPr>
        <w:t>This was to e</w:t>
      </w:r>
      <w:r w:rsidRPr="00AF0716">
        <w:rPr>
          <w:rFonts w:cs="Arial"/>
        </w:rPr>
        <w:t xml:space="preserve">xamine the impact of keeping the population a fixed size to understand the </w:t>
      </w:r>
      <w:r>
        <w:rPr>
          <w:rFonts w:cs="Arial"/>
        </w:rPr>
        <w:t>influence</w:t>
      </w:r>
      <w:r w:rsidRPr="00AF0716">
        <w:rPr>
          <w:rFonts w:cs="Arial"/>
        </w:rPr>
        <w:t xml:space="preserve"> of popul</w:t>
      </w:r>
      <w:r>
        <w:rPr>
          <w:rFonts w:cs="Arial"/>
        </w:rPr>
        <w:t xml:space="preserve">ation change on study outcomes, which were </w:t>
      </w:r>
      <w:r w:rsidRPr="00AF0716">
        <w:rPr>
          <w:rFonts w:cs="Arial"/>
        </w:rPr>
        <w:t>measured per capita.</w:t>
      </w:r>
    </w:p>
    <w:p w:rsidR="00CB3E60" w:rsidRPr="00AF0716" w:rsidRDefault="00CB3E60" w:rsidP="00CB3E60">
      <w:pPr>
        <w:spacing w:after="0"/>
        <w:rPr>
          <w:rFonts w:cs="Arial"/>
        </w:rPr>
      </w:pPr>
    </w:p>
    <w:p w:rsidR="00CB3E60" w:rsidRPr="00AF0716" w:rsidRDefault="00CB3E60" w:rsidP="00CB3E60">
      <w:pPr>
        <w:spacing w:after="0"/>
        <w:rPr>
          <w:rFonts w:cs="Arial"/>
        </w:rPr>
      </w:pPr>
      <w:r w:rsidRPr="00AF0716">
        <w:rPr>
          <w:rFonts w:cs="Arial"/>
          <w:b/>
        </w:rPr>
        <w:t xml:space="preserve">Quarterly: </w:t>
      </w:r>
      <w:r w:rsidRPr="00AF0716">
        <w:rPr>
          <w:rFonts w:cs="Arial"/>
        </w:rPr>
        <w:t xml:space="preserve">Price and trade analyses were carried out using a quarterly time period to assess the impact of using more aggregated time series outcomes on the model. Season </w:t>
      </w:r>
      <w:r>
        <w:rPr>
          <w:rFonts w:cs="Arial"/>
        </w:rPr>
        <w:t>was</w:t>
      </w:r>
      <w:r w:rsidRPr="00AF0716">
        <w:rPr>
          <w:rFonts w:cs="Arial"/>
        </w:rPr>
        <w:t xml:space="preserve"> coded in</w:t>
      </w:r>
      <w:r>
        <w:rPr>
          <w:rFonts w:cs="Arial"/>
        </w:rPr>
        <w:t>to four categories</w:t>
      </w:r>
      <w:r w:rsidRPr="00AF0716">
        <w:rPr>
          <w:rFonts w:cs="Arial"/>
        </w:rPr>
        <w:t>.</w:t>
      </w:r>
      <w:r>
        <w:rPr>
          <w:rFonts w:cs="Arial"/>
        </w:rPr>
        <w:t xml:space="preserve"> </w:t>
      </w:r>
    </w:p>
    <w:p w:rsidR="00CB3E60" w:rsidRPr="00AF0716" w:rsidRDefault="00CB3E60" w:rsidP="00CB3E60">
      <w:pPr>
        <w:spacing w:after="0"/>
      </w:pPr>
    </w:p>
    <w:p w:rsidR="00CB3E60" w:rsidRDefault="00CB3E60" w:rsidP="00CB3E60">
      <w:pPr>
        <w:pStyle w:val="Heading2"/>
      </w:pPr>
      <w:r w:rsidRPr="00AF0716">
        <w:t>Further results</w:t>
      </w:r>
    </w:p>
    <w:p w:rsidR="00CB3E60" w:rsidRPr="00AF0716" w:rsidRDefault="00CB3E60" w:rsidP="00CB3E60">
      <w:pPr>
        <w:spacing w:after="0" w:line="240" w:lineRule="auto"/>
        <w:rPr>
          <w:b/>
        </w:rPr>
      </w:pPr>
      <w:r w:rsidRPr="00AF0716">
        <w:rPr>
          <w:b/>
        </w:rPr>
        <w:t xml:space="preserve">Table </w:t>
      </w:r>
      <w:r w:rsidR="009121FC">
        <w:rPr>
          <w:b/>
        </w:rPr>
        <w:t>S</w:t>
      </w:r>
      <w:r>
        <w:rPr>
          <w:b/>
        </w:rPr>
        <w:t>4</w:t>
      </w:r>
      <w:r w:rsidRPr="00AF0716">
        <w:rPr>
          <w:b/>
        </w:rPr>
        <w:t xml:space="preserve">: Changes in the average quarterly price (NZ$ per item) of </w:t>
      </w:r>
      <w:r>
        <w:rPr>
          <w:b/>
        </w:rPr>
        <w:t xml:space="preserve">a </w:t>
      </w:r>
      <w:r w:rsidRPr="00EE229A">
        <w:rPr>
          <w:b/>
        </w:rPr>
        <w:t>taxed</w:t>
      </w:r>
      <w:r w:rsidRPr="006426E8">
        <w:rPr>
          <w:b/>
        </w:rPr>
        <w:t xml:space="preserve"> indicator </w:t>
      </w:r>
      <w:r>
        <w:rPr>
          <w:b/>
        </w:rPr>
        <w:t>soft drink</w:t>
      </w:r>
      <w:r w:rsidRPr="00AF0716">
        <w:rPr>
          <w:b/>
        </w:rPr>
        <w:t xml:space="preserve"> in the first and second year post introduction of sweetened beverage taxes in the Cook Islands, time series analysis 2001-2017</w:t>
      </w:r>
    </w:p>
    <w:tbl>
      <w:tblPr>
        <w:tblStyle w:val="TableGrid1"/>
        <w:tblW w:w="8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755"/>
        <w:gridCol w:w="390"/>
        <w:gridCol w:w="520"/>
        <w:gridCol w:w="332"/>
        <w:gridCol w:w="612"/>
        <w:gridCol w:w="298"/>
        <w:gridCol w:w="944"/>
        <w:gridCol w:w="448"/>
        <w:gridCol w:w="1242"/>
        <w:gridCol w:w="459"/>
        <w:gridCol w:w="1242"/>
      </w:tblGrid>
      <w:tr w:rsidR="00CB3E60" w:rsidRPr="00AF0716" w:rsidTr="005B5968">
        <w:trPr>
          <w:trHeight w:val="49"/>
          <w:tblHeader/>
        </w:trPr>
        <w:tc>
          <w:tcPr>
            <w:tcW w:w="1242" w:type="dxa"/>
            <w:tcBorders>
              <w:top w:val="single" w:sz="4" w:space="0" w:color="auto"/>
              <w:bottom w:val="single" w:sz="4" w:space="0" w:color="auto"/>
            </w:tcBorders>
            <w:vAlign w:val="bottom"/>
          </w:tcPr>
          <w:p w:rsidR="00CB3E60" w:rsidRPr="00AF0716" w:rsidRDefault="00CB3E60" w:rsidP="005B5968">
            <w:pPr>
              <w:spacing w:line="276" w:lineRule="auto"/>
              <w:rPr>
                <w:b/>
                <w:sz w:val="16"/>
                <w:szCs w:val="16"/>
              </w:rPr>
            </w:pPr>
            <w:r w:rsidRPr="00AF0716">
              <w:rPr>
                <w:b/>
                <w:sz w:val="16"/>
                <w:szCs w:val="16"/>
              </w:rPr>
              <w:t>Tax change</w:t>
            </w:r>
          </w:p>
        </w:tc>
        <w:tc>
          <w:tcPr>
            <w:tcW w:w="1145" w:type="dxa"/>
            <w:gridSpan w:val="2"/>
            <w:tcBorders>
              <w:top w:val="single" w:sz="4" w:space="0" w:color="auto"/>
              <w:bottom w:val="single" w:sz="4" w:space="0" w:color="auto"/>
            </w:tcBorders>
            <w:vAlign w:val="bottom"/>
          </w:tcPr>
          <w:p w:rsidR="00CB3E60" w:rsidRPr="00AF0716" w:rsidRDefault="00CB3E60" w:rsidP="005B5968">
            <w:pPr>
              <w:spacing w:line="276" w:lineRule="auto"/>
              <w:ind w:left="-108" w:right="-177"/>
              <w:rPr>
                <w:b/>
                <w:sz w:val="16"/>
                <w:szCs w:val="16"/>
              </w:rPr>
            </w:pPr>
            <w:r w:rsidRPr="00AF0716">
              <w:rPr>
                <w:b/>
                <w:sz w:val="16"/>
                <w:szCs w:val="16"/>
              </w:rPr>
              <w:t>Follow-up</w:t>
            </w:r>
          </w:p>
        </w:tc>
        <w:tc>
          <w:tcPr>
            <w:tcW w:w="852" w:type="dxa"/>
            <w:gridSpan w:val="2"/>
            <w:tcBorders>
              <w:top w:val="single" w:sz="4" w:space="0" w:color="auto"/>
              <w:bottom w:val="single" w:sz="4" w:space="0" w:color="auto"/>
            </w:tcBorders>
            <w:vAlign w:val="bottom"/>
          </w:tcPr>
          <w:p w:rsidR="00CB3E60" w:rsidRDefault="00CB3E60" w:rsidP="005B5968">
            <w:pPr>
              <w:spacing w:line="276" w:lineRule="auto"/>
              <w:ind w:left="-108" w:right="-177"/>
              <w:jc w:val="center"/>
              <w:rPr>
                <w:b/>
                <w:sz w:val="16"/>
                <w:szCs w:val="16"/>
              </w:rPr>
            </w:pPr>
            <w:r w:rsidRPr="00AF0716">
              <w:rPr>
                <w:b/>
                <w:sz w:val="16"/>
                <w:szCs w:val="16"/>
              </w:rPr>
              <w:t xml:space="preserve">Tax change </w:t>
            </w:r>
          </w:p>
          <w:p w:rsidR="00CB3E60" w:rsidRPr="00AF0716" w:rsidRDefault="00CB3E60" w:rsidP="005B5968">
            <w:pPr>
              <w:spacing w:line="276" w:lineRule="auto"/>
              <w:ind w:left="-108" w:right="-177"/>
              <w:jc w:val="center"/>
              <w:rPr>
                <w:b/>
                <w:sz w:val="16"/>
                <w:szCs w:val="16"/>
              </w:rPr>
            </w:pPr>
            <w:r w:rsidRPr="00AF0716">
              <w:rPr>
                <w:b/>
                <w:sz w:val="16"/>
                <w:szCs w:val="16"/>
              </w:rPr>
              <w:t>(% points)</w:t>
            </w:r>
          </w:p>
        </w:tc>
        <w:tc>
          <w:tcPr>
            <w:tcW w:w="910" w:type="dxa"/>
            <w:gridSpan w:val="2"/>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Observed price (NZ$)</w:t>
            </w:r>
          </w:p>
        </w:tc>
        <w:tc>
          <w:tcPr>
            <w:tcW w:w="944" w:type="dxa"/>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Counter-factual price (NZ$</w:t>
            </w:r>
            <w:r>
              <w:rPr>
                <w:b/>
                <w:sz w:val="16"/>
                <w:szCs w:val="16"/>
              </w:rPr>
              <w:t>)</w:t>
            </w:r>
          </w:p>
        </w:tc>
        <w:tc>
          <w:tcPr>
            <w:tcW w:w="1690" w:type="dxa"/>
            <w:gridSpan w:val="2"/>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Absolute difference</w:t>
            </w:r>
          </w:p>
          <w:p w:rsidR="00CB3E60" w:rsidRPr="00AF0716" w:rsidRDefault="00CB3E60" w:rsidP="005B5968">
            <w:pPr>
              <w:spacing w:line="276" w:lineRule="auto"/>
              <w:jc w:val="center"/>
              <w:rPr>
                <w:b/>
                <w:sz w:val="16"/>
                <w:szCs w:val="16"/>
              </w:rPr>
            </w:pPr>
            <w:r w:rsidRPr="00AF0716">
              <w:rPr>
                <w:b/>
                <w:sz w:val="16"/>
                <w:szCs w:val="16"/>
              </w:rPr>
              <w:t>NZ$ (95% CI)</w:t>
            </w:r>
          </w:p>
        </w:tc>
        <w:tc>
          <w:tcPr>
            <w:tcW w:w="1701" w:type="dxa"/>
            <w:gridSpan w:val="2"/>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Percentage change in price (95% CI)</w:t>
            </w:r>
          </w:p>
        </w:tc>
      </w:tr>
      <w:tr w:rsidR="00CB3E60" w:rsidRPr="00AF0716" w:rsidTr="005B5968">
        <w:trPr>
          <w:gridAfter w:val="1"/>
          <w:wAfter w:w="1242" w:type="dxa"/>
          <w:trHeight w:val="239"/>
        </w:trPr>
        <w:tc>
          <w:tcPr>
            <w:tcW w:w="1997" w:type="dxa"/>
            <w:gridSpan w:val="2"/>
            <w:tcBorders>
              <w:top w:val="single" w:sz="4" w:space="0" w:color="auto"/>
              <w:bottom w:val="dotted" w:sz="4" w:space="0" w:color="auto"/>
            </w:tcBorders>
            <w:vAlign w:val="center"/>
          </w:tcPr>
          <w:p w:rsidR="00CB3E60" w:rsidRPr="00AF0716" w:rsidRDefault="00CB3E60" w:rsidP="005B5968">
            <w:pPr>
              <w:spacing w:line="276" w:lineRule="auto"/>
              <w:rPr>
                <w:b/>
                <w:sz w:val="16"/>
                <w:szCs w:val="16"/>
              </w:rPr>
            </w:pPr>
            <w:r>
              <w:rPr>
                <w:b/>
                <w:sz w:val="16"/>
                <w:szCs w:val="16"/>
              </w:rPr>
              <w:t>TAXED BEVERAGES</w:t>
            </w:r>
          </w:p>
        </w:tc>
        <w:tc>
          <w:tcPr>
            <w:tcW w:w="910" w:type="dxa"/>
            <w:gridSpan w:val="2"/>
            <w:tcBorders>
              <w:top w:val="single" w:sz="4" w:space="0" w:color="auto"/>
              <w:bottom w:val="dotted" w:sz="4" w:space="0" w:color="auto"/>
            </w:tcBorders>
            <w:vAlign w:val="center"/>
          </w:tcPr>
          <w:p w:rsidR="00CB3E60" w:rsidRPr="00AF0716" w:rsidRDefault="00CB3E60" w:rsidP="005B5968">
            <w:pPr>
              <w:spacing w:line="276" w:lineRule="auto"/>
              <w:rPr>
                <w:b/>
                <w:sz w:val="16"/>
                <w:szCs w:val="16"/>
              </w:rPr>
            </w:pPr>
          </w:p>
        </w:tc>
        <w:tc>
          <w:tcPr>
            <w:tcW w:w="944" w:type="dxa"/>
            <w:gridSpan w:val="2"/>
            <w:tcBorders>
              <w:top w:val="single" w:sz="4" w:space="0" w:color="auto"/>
              <w:bottom w:val="dotted" w:sz="4" w:space="0" w:color="auto"/>
            </w:tcBorders>
            <w:vAlign w:val="center"/>
          </w:tcPr>
          <w:p w:rsidR="00CB3E60" w:rsidRPr="00AF0716" w:rsidRDefault="00CB3E60" w:rsidP="005B5968">
            <w:pPr>
              <w:spacing w:line="276" w:lineRule="auto"/>
              <w:rPr>
                <w:b/>
                <w:sz w:val="16"/>
                <w:szCs w:val="16"/>
              </w:rPr>
            </w:pPr>
          </w:p>
        </w:tc>
        <w:tc>
          <w:tcPr>
            <w:tcW w:w="1690" w:type="dxa"/>
            <w:gridSpan w:val="3"/>
            <w:tcBorders>
              <w:top w:val="single" w:sz="4" w:space="0" w:color="auto"/>
              <w:bottom w:val="dotted" w:sz="4" w:space="0" w:color="auto"/>
            </w:tcBorders>
            <w:vAlign w:val="center"/>
          </w:tcPr>
          <w:p w:rsidR="00CB3E60" w:rsidRPr="00AF0716" w:rsidRDefault="00CB3E60" w:rsidP="005B5968">
            <w:pPr>
              <w:spacing w:line="276" w:lineRule="auto"/>
              <w:rPr>
                <w:b/>
                <w:sz w:val="16"/>
                <w:szCs w:val="16"/>
              </w:rPr>
            </w:pPr>
          </w:p>
        </w:tc>
        <w:tc>
          <w:tcPr>
            <w:tcW w:w="1701" w:type="dxa"/>
            <w:gridSpan w:val="2"/>
            <w:tcBorders>
              <w:top w:val="single" w:sz="4" w:space="0" w:color="auto"/>
              <w:bottom w:val="dotted" w:sz="4" w:space="0" w:color="auto"/>
            </w:tcBorders>
            <w:vAlign w:val="center"/>
          </w:tcPr>
          <w:p w:rsidR="00CB3E60" w:rsidRPr="00AF0716" w:rsidRDefault="00CB3E60" w:rsidP="005B5968">
            <w:pPr>
              <w:spacing w:line="276" w:lineRule="auto"/>
              <w:rPr>
                <w:sz w:val="16"/>
                <w:szCs w:val="16"/>
              </w:rPr>
            </w:pPr>
          </w:p>
        </w:tc>
      </w:tr>
      <w:tr w:rsidR="00CB3E60" w:rsidRPr="00AF0716" w:rsidTr="005B5968">
        <w:trPr>
          <w:trHeight w:val="357"/>
        </w:trPr>
        <w:tc>
          <w:tcPr>
            <w:tcW w:w="1242" w:type="dxa"/>
            <w:vMerge w:val="restart"/>
            <w:tcBorders>
              <w:top w:val="dotted" w:sz="4" w:space="0" w:color="auto"/>
            </w:tcBorders>
          </w:tcPr>
          <w:p w:rsidR="00CB3E60" w:rsidRPr="00AF0716" w:rsidRDefault="00CB3E60" w:rsidP="005B5968">
            <w:pPr>
              <w:spacing w:line="276" w:lineRule="auto"/>
              <w:rPr>
                <w:rFonts w:cs="Arial"/>
                <w:b/>
                <w:bCs/>
                <w:sz w:val="16"/>
                <w:szCs w:val="16"/>
              </w:rPr>
            </w:pPr>
            <w:r w:rsidRPr="00AF0716">
              <w:rPr>
                <w:rFonts w:cs="Arial"/>
                <w:b/>
                <w:bCs/>
                <w:sz w:val="16"/>
                <w:szCs w:val="16"/>
              </w:rPr>
              <w:t>2008</w:t>
            </w:r>
          </w:p>
          <w:p w:rsidR="00CB3E60" w:rsidRPr="00AF0716" w:rsidRDefault="00CB3E60" w:rsidP="005B5968">
            <w:pPr>
              <w:spacing w:line="276" w:lineRule="auto"/>
              <w:rPr>
                <w:rFonts w:cs="Arial"/>
                <w:bCs/>
                <w:sz w:val="16"/>
                <w:szCs w:val="16"/>
              </w:rPr>
            </w:pPr>
            <w:r w:rsidRPr="00AF0716">
              <w:rPr>
                <w:rFonts w:cs="Arial"/>
                <w:bCs/>
                <w:sz w:val="16"/>
                <w:szCs w:val="16"/>
              </w:rPr>
              <w:t>tariff 40% →60%</w:t>
            </w:r>
          </w:p>
        </w:tc>
        <w:tc>
          <w:tcPr>
            <w:tcW w:w="1145" w:type="dxa"/>
            <w:gridSpan w:val="2"/>
            <w:tcBorders>
              <w:top w:val="dotted"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First year</w:t>
            </w:r>
          </w:p>
        </w:tc>
        <w:tc>
          <w:tcPr>
            <w:tcW w:w="852" w:type="dxa"/>
            <w:gridSpan w:val="2"/>
            <w:tcBorders>
              <w:top w:val="dotted" w:sz="4" w:space="0" w:color="auto"/>
            </w:tcBorders>
          </w:tcPr>
          <w:p w:rsidR="00CB3E60" w:rsidRPr="00AF0716" w:rsidRDefault="00CB3E60" w:rsidP="005B5968">
            <w:pPr>
              <w:spacing w:line="276" w:lineRule="auto"/>
              <w:jc w:val="center"/>
              <w:rPr>
                <w:sz w:val="16"/>
                <w:szCs w:val="16"/>
              </w:rPr>
            </w:pPr>
            <w:r w:rsidRPr="00AF0716">
              <w:rPr>
                <w:sz w:val="16"/>
                <w:szCs w:val="16"/>
              </w:rPr>
              <w:t>20%</w:t>
            </w:r>
          </w:p>
        </w:tc>
        <w:tc>
          <w:tcPr>
            <w:tcW w:w="910" w:type="dxa"/>
            <w:gridSpan w:val="2"/>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1.74</w:t>
            </w:r>
          </w:p>
        </w:tc>
        <w:tc>
          <w:tcPr>
            <w:tcW w:w="944"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1.62</w:t>
            </w:r>
          </w:p>
        </w:tc>
        <w:tc>
          <w:tcPr>
            <w:tcW w:w="1690" w:type="dxa"/>
            <w:gridSpan w:val="2"/>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0.12 (0.10 to 0.13)</w:t>
            </w:r>
          </w:p>
        </w:tc>
        <w:tc>
          <w:tcPr>
            <w:tcW w:w="1701" w:type="dxa"/>
            <w:gridSpan w:val="2"/>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7.3% (6.3 to 8.3)</w:t>
            </w:r>
          </w:p>
        </w:tc>
      </w:tr>
      <w:tr w:rsidR="00CB3E60" w:rsidRPr="00AF0716" w:rsidTr="005B5968">
        <w:trPr>
          <w:trHeight w:val="357"/>
        </w:trPr>
        <w:tc>
          <w:tcPr>
            <w:tcW w:w="1242" w:type="dxa"/>
            <w:vMerge/>
          </w:tcPr>
          <w:p w:rsidR="00CB3E60" w:rsidRPr="00AF0716" w:rsidRDefault="00CB3E60" w:rsidP="005B5968">
            <w:pPr>
              <w:spacing w:line="276" w:lineRule="auto"/>
              <w:rPr>
                <w:rFonts w:cs="Arial"/>
                <w:b/>
                <w:bCs/>
                <w:sz w:val="16"/>
                <w:szCs w:val="16"/>
              </w:rPr>
            </w:pPr>
          </w:p>
        </w:tc>
        <w:tc>
          <w:tcPr>
            <w:tcW w:w="1145" w:type="dxa"/>
            <w:gridSpan w:val="2"/>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852" w:type="dxa"/>
            <w:gridSpan w:val="2"/>
          </w:tcPr>
          <w:p w:rsidR="00CB3E60" w:rsidRPr="00AF0716" w:rsidRDefault="00CB3E60" w:rsidP="005B5968">
            <w:pPr>
              <w:spacing w:line="276" w:lineRule="auto"/>
              <w:jc w:val="center"/>
              <w:rPr>
                <w:rFonts w:ascii="Calibri" w:hAnsi="Calibri"/>
                <w:color w:val="000000"/>
                <w:sz w:val="16"/>
                <w:szCs w:val="16"/>
              </w:rPr>
            </w:pPr>
          </w:p>
        </w:tc>
        <w:tc>
          <w:tcPr>
            <w:tcW w:w="910"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2.07</w:t>
            </w:r>
          </w:p>
        </w:tc>
        <w:tc>
          <w:tcPr>
            <w:tcW w:w="944"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1.70</w:t>
            </w:r>
          </w:p>
        </w:tc>
        <w:tc>
          <w:tcPr>
            <w:tcW w:w="1690"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0.37 (0.36 to 0.38)</w:t>
            </w:r>
          </w:p>
        </w:tc>
        <w:tc>
          <w:tcPr>
            <w:tcW w:w="1701"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21.7% (20.8 to 22.6)</w:t>
            </w:r>
          </w:p>
        </w:tc>
      </w:tr>
      <w:tr w:rsidR="00CB3E60" w:rsidRPr="00AF0716" w:rsidTr="005B5968">
        <w:trPr>
          <w:trHeight w:val="357"/>
        </w:trPr>
        <w:tc>
          <w:tcPr>
            <w:tcW w:w="1242" w:type="dxa"/>
            <w:vMerge/>
          </w:tcPr>
          <w:p w:rsidR="00CB3E60" w:rsidRPr="00AF0716" w:rsidRDefault="00CB3E60" w:rsidP="005B5968">
            <w:pPr>
              <w:spacing w:line="276" w:lineRule="auto"/>
              <w:rPr>
                <w:rFonts w:cs="Arial"/>
                <w:b/>
                <w:bCs/>
                <w:sz w:val="16"/>
                <w:szCs w:val="16"/>
              </w:rPr>
            </w:pPr>
          </w:p>
        </w:tc>
        <w:tc>
          <w:tcPr>
            <w:tcW w:w="1145" w:type="dxa"/>
            <w:gridSpan w:val="2"/>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852" w:type="dxa"/>
            <w:gridSpan w:val="2"/>
          </w:tcPr>
          <w:p w:rsidR="00CB3E60" w:rsidRPr="00AF0716" w:rsidRDefault="00CB3E60" w:rsidP="005B5968">
            <w:pPr>
              <w:spacing w:line="276" w:lineRule="auto"/>
              <w:jc w:val="center"/>
              <w:rPr>
                <w:rFonts w:ascii="Calibri" w:hAnsi="Calibri"/>
                <w:color w:val="000000"/>
                <w:sz w:val="16"/>
                <w:szCs w:val="16"/>
              </w:rPr>
            </w:pPr>
          </w:p>
        </w:tc>
        <w:tc>
          <w:tcPr>
            <w:tcW w:w="910"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1.90</w:t>
            </w:r>
          </w:p>
        </w:tc>
        <w:tc>
          <w:tcPr>
            <w:tcW w:w="944"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1.66</w:t>
            </w:r>
          </w:p>
        </w:tc>
        <w:tc>
          <w:tcPr>
            <w:tcW w:w="1690"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0.24 (0.23 to 0.26)</w:t>
            </w:r>
          </w:p>
        </w:tc>
        <w:tc>
          <w:tcPr>
            <w:tcW w:w="1701"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14.7% (13.8 to 15.6)</w:t>
            </w:r>
          </w:p>
        </w:tc>
      </w:tr>
      <w:tr w:rsidR="00CB3E60" w:rsidRPr="00AF0716" w:rsidTr="005B5968">
        <w:trPr>
          <w:trHeight w:val="357"/>
        </w:trPr>
        <w:tc>
          <w:tcPr>
            <w:tcW w:w="1242" w:type="dxa"/>
            <w:vMerge w:val="restart"/>
            <w:tcBorders>
              <w:top w:val="dotted" w:sz="4" w:space="0" w:color="auto"/>
            </w:tcBorders>
          </w:tcPr>
          <w:p w:rsidR="00CB3E60" w:rsidRPr="00AF0716" w:rsidRDefault="00CB3E60" w:rsidP="005B5968">
            <w:pPr>
              <w:spacing w:line="276" w:lineRule="auto"/>
              <w:rPr>
                <w:rFonts w:cs="Arial"/>
                <w:b/>
                <w:bCs/>
                <w:sz w:val="16"/>
                <w:szCs w:val="16"/>
              </w:rPr>
            </w:pPr>
            <w:r w:rsidRPr="00AF0716">
              <w:rPr>
                <w:rFonts w:cs="Arial"/>
                <w:b/>
                <w:bCs/>
                <w:sz w:val="16"/>
                <w:szCs w:val="16"/>
              </w:rPr>
              <w:t>2012</w:t>
            </w:r>
          </w:p>
          <w:p w:rsidR="00CB3E60" w:rsidRPr="00AF0716" w:rsidRDefault="00CB3E60" w:rsidP="005B5968">
            <w:pPr>
              <w:spacing w:line="276" w:lineRule="auto"/>
              <w:rPr>
                <w:rFonts w:cs="Arial"/>
                <w:bCs/>
                <w:sz w:val="16"/>
                <w:szCs w:val="16"/>
              </w:rPr>
            </w:pPr>
            <w:r w:rsidRPr="00AF0716">
              <w:rPr>
                <w:rFonts w:cs="Arial"/>
                <w:bCs/>
                <w:sz w:val="16"/>
                <w:szCs w:val="16"/>
              </w:rPr>
              <w:t>tariff 60% →75%</w:t>
            </w:r>
          </w:p>
        </w:tc>
        <w:tc>
          <w:tcPr>
            <w:tcW w:w="1145" w:type="dxa"/>
            <w:gridSpan w:val="2"/>
            <w:tcBorders>
              <w:top w:val="dotted" w:sz="4" w:space="0" w:color="auto"/>
            </w:tcBorders>
          </w:tcPr>
          <w:p w:rsidR="00CB3E60" w:rsidRPr="00AF0716" w:rsidRDefault="00CB3E60" w:rsidP="005B5968">
            <w:pPr>
              <w:spacing w:line="276" w:lineRule="auto"/>
              <w:rPr>
                <w:sz w:val="16"/>
                <w:szCs w:val="16"/>
              </w:rPr>
            </w:pPr>
            <w:r w:rsidRPr="00AF0716">
              <w:rPr>
                <w:rFonts w:cs="Arial"/>
                <w:bCs/>
                <w:sz w:val="16"/>
                <w:szCs w:val="16"/>
              </w:rPr>
              <w:t>First year</w:t>
            </w:r>
          </w:p>
        </w:tc>
        <w:tc>
          <w:tcPr>
            <w:tcW w:w="852" w:type="dxa"/>
            <w:gridSpan w:val="2"/>
            <w:tcBorders>
              <w:top w:val="dotted" w:sz="4" w:space="0" w:color="auto"/>
            </w:tcBorders>
          </w:tcPr>
          <w:p w:rsidR="00CB3E60" w:rsidRPr="00AF0716" w:rsidRDefault="00CB3E60" w:rsidP="005B5968">
            <w:pPr>
              <w:spacing w:line="276" w:lineRule="auto"/>
              <w:jc w:val="center"/>
              <w:rPr>
                <w:sz w:val="16"/>
                <w:szCs w:val="16"/>
              </w:rPr>
            </w:pPr>
            <w:r w:rsidRPr="00AF0716">
              <w:rPr>
                <w:sz w:val="16"/>
                <w:szCs w:val="16"/>
              </w:rPr>
              <w:t>15%</w:t>
            </w:r>
          </w:p>
        </w:tc>
        <w:tc>
          <w:tcPr>
            <w:tcW w:w="910" w:type="dxa"/>
            <w:gridSpan w:val="2"/>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2.48</w:t>
            </w:r>
          </w:p>
        </w:tc>
        <w:tc>
          <w:tcPr>
            <w:tcW w:w="944"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2.88</w:t>
            </w:r>
          </w:p>
        </w:tc>
        <w:tc>
          <w:tcPr>
            <w:tcW w:w="1690" w:type="dxa"/>
            <w:gridSpan w:val="2"/>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-0.40 (-0.43 to -0.37)</w:t>
            </w:r>
          </w:p>
        </w:tc>
        <w:tc>
          <w:tcPr>
            <w:tcW w:w="1701" w:type="dxa"/>
            <w:gridSpan w:val="2"/>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-13.9% (-14.9 to -12.8)</w:t>
            </w:r>
          </w:p>
        </w:tc>
      </w:tr>
      <w:tr w:rsidR="00CB3E60" w:rsidRPr="00AF0716" w:rsidTr="005B5968">
        <w:trPr>
          <w:trHeight w:val="357"/>
        </w:trPr>
        <w:tc>
          <w:tcPr>
            <w:tcW w:w="1242" w:type="dxa"/>
            <w:vMerge/>
          </w:tcPr>
          <w:p w:rsidR="00CB3E60" w:rsidRPr="00AF0716" w:rsidRDefault="00CB3E60" w:rsidP="005B5968">
            <w:pPr>
              <w:spacing w:line="276" w:lineRule="auto"/>
              <w:rPr>
                <w:rFonts w:cs="Arial"/>
                <w:b/>
                <w:bCs/>
                <w:sz w:val="16"/>
                <w:szCs w:val="16"/>
              </w:rPr>
            </w:pPr>
          </w:p>
        </w:tc>
        <w:tc>
          <w:tcPr>
            <w:tcW w:w="1145" w:type="dxa"/>
            <w:gridSpan w:val="2"/>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852" w:type="dxa"/>
            <w:gridSpan w:val="2"/>
          </w:tcPr>
          <w:p w:rsidR="00CB3E60" w:rsidRPr="00AF0716" w:rsidRDefault="00CB3E60" w:rsidP="005B5968">
            <w:pPr>
              <w:spacing w:line="276" w:lineRule="auto"/>
              <w:jc w:val="center"/>
              <w:rPr>
                <w:rFonts w:ascii="Calibri" w:hAnsi="Calibri"/>
                <w:color w:val="000000"/>
                <w:sz w:val="16"/>
                <w:szCs w:val="16"/>
              </w:rPr>
            </w:pPr>
          </w:p>
        </w:tc>
        <w:tc>
          <w:tcPr>
            <w:tcW w:w="910"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2.99</w:t>
            </w:r>
          </w:p>
        </w:tc>
        <w:tc>
          <w:tcPr>
            <w:tcW w:w="944"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3.23</w:t>
            </w:r>
          </w:p>
        </w:tc>
        <w:tc>
          <w:tcPr>
            <w:tcW w:w="1690"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-0.25 (-0.29 to -0.20)</w:t>
            </w:r>
          </w:p>
        </w:tc>
        <w:tc>
          <w:tcPr>
            <w:tcW w:w="1701"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-7.6% (-9.0 to -6.3)</w:t>
            </w:r>
          </w:p>
        </w:tc>
      </w:tr>
      <w:tr w:rsidR="00CB3E60" w:rsidRPr="00AF0716" w:rsidTr="005B5968">
        <w:trPr>
          <w:trHeight w:val="357"/>
        </w:trPr>
        <w:tc>
          <w:tcPr>
            <w:tcW w:w="1242" w:type="dxa"/>
            <w:vMerge/>
            <w:tcBorders>
              <w:bottom w:val="dotted" w:sz="4" w:space="0" w:color="auto"/>
            </w:tcBorders>
          </w:tcPr>
          <w:p w:rsidR="00CB3E60" w:rsidRPr="00AF0716" w:rsidRDefault="00CB3E60" w:rsidP="005B5968">
            <w:pPr>
              <w:rPr>
                <w:rFonts w:cs="Arial"/>
                <w:b/>
                <w:bCs/>
                <w:sz w:val="16"/>
                <w:szCs w:val="16"/>
              </w:rPr>
            </w:pPr>
          </w:p>
        </w:tc>
        <w:tc>
          <w:tcPr>
            <w:tcW w:w="1145" w:type="dxa"/>
            <w:gridSpan w:val="2"/>
            <w:tcBorders>
              <w:bottom w:val="dotted"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852" w:type="dxa"/>
            <w:gridSpan w:val="2"/>
            <w:tcBorders>
              <w:bottom w:val="dotted" w:sz="4" w:space="0" w:color="auto"/>
            </w:tcBorders>
          </w:tcPr>
          <w:p w:rsidR="00CB3E60" w:rsidRPr="00AF0716" w:rsidRDefault="00CB3E60" w:rsidP="005B5968">
            <w:pPr>
              <w:spacing w:line="276" w:lineRule="auto"/>
              <w:jc w:val="center"/>
              <w:rPr>
                <w:rFonts w:ascii="Calibri" w:hAnsi="Calibri"/>
                <w:color w:val="000000"/>
                <w:sz w:val="16"/>
                <w:szCs w:val="16"/>
              </w:rPr>
            </w:pPr>
          </w:p>
        </w:tc>
        <w:tc>
          <w:tcPr>
            <w:tcW w:w="910" w:type="dxa"/>
            <w:gridSpan w:val="2"/>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2.73</w:t>
            </w:r>
          </w:p>
        </w:tc>
        <w:tc>
          <w:tcPr>
            <w:tcW w:w="944" w:type="dxa"/>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3.06</w:t>
            </w:r>
          </w:p>
        </w:tc>
        <w:tc>
          <w:tcPr>
            <w:tcW w:w="1690" w:type="dxa"/>
            <w:gridSpan w:val="2"/>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-0.32 (-0.34 to -0.31)</w:t>
            </w:r>
          </w:p>
        </w:tc>
        <w:tc>
          <w:tcPr>
            <w:tcW w:w="1701" w:type="dxa"/>
            <w:gridSpan w:val="2"/>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-10.5% (-11.0 to -10.2)</w:t>
            </w:r>
          </w:p>
        </w:tc>
      </w:tr>
      <w:tr w:rsidR="00CB3E60" w:rsidRPr="00AF0716" w:rsidTr="005B5968">
        <w:trPr>
          <w:trHeight w:val="357"/>
        </w:trPr>
        <w:tc>
          <w:tcPr>
            <w:tcW w:w="1242" w:type="dxa"/>
            <w:vMerge w:val="restart"/>
            <w:tcBorders>
              <w:top w:val="dotted" w:sz="4" w:space="0" w:color="auto"/>
            </w:tcBorders>
          </w:tcPr>
          <w:p w:rsidR="00CB3E60" w:rsidRPr="00AF0716" w:rsidRDefault="00CB3E60" w:rsidP="005B5968">
            <w:pPr>
              <w:spacing w:line="276" w:lineRule="auto"/>
              <w:rPr>
                <w:rFonts w:cs="Arial"/>
                <w:b/>
                <w:bCs/>
                <w:sz w:val="16"/>
                <w:szCs w:val="16"/>
              </w:rPr>
            </w:pPr>
            <w:r w:rsidRPr="00AF0716">
              <w:rPr>
                <w:rFonts w:cs="Arial"/>
                <w:b/>
                <w:bCs/>
                <w:sz w:val="16"/>
                <w:szCs w:val="16"/>
              </w:rPr>
              <w:t>2014</w:t>
            </w:r>
          </w:p>
          <w:p w:rsidR="00CB3E60" w:rsidRPr="00AF0716" w:rsidRDefault="00CB3E60" w:rsidP="005B5968">
            <w:pPr>
              <w:spacing w:line="276" w:lineRule="auto"/>
              <w:rPr>
                <w:rFonts w:cs="Arial"/>
                <w:bCs/>
                <w:sz w:val="16"/>
                <w:szCs w:val="16"/>
              </w:rPr>
            </w:pPr>
            <w:r w:rsidRPr="00AF0716">
              <w:rPr>
                <w:rFonts w:cs="Arial"/>
                <w:bCs/>
                <w:sz w:val="16"/>
                <w:szCs w:val="16"/>
              </w:rPr>
              <w:t>tariff 77% → excise NZ$9.37/kg of sugar</w:t>
            </w:r>
          </w:p>
        </w:tc>
        <w:tc>
          <w:tcPr>
            <w:tcW w:w="1145" w:type="dxa"/>
            <w:gridSpan w:val="2"/>
            <w:tcBorders>
              <w:top w:val="dotted" w:sz="4" w:space="0" w:color="auto"/>
            </w:tcBorders>
          </w:tcPr>
          <w:p w:rsidR="00CB3E60" w:rsidRPr="00AF0716" w:rsidRDefault="00CB3E60" w:rsidP="005B5968">
            <w:pPr>
              <w:spacing w:line="276" w:lineRule="auto"/>
              <w:rPr>
                <w:sz w:val="16"/>
                <w:szCs w:val="16"/>
              </w:rPr>
            </w:pPr>
            <w:r w:rsidRPr="00AF0716">
              <w:rPr>
                <w:rFonts w:cs="Arial"/>
                <w:bCs/>
                <w:sz w:val="16"/>
                <w:szCs w:val="16"/>
              </w:rPr>
              <w:t>First year</w:t>
            </w:r>
          </w:p>
        </w:tc>
        <w:tc>
          <w:tcPr>
            <w:tcW w:w="852" w:type="dxa"/>
            <w:gridSpan w:val="2"/>
            <w:tcBorders>
              <w:top w:val="dotted" w:sz="4" w:space="0" w:color="auto"/>
            </w:tcBorders>
          </w:tcPr>
          <w:p w:rsidR="00CB3E60" w:rsidRPr="00AF0716" w:rsidRDefault="00CB3E60" w:rsidP="005B5968">
            <w:pPr>
              <w:spacing w:line="276" w:lineRule="auto"/>
              <w:jc w:val="center"/>
              <w:rPr>
                <w:sz w:val="16"/>
                <w:szCs w:val="16"/>
              </w:rPr>
            </w:pPr>
            <w:r w:rsidRPr="00AF0716">
              <w:rPr>
                <w:sz w:val="16"/>
                <w:szCs w:val="16"/>
              </w:rPr>
              <w:t>-11% AVE</w:t>
            </w:r>
          </w:p>
        </w:tc>
        <w:tc>
          <w:tcPr>
            <w:tcW w:w="910" w:type="dxa"/>
            <w:gridSpan w:val="2"/>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2.52</w:t>
            </w:r>
          </w:p>
        </w:tc>
        <w:tc>
          <w:tcPr>
            <w:tcW w:w="944"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3.30</w:t>
            </w:r>
          </w:p>
        </w:tc>
        <w:tc>
          <w:tcPr>
            <w:tcW w:w="1690" w:type="dxa"/>
            <w:gridSpan w:val="2"/>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-0.78 (-0.88 to -0.68)</w:t>
            </w:r>
          </w:p>
        </w:tc>
        <w:tc>
          <w:tcPr>
            <w:tcW w:w="1701" w:type="dxa"/>
            <w:gridSpan w:val="2"/>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-23.6% (-26.0 to -21.1)</w:t>
            </w:r>
          </w:p>
        </w:tc>
      </w:tr>
      <w:tr w:rsidR="00CB3E60" w:rsidRPr="00AF0716" w:rsidTr="005B5968">
        <w:trPr>
          <w:trHeight w:val="357"/>
        </w:trPr>
        <w:tc>
          <w:tcPr>
            <w:tcW w:w="1242" w:type="dxa"/>
            <w:vMerge/>
          </w:tcPr>
          <w:p w:rsidR="00CB3E60" w:rsidRPr="00AF0716" w:rsidRDefault="00CB3E60" w:rsidP="005B5968">
            <w:pPr>
              <w:spacing w:line="276" w:lineRule="auto"/>
              <w:rPr>
                <w:rFonts w:cs="Arial"/>
                <w:b/>
                <w:bCs/>
                <w:sz w:val="16"/>
                <w:szCs w:val="16"/>
              </w:rPr>
            </w:pPr>
          </w:p>
        </w:tc>
        <w:tc>
          <w:tcPr>
            <w:tcW w:w="1145" w:type="dxa"/>
            <w:gridSpan w:val="2"/>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852" w:type="dxa"/>
            <w:gridSpan w:val="2"/>
          </w:tcPr>
          <w:p w:rsidR="00CB3E60" w:rsidRPr="00AF0716" w:rsidRDefault="00CB3E60" w:rsidP="005B5968">
            <w:pPr>
              <w:spacing w:line="276" w:lineRule="auto"/>
              <w:jc w:val="center"/>
              <w:rPr>
                <w:rFonts w:ascii="Calibri" w:hAnsi="Calibri"/>
                <w:color w:val="000000"/>
                <w:sz w:val="16"/>
                <w:szCs w:val="16"/>
              </w:rPr>
            </w:pPr>
          </w:p>
        </w:tc>
        <w:tc>
          <w:tcPr>
            <w:tcW w:w="910"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2.65</w:t>
            </w:r>
          </w:p>
        </w:tc>
        <w:tc>
          <w:tcPr>
            <w:tcW w:w="944"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3.81</w:t>
            </w:r>
          </w:p>
        </w:tc>
        <w:tc>
          <w:tcPr>
            <w:tcW w:w="1690"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-1.16 (-1.32 to -1.00)</w:t>
            </w:r>
          </w:p>
        </w:tc>
        <w:tc>
          <w:tcPr>
            <w:tcW w:w="1701" w:type="dxa"/>
            <w:gridSpan w:val="2"/>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-30.4% (-33.3 to -27.3)</w:t>
            </w:r>
          </w:p>
        </w:tc>
      </w:tr>
      <w:tr w:rsidR="00CB3E60" w:rsidRPr="00AF0716" w:rsidTr="005B5968">
        <w:trPr>
          <w:trHeight w:val="357"/>
        </w:trPr>
        <w:tc>
          <w:tcPr>
            <w:tcW w:w="1242" w:type="dxa"/>
            <w:vMerge/>
            <w:tcBorders>
              <w:bottom w:val="single" w:sz="4" w:space="0" w:color="auto"/>
            </w:tcBorders>
          </w:tcPr>
          <w:p w:rsidR="00CB3E60" w:rsidRPr="00AF0716" w:rsidRDefault="00CB3E60" w:rsidP="005B5968">
            <w:pPr>
              <w:spacing w:line="276" w:lineRule="auto"/>
              <w:rPr>
                <w:rFonts w:cs="Arial"/>
                <w:b/>
                <w:bCs/>
                <w:sz w:val="16"/>
                <w:szCs w:val="16"/>
              </w:rPr>
            </w:pPr>
          </w:p>
        </w:tc>
        <w:tc>
          <w:tcPr>
            <w:tcW w:w="1145" w:type="dxa"/>
            <w:gridSpan w:val="2"/>
            <w:tcBorders>
              <w:bottom w:val="single"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852" w:type="dxa"/>
            <w:gridSpan w:val="2"/>
            <w:tcBorders>
              <w:bottom w:val="single" w:sz="4" w:space="0" w:color="auto"/>
            </w:tcBorders>
          </w:tcPr>
          <w:p w:rsidR="00CB3E60" w:rsidRPr="00AF0716" w:rsidRDefault="00CB3E60" w:rsidP="005B5968">
            <w:pPr>
              <w:spacing w:line="276" w:lineRule="auto"/>
              <w:jc w:val="center"/>
              <w:rPr>
                <w:rFonts w:ascii="Calibri" w:hAnsi="Calibri"/>
                <w:color w:val="000000"/>
                <w:sz w:val="16"/>
                <w:szCs w:val="16"/>
              </w:rPr>
            </w:pPr>
          </w:p>
        </w:tc>
        <w:tc>
          <w:tcPr>
            <w:tcW w:w="910" w:type="dxa"/>
            <w:gridSpan w:val="2"/>
            <w:tcBorders>
              <w:bottom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2.59</w:t>
            </w:r>
          </w:p>
        </w:tc>
        <w:tc>
          <w:tcPr>
            <w:tcW w:w="944" w:type="dxa"/>
            <w:tcBorders>
              <w:bottom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3.55</w:t>
            </w:r>
          </w:p>
        </w:tc>
        <w:tc>
          <w:tcPr>
            <w:tcW w:w="1690" w:type="dxa"/>
            <w:gridSpan w:val="2"/>
            <w:tcBorders>
              <w:bottom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-0.97 (-1.10 to -0.84)</w:t>
            </w:r>
          </w:p>
        </w:tc>
        <w:tc>
          <w:tcPr>
            <w:tcW w:w="1701" w:type="dxa"/>
            <w:gridSpan w:val="2"/>
            <w:tcBorders>
              <w:bottom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-27.3% (-29.9 to -24.4)</w:t>
            </w:r>
          </w:p>
        </w:tc>
      </w:tr>
    </w:tbl>
    <w:p w:rsidR="00CB3E60" w:rsidRDefault="00CB3E60" w:rsidP="00CB3E60">
      <w:pPr>
        <w:spacing w:after="0" w:line="240" w:lineRule="auto"/>
        <w:rPr>
          <w:sz w:val="20"/>
        </w:rPr>
      </w:pPr>
      <w:r w:rsidRPr="00AF0716">
        <w:rPr>
          <w:sz w:val="20"/>
        </w:rPr>
        <w:t xml:space="preserve">Notes: </w:t>
      </w:r>
      <w:r>
        <w:rPr>
          <w:sz w:val="20"/>
        </w:rPr>
        <w:t>The c</w:t>
      </w:r>
      <w:r w:rsidRPr="00AF0716">
        <w:rPr>
          <w:sz w:val="20"/>
        </w:rPr>
        <w:t>ounterfactual is what was expected based on existing trends</w:t>
      </w:r>
      <w:r>
        <w:rPr>
          <w:sz w:val="20"/>
        </w:rPr>
        <w:t>;</w:t>
      </w:r>
      <w:r w:rsidRPr="00AF0716">
        <w:rPr>
          <w:sz w:val="20"/>
        </w:rPr>
        <w:t xml:space="preserve"> </w:t>
      </w:r>
      <w:r>
        <w:rPr>
          <w:sz w:val="20"/>
        </w:rPr>
        <w:t>a</w:t>
      </w:r>
      <w:r w:rsidRPr="00AF0716">
        <w:rPr>
          <w:sz w:val="20"/>
        </w:rPr>
        <w:t xml:space="preserve">d valorem equivalent (AVE) </w:t>
      </w:r>
      <w:r>
        <w:rPr>
          <w:sz w:val="20"/>
        </w:rPr>
        <w:t>wa</w:t>
      </w:r>
      <w:r w:rsidRPr="00AF0716">
        <w:rPr>
          <w:sz w:val="20"/>
        </w:rPr>
        <w:t>s calculated by applying excise rates to import unit values (NZ$/L). Price data w</w:t>
      </w:r>
      <w:r>
        <w:rPr>
          <w:sz w:val="20"/>
        </w:rPr>
        <w:t>ere</w:t>
      </w:r>
      <w:r w:rsidRPr="00AF0716">
        <w:rPr>
          <w:sz w:val="20"/>
        </w:rPr>
        <w:t xml:space="preserve"> provided by the Cook Islands Statistics Division, MFEM. Time series difference estimates were adjusted for autocorrelation, </w:t>
      </w:r>
      <w:r>
        <w:rPr>
          <w:sz w:val="20"/>
        </w:rPr>
        <w:t>international visitor</w:t>
      </w:r>
      <w:r w:rsidRPr="00AF0716">
        <w:rPr>
          <w:sz w:val="20"/>
        </w:rPr>
        <w:t xml:space="preserve">s, GDP per capita and season. </w:t>
      </w:r>
    </w:p>
    <w:p w:rsidR="00CB3E60" w:rsidRDefault="00CB3E60" w:rsidP="00CB3E60">
      <w:pPr>
        <w:spacing w:after="0" w:line="240" w:lineRule="auto"/>
        <w:rPr>
          <w:sz w:val="20"/>
        </w:rPr>
      </w:pPr>
    </w:p>
    <w:p w:rsidR="00CB3E60" w:rsidRPr="00AF0716" w:rsidRDefault="00CB3E60" w:rsidP="00CB3E60">
      <w:pPr>
        <w:spacing w:after="0" w:line="240" w:lineRule="auto"/>
        <w:rPr>
          <w:sz w:val="20"/>
        </w:rPr>
      </w:pPr>
    </w:p>
    <w:p w:rsidR="0059065F" w:rsidRDefault="0059065F">
      <w:pPr>
        <w:spacing w:after="200"/>
        <w:rPr>
          <w:b/>
        </w:rPr>
      </w:pPr>
      <w:r>
        <w:rPr>
          <w:b/>
        </w:rPr>
        <w:br w:type="page"/>
      </w:r>
    </w:p>
    <w:p w:rsidR="00CB3E60" w:rsidRPr="00AF0716" w:rsidRDefault="00CB3E60" w:rsidP="00CB3E60">
      <w:pPr>
        <w:spacing w:after="0" w:line="240" w:lineRule="auto"/>
      </w:pPr>
      <w:r w:rsidRPr="00AF0716">
        <w:rPr>
          <w:b/>
        </w:rPr>
        <w:lastRenderedPageBreak/>
        <w:t xml:space="preserve">Table </w:t>
      </w:r>
      <w:r w:rsidR="009121FC">
        <w:rPr>
          <w:b/>
        </w:rPr>
        <w:t>S</w:t>
      </w:r>
      <w:r>
        <w:rPr>
          <w:b/>
        </w:rPr>
        <w:t>5</w:t>
      </w:r>
      <w:r w:rsidRPr="00AF0716">
        <w:rPr>
          <w:b/>
        </w:rPr>
        <w:t xml:space="preserve">: Impact of SSB tax changes on </w:t>
      </w:r>
      <w:r w:rsidRPr="00EE229A">
        <w:rPr>
          <w:b/>
        </w:rPr>
        <w:t>taxed</w:t>
      </w:r>
      <w:r w:rsidRPr="00AF0716">
        <w:rPr>
          <w:b/>
        </w:rPr>
        <w:t xml:space="preserve"> </w:t>
      </w:r>
      <w:r>
        <w:rPr>
          <w:b/>
        </w:rPr>
        <w:t xml:space="preserve">sweetened </w:t>
      </w:r>
      <w:r w:rsidRPr="00AF0716">
        <w:rPr>
          <w:b/>
        </w:rPr>
        <w:t>beverage</w:t>
      </w:r>
      <w:r>
        <w:rPr>
          <w:b/>
        </w:rPr>
        <w:t>s (HS 2202)</w:t>
      </w:r>
      <w:r w:rsidRPr="00AF0716">
        <w:rPr>
          <w:b/>
        </w:rPr>
        <w:t xml:space="preserve"> import volumes (litres a year per population), Cook Islands 2001-2017</w:t>
      </w:r>
    </w:p>
    <w:tbl>
      <w:tblPr>
        <w:tblStyle w:val="TableGrid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992"/>
        <w:gridCol w:w="914"/>
        <w:gridCol w:w="929"/>
        <w:gridCol w:w="850"/>
        <w:gridCol w:w="1701"/>
        <w:gridCol w:w="1843"/>
        <w:gridCol w:w="1701"/>
      </w:tblGrid>
      <w:tr w:rsidR="00CB3E60" w:rsidRPr="00AF0716" w:rsidTr="005B5968">
        <w:trPr>
          <w:trHeight w:val="27"/>
          <w:tblHeader/>
        </w:trPr>
        <w:tc>
          <w:tcPr>
            <w:tcW w:w="817" w:type="dxa"/>
            <w:tcBorders>
              <w:top w:val="single" w:sz="4" w:space="0" w:color="auto"/>
              <w:bottom w:val="single" w:sz="4" w:space="0" w:color="auto"/>
            </w:tcBorders>
            <w:vAlign w:val="bottom"/>
          </w:tcPr>
          <w:p w:rsidR="00CB3E60" w:rsidRPr="00AF0716" w:rsidRDefault="00CB3E60" w:rsidP="005B5968">
            <w:pPr>
              <w:spacing w:line="276" w:lineRule="auto"/>
              <w:rPr>
                <w:b/>
                <w:sz w:val="16"/>
                <w:szCs w:val="16"/>
              </w:rPr>
            </w:pPr>
            <w:r w:rsidRPr="00AF0716">
              <w:rPr>
                <w:b/>
                <w:sz w:val="16"/>
                <w:szCs w:val="16"/>
              </w:rPr>
              <w:t xml:space="preserve">Date of tax change </w:t>
            </w:r>
          </w:p>
        </w:tc>
        <w:tc>
          <w:tcPr>
            <w:tcW w:w="992" w:type="dxa"/>
            <w:tcBorders>
              <w:top w:val="single" w:sz="4" w:space="0" w:color="auto"/>
              <w:bottom w:val="single" w:sz="4" w:space="0" w:color="auto"/>
            </w:tcBorders>
            <w:vAlign w:val="bottom"/>
          </w:tcPr>
          <w:p w:rsidR="00CB3E60" w:rsidRPr="00AF0716" w:rsidRDefault="00CB3E60" w:rsidP="005B5968">
            <w:pPr>
              <w:spacing w:line="276" w:lineRule="auto"/>
              <w:rPr>
                <w:b/>
                <w:sz w:val="16"/>
                <w:szCs w:val="16"/>
              </w:rPr>
            </w:pPr>
            <w:r w:rsidRPr="00AF0716">
              <w:rPr>
                <w:b/>
                <w:sz w:val="16"/>
                <w:szCs w:val="16"/>
              </w:rPr>
              <w:t xml:space="preserve">Specific </w:t>
            </w:r>
            <w:r>
              <w:rPr>
                <w:b/>
                <w:sz w:val="16"/>
                <w:szCs w:val="16"/>
              </w:rPr>
              <w:t>t</w:t>
            </w:r>
            <w:r w:rsidRPr="00AF0716">
              <w:rPr>
                <w:b/>
                <w:sz w:val="16"/>
                <w:szCs w:val="16"/>
              </w:rPr>
              <w:t>ax changes</w:t>
            </w:r>
          </w:p>
        </w:tc>
        <w:tc>
          <w:tcPr>
            <w:tcW w:w="914" w:type="dxa"/>
            <w:tcBorders>
              <w:top w:val="single" w:sz="4" w:space="0" w:color="auto"/>
              <w:bottom w:val="single" w:sz="4" w:space="0" w:color="auto"/>
            </w:tcBorders>
            <w:vAlign w:val="bottom"/>
          </w:tcPr>
          <w:p w:rsidR="00CB3E60" w:rsidRPr="00AF0716" w:rsidRDefault="00CB3E60" w:rsidP="005B5968">
            <w:pPr>
              <w:spacing w:line="276" w:lineRule="auto"/>
              <w:rPr>
                <w:b/>
                <w:sz w:val="16"/>
                <w:szCs w:val="16"/>
              </w:rPr>
            </w:pPr>
            <w:r w:rsidRPr="00AF0716">
              <w:rPr>
                <w:b/>
                <w:sz w:val="16"/>
                <w:szCs w:val="16"/>
              </w:rPr>
              <w:t>Follow-up period</w:t>
            </w:r>
          </w:p>
        </w:tc>
        <w:tc>
          <w:tcPr>
            <w:tcW w:w="929" w:type="dxa"/>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Observed (L/p/y)</w:t>
            </w:r>
          </w:p>
        </w:tc>
        <w:tc>
          <w:tcPr>
            <w:tcW w:w="850" w:type="dxa"/>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Counter-factual (L/p/y)</w:t>
            </w:r>
          </w:p>
        </w:tc>
        <w:tc>
          <w:tcPr>
            <w:tcW w:w="1701" w:type="dxa"/>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Absolute difference</w:t>
            </w:r>
          </w:p>
          <w:p w:rsidR="00CB3E60" w:rsidRPr="00AF0716" w:rsidRDefault="00CB3E60" w:rsidP="005B5968">
            <w:pPr>
              <w:spacing w:line="276" w:lineRule="auto"/>
              <w:jc w:val="center"/>
              <w:rPr>
                <w:b/>
                <w:sz w:val="16"/>
                <w:szCs w:val="16"/>
              </w:rPr>
            </w:pPr>
            <w:r w:rsidRPr="00AF0716">
              <w:rPr>
                <w:b/>
                <w:sz w:val="16"/>
                <w:szCs w:val="16"/>
              </w:rPr>
              <w:t>L/p/y (95% CI)</w:t>
            </w:r>
          </w:p>
        </w:tc>
        <w:tc>
          <w:tcPr>
            <w:tcW w:w="1843" w:type="dxa"/>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Percentage change in import volumes</w:t>
            </w:r>
          </w:p>
          <w:p w:rsidR="00CB3E60" w:rsidRPr="00AF0716" w:rsidRDefault="00CB3E60" w:rsidP="005B5968">
            <w:pPr>
              <w:spacing w:line="276" w:lineRule="auto"/>
              <w:jc w:val="center"/>
              <w:rPr>
                <w:b/>
                <w:sz w:val="16"/>
                <w:szCs w:val="16"/>
              </w:rPr>
            </w:pPr>
            <w:r w:rsidRPr="00AF0716">
              <w:rPr>
                <w:b/>
                <w:sz w:val="16"/>
                <w:szCs w:val="16"/>
              </w:rPr>
              <w:t xml:space="preserve"> (95% CI)</w:t>
            </w:r>
          </w:p>
        </w:tc>
        <w:tc>
          <w:tcPr>
            <w:tcW w:w="1701" w:type="dxa"/>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Estimated elasticity</w:t>
            </w:r>
          </w:p>
        </w:tc>
      </w:tr>
      <w:tr w:rsidR="00CB3E60" w:rsidRPr="00AF0716" w:rsidTr="005B5968">
        <w:trPr>
          <w:trHeight w:val="357"/>
        </w:trPr>
        <w:tc>
          <w:tcPr>
            <w:tcW w:w="817" w:type="dxa"/>
            <w:vMerge w:val="restart"/>
            <w:tcBorders>
              <w:top w:val="single"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13 August</w:t>
            </w:r>
          </w:p>
          <w:p w:rsidR="00CB3E60" w:rsidRPr="00AF0716" w:rsidRDefault="00CB3E60" w:rsidP="005B5968">
            <w:pPr>
              <w:spacing w:line="276" w:lineRule="auto"/>
              <w:rPr>
                <w:rFonts w:cs="Arial"/>
                <w:b/>
                <w:bCs/>
                <w:sz w:val="16"/>
                <w:szCs w:val="16"/>
              </w:rPr>
            </w:pPr>
            <w:r w:rsidRPr="00AF0716">
              <w:rPr>
                <w:rFonts w:cs="Arial"/>
                <w:b/>
                <w:bCs/>
                <w:sz w:val="16"/>
                <w:szCs w:val="16"/>
              </w:rPr>
              <w:t>2008</w:t>
            </w:r>
          </w:p>
        </w:tc>
        <w:tc>
          <w:tcPr>
            <w:tcW w:w="992" w:type="dxa"/>
            <w:vMerge w:val="restart"/>
            <w:tcBorders>
              <w:top w:val="single"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tariff 40% →60%</w:t>
            </w:r>
          </w:p>
        </w:tc>
        <w:tc>
          <w:tcPr>
            <w:tcW w:w="914" w:type="dxa"/>
            <w:tcBorders>
              <w:top w:val="single"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First year</w:t>
            </w:r>
          </w:p>
        </w:tc>
        <w:tc>
          <w:tcPr>
            <w:tcW w:w="929" w:type="dxa"/>
            <w:tcBorders>
              <w:top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149.7</w:t>
            </w:r>
          </w:p>
        </w:tc>
        <w:tc>
          <w:tcPr>
            <w:tcW w:w="850" w:type="dxa"/>
            <w:tcBorders>
              <w:top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172.4</w:t>
            </w:r>
          </w:p>
        </w:tc>
        <w:tc>
          <w:tcPr>
            <w:tcW w:w="1701" w:type="dxa"/>
            <w:tcBorders>
              <w:top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-22.7 (-72.4 to 27.2)</w:t>
            </w:r>
          </w:p>
        </w:tc>
        <w:tc>
          <w:tcPr>
            <w:tcW w:w="1843" w:type="dxa"/>
            <w:tcBorders>
              <w:top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-13.2% (-38.1 to 17.8)</w:t>
            </w:r>
          </w:p>
        </w:tc>
        <w:tc>
          <w:tcPr>
            <w:tcW w:w="1701" w:type="dxa"/>
            <w:tcBorders>
              <w:top w:val="single" w:sz="4" w:space="0" w:color="auto"/>
            </w:tcBorders>
          </w:tcPr>
          <w:p w:rsidR="00CB3E60" w:rsidRPr="00AF0716" w:rsidRDefault="00CB3E60" w:rsidP="005B5968">
            <w:pPr>
              <w:jc w:val="center"/>
              <w:rPr>
                <w:rFonts w:ascii="Calibri" w:hAnsi="Calibri"/>
                <w:sz w:val="16"/>
                <w:szCs w:val="16"/>
              </w:rPr>
            </w:pPr>
            <w:r w:rsidRPr="00AF0716">
              <w:rPr>
                <w:rFonts w:ascii="Calibri" w:hAnsi="Calibri"/>
                <w:sz w:val="16"/>
                <w:szCs w:val="16"/>
              </w:rPr>
              <w:t>-0.66 (-1.91 to 0.89)</w:t>
            </w:r>
          </w:p>
        </w:tc>
      </w:tr>
      <w:tr w:rsidR="00CB3E60" w:rsidRPr="00AF0716" w:rsidTr="005B5968">
        <w:trPr>
          <w:trHeight w:val="357"/>
        </w:trPr>
        <w:tc>
          <w:tcPr>
            <w:tcW w:w="817" w:type="dxa"/>
            <w:vMerge/>
          </w:tcPr>
          <w:p w:rsidR="00CB3E60" w:rsidRPr="00AF0716" w:rsidRDefault="00CB3E60" w:rsidP="005B5968">
            <w:pPr>
              <w:spacing w:line="276" w:lineRule="auto"/>
              <w:rPr>
                <w:rFonts w:cs="Arial"/>
                <w:bCs/>
                <w:sz w:val="16"/>
                <w:szCs w:val="16"/>
              </w:rPr>
            </w:pPr>
          </w:p>
        </w:tc>
        <w:tc>
          <w:tcPr>
            <w:tcW w:w="992" w:type="dxa"/>
            <w:vMerge/>
          </w:tcPr>
          <w:p w:rsidR="00CB3E60" w:rsidRPr="00AF0716" w:rsidRDefault="00CB3E60" w:rsidP="005B5968">
            <w:pPr>
              <w:spacing w:line="276" w:lineRule="auto"/>
              <w:rPr>
                <w:rFonts w:cs="Arial"/>
                <w:bCs/>
                <w:sz w:val="16"/>
                <w:szCs w:val="16"/>
              </w:rPr>
            </w:pPr>
          </w:p>
        </w:tc>
        <w:tc>
          <w:tcPr>
            <w:tcW w:w="914" w:type="dxa"/>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929"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153.0</w:t>
            </w:r>
          </w:p>
        </w:tc>
        <w:tc>
          <w:tcPr>
            <w:tcW w:w="850"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194.4</w:t>
            </w:r>
          </w:p>
        </w:tc>
        <w:tc>
          <w:tcPr>
            <w:tcW w:w="1701"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-41.4 (-88.5 to 6.0)</w:t>
            </w:r>
          </w:p>
        </w:tc>
        <w:tc>
          <w:tcPr>
            <w:tcW w:w="1843"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-21.3% (-40.4 to 3.6)</w:t>
            </w:r>
          </w:p>
        </w:tc>
        <w:tc>
          <w:tcPr>
            <w:tcW w:w="1701" w:type="dxa"/>
          </w:tcPr>
          <w:p w:rsidR="00CB3E60" w:rsidRPr="00AF0716" w:rsidRDefault="00CB3E60" w:rsidP="005B5968">
            <w:pPr>
              <w:jc w:val="center"/>
              <w:rPr>
                <w:rFonts w:ascii="Calibri" w:hAnsi="Calibri"/>
                <w:sz w:val="16"/>
                <w:szCs w:val="16"/>
              </w:rPr>
            </w:pPr>
            <w:r w:rsidRPr="00AF0716">
              <w:rPr>
                <w:rFonts w:ascii="Calibri" w:hAnsi="Calibri"/>
                <w:sz w:val="16"/>
                <w:szCs w:val="16"/>
              </w:rPr>
              <w:t>-1.07 (-2.02 to 0.18)</w:t>
            </w:r>
          </w:p>
        </w:tc>
      </w:tr>
      <w:tr w:rsidR="00CB3E60" w:rsidRPr="00AF0716" w:rsidTr="005B5968">
        <w:trPr>
          <w:trHeight w:val="357"/>
        </w:trPr>
        <w:tc>
          <w:tcPr>
            <w:tcW w:w="817" w:type="dxa"/>
            <w:vMerge/>
            <w:tcBorders>
              <w:bottom w:val="dotted" w:sz="4" w:space="0" w:color="auto"/>
            </w:tcBorders>
          </w:tcPr>
          <w:p w:rsidR="00CB3E60" w:rsidRPr="00AF0716" w:rsidRDefault="00CB3E60" w:rsidP="005B5968">
            <w:pPr>
              <w:spacing w:line="276" w:lineRule="auto"/>
              <w:rPr>
                <w:rFonts w:cs="Arial"/>
                <w:bCs/>
                <w:sz w:val="16"/>
                <w:szCs w:val="16"/>
              </w:rPr>
            </w:pPr>
          </w:p>
        </w:tc>
        <w:tc>
          <w:tcPr>
            <w:tcW w:w="992" w:type="dxa"/>
            <w:vMerge/>
            <w:tcBorders>
              <w:bottom w:val="dotted" w:sz="4" w:space="0" w:color="auto"/>
            </w:tcBorders>
          </w:tcPr>
          <w:p w:rsidR="00CB3E60" w:rsidRPr="00AF0716" w:rsidRDefault="00CB3E60" w:rsidP="005B5968">
            <w:pPr>
              <w:spacing w:line="276" w:lineRule="auto"/>
              <w:rPr>
                <w:rFonts w:cs="Arial"/>
                <w:bCs/>
                <w:sz w:val="16"/>
                <w:szCs w:val="16"/>
              </w:rPr>
            </w:pPr>
          </w:p>
        </w:tc>
        <w:tc>
          <w:tcPr>
            <w:tcW w:w="914" w:type="dxa"/>
            <w:tcBorders>
              <w:bottom w:val="dotted"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929" w:type="dxa"/>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151.3</w:t>
            </w:r>
          </w:p>
        </w:tc>
        <w:tc>
          <w:tcPr>
            <w:tcW w:w="850" w:type="dxa"/>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183.4</w:t>
            </w:r>
          </w:p>
        </w:tc>
        <w:tc>
          <w:tcPr>
            <w:tcW w:w="1701" w:type="dxa"/>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-32.1 (-79.3 to 15.4)</w:t>
            </w:r>
          </w:p>
        </w:tc>
        <w:tc>
          <w:tcPr>
            <w:tcW w:w="1843" w:type="dxa"/>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-17.5% (-38.4 to 9.8)</w:t>
            </w:r>
          </w:p>
        </w:tc>
        <w:tc>
          <w:tcPr>
            <w:tcW w:w="1701" w:type="dxa"/>
            <w:tcBorders>
              <w:bottom w:val="dotted" w:sz="4" w:space="0" w:color="auto"/>
            </w:tcBorders>
          </w:tcPr>
          <w:p w:rsidR="00CB3E60" w:rsidRPr="00AF0716" w:rsidRDefault="00CB3E60" w:rsidP="005B5968">
            <w:pPr>
              <w:jc w:val="center"/>
              <w:rPr>
                <w:rFonts w:ascii="Calibri" w:hAnsi="Calibri"/>
                <w:sz w:val="16"/>
                <w:szCs w:val="16"/>
              </w:rPr>
            </w:pPr>
            <w:r w:rsidRPr="00AF0716">
              <w:rPr>
                <w:rFonts w:ascii="Calibri" w:hAnsi="Calibri"/>
                <w:sz w:val="16"/>
                <w:szCs w:val="16"/>
              </w:rPr>
              <w:t>-0.87 (-1.92 to 0.49)</w:t>
            </w:r>
          </w:p>
        </w:tc>
      </w:tr>
      <w:tr w:rsidR="00CB3E60" w:rsidRPr="00AF0716" w:rsidTr="005B5968">
        <w:trPr>
          <w:trHeight w:val="352"/>
        </w:trPr>
        <w:tc>
          <w:tcPr>
            <w:tcW w:w="817" w:type="dxa"/>
            <w:vMerge w:val="restart"/>
            <w:tcBorders>
              <w:top w:val="dotted" w:sz="4" w:space="0" w:color="auto"/>
            </w:tcBorders>
          </w:tcPr>
          <w:p w:rsidR="00CB3E60" w:rsidRPr="00AF0716" w:rsidRDefault="00CB3E60" w:rsidP="005B5968">
            <w:pPr>
              <w:spacing w:line="276" w:lineRule="auto"/>
              <w:rPr>
                <w:rFonts w:cs="Arial"/>
                <w:b/>
                <w:bCs/>
                <w:sz w:val="16"/>
                <w:szCs w:val="16"/>
              </w:rPr>
            </w:pPr>
            <w:r w:rsidRPr="00AF0716">
              <w:rPr>
                <w:rFonts w:cs="Arial"/>
                <w:bCs/>
                <w:sz w:val="16"/>
                <w:szCs w:val="16"/>
              </w:rPr>
              <w:t xml:space="preserve">End July </w:t>
            </w:r>
            <w:r w:rsidRPr="00AF0716">
              <w:rPr>
                <w:rFonts w:cs="Arial"/>
                <w:b/>
                <w:bCs/>
                <w:sz w:val="16"/>
                <w:szCs w:val="16"/>
              </w:rPr>
              <w:t>2012</w:t>
            </w:r>
          </w:p>
        </w:tc>
        <w:tc>
          <w:tcPr>
            <w:tcW w:w="992" w:type="dxa"/>
            <w:vMerge w:val="restart"/>
            <w:tcBorders>
              <w:top w:val="dotted"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tariff 60% →75%</w:t>
            </w:r>
          </w:p>
        </w:tc>
        <w:tc>
          <w:tcPr>
            <w:tcW w:w="914" w:type="dxa"/>
            <w:tcBorders>
              <w:top w:val="dotted"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First year</w:t>
            </w:r>
          </w:p>
        </w:tc>
        <w:tc>
          <w:tcPr>
            <w:tcW w:w="929"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128.2</w:t>
            </w:r>
          </w:p>
        </w:tc>
        <w:tc>
          <w:tcPr>
            <w:tcW w:w="850"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132.1</w:t>
            </w:r>
          </w:p>
        </w:tc>
        <w:tc>
          <w:tcPr>
            <w:tcW w:w="1701"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-3.8 (-70.5 to 62.9)</w:t>
            </w:r>
          </w:p>
        </w:tc>
        <w:tc>
          <w:tcPr>
            <w:tcW w:w="1843"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-2.9% (-41.6 to 72.5)</w:t>
            </w:r>
          </w:p>
        </w:tc>
        <w:tc>
          <w:tcPr>
            <w:tcW w:w="1701" w:type="dxa"/>
            <w:tcBorders>
              <w:top w:val="dotted" w:sz="4" w:space="0" w:color="auto"/>
            </w:tcBorders>
          </w:tcPr>
          <w:p w:rsidR="00CB3E60" w:rsidRPr="00AF0716" w:rsidRDefault="00CB3E60" w:rsidP="005B5968">
            <w:pPr>
              <w:jc w:val="center"/>
              <w:rPr>
                <w:rFonts w:ascii="Calibri" w:hAnsi="Calibri"/>
                <w:sz w:val="16"/>
                <w:szCs w:val="16"/>
              </w:rPr>
            </w:pPr>
            <w:r w:rsidRPr="00AF0716">
              <w:rPr>
                <w:rFonts w:ascii="Calibri" w:hAnsi="Calibri"/>
                <w:sz w:val="16"/>
                <w:szCs w:val="16"/>
              </w:rPr>
              <w:t>-0.19 (-2.77 to 4.83)</w:t>
            </w:r>
          </w:p>
        </w:tc>
      </w:tr>
      <w:tr w:rsidR="00CB3E60" w:rsidRPr="00AF0716" w:rsidTr="005B5968">
        <w:trPr>
          <w:trHeight w:val="352"/>
        </w:trPr>
        <w:tc>
          <w:tcPr>
            <w:tcW w:w="817" w:type="dxa"/>
            <w:vMerge/>
          </w:tcPr>
          <w:p w:rsidR="00CB3E60" w:rsidRPr="00AF0716" w:rsidRDefault="00CB3E60" w:rsidP="005B5968">
            <w:pPr>
              <w:rPr>
                <w:rFonts w:cs="Arial"/>
                <w:bCs/>
                <w:sz w:val="16"/>
                <w:szCs w:val="16"/>
              </w:rPr>
            </w:pPr>
          </w:p>
        </w:tc>
        <w:tc>
          <w:tcPr>
            <w:tcW w:w="992" w:type="dxa"/>
            <w:vMerge/>
          </w:tcPr>
          <w:p w:rsidR="00CB3E60" w:rsidRPr="00AF0716" w:rsidRDefault="00CB3E60" w:rsidP="005B5968">
            <w:pPr>
              <w:rPr>
                <w:rFonts w:cs="Arial"/>
                <w:bCs/>
                <w:sz w:val="16"/>
                <w:szCs w:val="16"/>
              </w:rPr>
            </w:pPr>
          </w:p>
        </w:tc>
        <w:tc>
          <w:tcPr>
            <w:tcW w:w="914" w:type="dxa"/>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929"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140.9</w:t>
            </w:r>
          </w:p>
        </w:tc>
        <w:tc>
          <w:tcPr>
            <w:tcW w:w="850"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131.6</w:t>
            </w:r>
          </w:p>
        </w:tc>
        <w:tc>
          <w:tcPr>
            <w:tcW w:w="1701"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9.3 (-75.6 to 94.0)</w:t>
            </w:r>
          </w:p>
        </w:tc>
        <w:tc>
          <w:tcPr>
            <w:tcW w:w="1843"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7.1% (-40.1 to 150.8)</w:t>
            </w:r>
          </w:p>
        </w:tc>
        <w:tc>
          <w:tcPr>
            <w:tcW w:w="1701" w:type="dxa"/>
          </w:tcPr>
          <w:p w:rsidR="00CB3E60" w:rsidRPr="00AF0716" w:rsidRDefault="00CB3E60" w:rsidP="005B5968">
            <w:pPr>
              <w:jc w:val="center"/>
              <w:rPr>
                <w:rFonts w:ascii="Calibri" w:hAnsi="Calibri"/>
                <w:sz w:val="16"/>
                <w:szCs w:val="16"/>
              </w:rPr>
            </w:pPr>
            <w:r w:rsidRPr="00AF0716">
              <w:rPr>
                <w:rFonts w:ascii="Calibri" w:hAnsi="Calibri"/>
                <w:sz w:val="16"/>
                <w:szCs w:val="16"/>
              </w:rPr>
              <w:t>0.47 (-2.67 to 10.05)</w:t>
            </w:r>
          </w:p>
        </w:tc>
      </w:tr>
      <w:tr w:rsidR="00CB3E60" w:rsidRPr="00AF0716" w:rsidTr="005B5968">
        <w:trPr>
          <w:trHeight w:val="352"/>
        </w:trPr>
        <w:tc>
          <w:tcPr>
            <w:tcW w:w="817" w:type="dxa"/>
            <w:vMerge/>
            <w:tcBorders>
              <w:bottom w:val="dotted" w:sz="4" w:space="0" w:color="auto"/>
            </w:tcBorders>
          </w:tcPr>
          <w:p w:rsidR="00CB3E60" w:rsidRPr="00AF0716" w:rsidRDefault="00CB3E60" w:rsidP="005B5968">
            <w:pPr>
              <w:rPr>
                <w:rFonts w:cs="Arial"/>
                <w:bCs/>
                <w:sz w:val="16"/>
                <w:szCs w:val="16"/>
              </w:rPr>
            </w:pPr>
          </w:p>
        </w:tc>
        <w:tc>
          <w:tcPr>
            <w:tcW w:w="992" w:type="dxa"/>
            <w:vMerge/>
            <w:tcBorders>
              <w:bottom w:val="dotted" w:sz="4" w:space="0" w:color="auto"/>
            </w:tcBorders>
          </w:tcPr>
          <w:p w:rsidR="00CB3E60" w:rsidRPr="00AF0716" w:rsidRDefault="00CB3E60" w:rsidP="005B5968">
            <w:pPr>
              <w:rPr>
                <w:rFonts w:cs="Arial"/>
                <w:bCs/>
                <w:sz w:val="16"/>
                <w:szCs w:val="16"/>
              </w:rPr>
            </w:pPr>
          </w:p>
        </w:tc>
        <w:tc>
          <w:tcPr>
            <w:tcW w:w="914" w:type="dxa"/>
            <w:tcBorders>
              <w:bottom w:val="dotted"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929" w:type="dxa"/>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134.6</w:t>
            </w:r>
          </w:p>
        </w:tc>
        <w:tc>
          <w:tcPr>
            <w:tcW w:w="850" w:type="dxa"/>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131.8</w:t>
            </w:r>
          </w:p>
        </w:tc>
        <w:tc>
          <w:tcPr>
            <w:tcW w:w="1701" w:type="dxa"/>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 (-67.1 to 72.3)</w:t>
            </w:r>
          </w:p>
        </w:tc>
        <w:tc>
          <w:tcPr>
            <w:tcW w:w="1843" w:type="dxa"/>
            <w:tcBorders>
              <w:bottom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2.1% (-36.3 to 99.6)</w:t>
            </w:r>
          </w:p>
        </w:tc>
        <w:tc>
          <w:tcPr>
            <w:tcW w:w="1701" w:type="dxa"/>
            <w:tcBorders>
              <w:bottom w:val="dotted" w:sz="4" w:space="0" w:color="auto"/>
            </w:tcBorders>
          </w:tcPr>
          <w:p w:rsidR="00CB3E60" w:rsidRPr="00AF0716" w:rsidRDefault="00CB3E60" w:rsidP="005B5968">
            <w:pPr>
              <w:jc w:val="center"/>
              <w:rPr>
                <w:rFonts w:ascii="Calibri" w:hAnsi="Calibri"/>
                <w:sz w:val="16"/>
                <w:szCs w:val="16"/>
              </w:rPr>
            </w:pPr>
            <w:r w:rsidRPr="00AF0716">
              <w:rPr>
                <w:rFonts w:ascii="Calibri" w:hAnsi="Calibri"/>
                <w:sz w:val="16"/>
                <w:szCs w:val="16"/>
              </w:rPr>
              <w:t>0.14 (-2.42 to 6.64)</w:t>
            </w:r>
          </w:p>
        </w:tc>
      </w:tr>
      <w:tr w:rsidR="00CB3E60" w:rsidRPr="00AF0716" w:rsidTr="005B5968">
        <w:trPr>
          <w:trHeight w:val="457"/>
        </w:trPr>
        <w:tc>
          <w:tcPr>
            <w:tcW w:w="817" w:type="dxa"/>
            <w:vMerge w:val="restart"/>
            <w:tcBorders>
              <w:top w:val="dotted" w:sz="4" w:space="0" w:color="auto"/>
            </w:tcBorders>
          </w:tcPr>
          <w:p w:rsidR="00CB3E60" w:rsidRPr="00AF0716" w:rsidRDefault="00CB3E60" w:rsidP="005B5968">
            <w:pPr>
              <w:spacing w:line="276" w:lineRule="auto"/>
              <w:rPr>
                <w:rFonts w:cs="Arial"/>
                <w:b/>
                <w:bCs/>
                <w:sz w:val="16"/>
                <w:szCs w:val="16"/>
              </w:rPr>
            </w:pPr>
            <w:r w:rsidRPr="00AF0716">
              <w:rPr>
                <w:rFonts w:cs="Arial"/>
                <w:bCs/>
                <w:sz w:val="16"/>
                <w:szCs w:val="16"/>
              </w:rPr>
              <w:t xml:space="preserve">1 July </w:t>
            </w:r>
            <w:r w:rsidRPr="00AF0716">
              <w:rPr>
                <w:rFonts w:cs="Arial"/>
                <w:b/>
                <w:bCs/>
                <w:sz w:val="16"/>
                <w:szCs w:val="16"/>
              </w:rPr>
              <w:t>2014</w:t>
            </w:r>
          </w:p>
        </w:tc>
        <w:tc>
          <w:tcPr>
            <w:tcW w:w="992" w:type="dxa"/>
            <w:vMerge w:val="restart"/>
            <w:tcBorders>
              <w:top w:val="dotted"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2014 tariff 77% → excise NZ$9.37/kg of sugar content</w:t>
            </w:r>
          </w:p>
        </w:tc>
        <w:tc>
          <w:tcPr>
            <w:tcW w:w="914" w:type="dxa"/>
            <w:tcBorders>
              <w:top w:val="dotted"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First year</w:t>
            </w:r>
          </w:p>
        </w:tc>
        <w:tc>
          <w:tcPr>
            <w:tcW w:w="929"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161.6</w:t>
            </w:r>
          </w:p>
        </w:tc>
        <w:tc>
          <w:tcPr>
            <w:tcW w:w="850"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154.6</w:t>
            </w:r>
          </w:p>
        </w:tc>
        <w:tc>
          <w:tcPr>
            <w:tcW w:w="1701"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7.0 (-91.8 to 106.0)</w:t>
            </w:r>
          </w:p>
        </w:tc>
        <w:tc>
          <w:tcPr>
            <w:tcW w:w="1843" w:type="dxa"/>
            <w:tcBorders>
              <w:top w:val="dotted"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4.5% (-39.5 to 156.0)</w:t>
            </w:r>
          </w:p>
        </w:tc>
        <w:tc>
          <w:tcPr>
            <w:tcW w:w="1701" w:type="dxa"/>
            <w:tcBorders>
              <w:top w:val="dotted" w:sz="4" w:space="0" w:color="auto"/>
            </w:tcBorders>
            <w:shd w:val="clear" w:color="auto" w:fill="auto"/>
          </w:tcPr>
          <w:p w:rsidR="00CB3E60" w:rsidRPr="00AF0716" w:rsidRDefault="00CB3E60" w:rsidP="005B5968">
            <w:pPr>
              <w:jc w:val="center"/>
              <w:rPr>
                <w:rFonts w:ascii="Calibri" w:hAnsi="Calibri"/>
                <w:sz w:val="16"/>
                <w:szCs w:val="16"/>
              </w:rPr>
            </w:pPr>
            <w:r w:rsidRPr="00AF0716">
              <w:rPr>
                <w:rFonts w:ascii="Calibri" w:hAnsi="Calibri"/>
                <w:sz w:val="16"/>
                <w:szCs w:val="16"/>
              </w:rPr>
              <w:t>-0.42 (3.69 to -14.58)</w:t>
            </w:r>
          </w:p>
        </w:tc>
      </w:tr>
      <w:tr w:rsidR="00CB3E60" w:rsidRPr="00AF0716" w:rsidTr="005B5968">
        <w:trPr>
          <w:trHeight w:val="457"/>
        </w:trPr>
        <w:tc>
          <w:tcPr>
            <w:tcW w:w="817" w:type="dxa"/>
            <w:vMerge/>
          </w:tcPr>
          <w:p w:rsidR="00CB3E60" w:rsidRPr="00AF0716" w:rsidRDefault="00CB3E60" w:rsidP="005B5968">
            <w:pPr>
              <w:rPr>
                <w:rFonts w:cs="Arial"/>
                <w:bCs/>
                <w:sz w:val="16"/>
                <w:szCs w:val="16"/>
              </w:rPr>
            </w:pPr>
          </w:p>
        </w:tc>
        <w:tc>
          <w:tcPr>
            <w:tcW w:w="992" w:type="dxa"/>
            <w:vMerge/>
          </w:tcPr>
          <w:p w:rsidR="00CB3E60" w:rsidRPr="00AF0716" w:rsidRDefault="00CB3E60" w:rsidP="005B5968">
            <w:pPr>
              <w:rPr>
                <w:rFonts w:cs="Arial"/>
                <w:bCs/>
                <w:sz w:val="16"/>
                <w:szCs w:val="16"/>
              </w:rPr>
            </w:pPr>
          </w:p>
        </w:tc>
        <w:tc>
          <w:tcPr>
            <w:tcW w:w="914" w:type="dxa"/>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929"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151.2</w:t>
            </w:r>
          </w:p>
        </w:tc>
        <w:tc>
          <w:tcPr>
            <w:tcW w:w="850"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177.5</w:t>
            </w:r>
          </w:p>
        </w:tc>
        <w:tc>
          <w:tcPr>
            <w:tcW w:w="1701"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-26.3 (-176.0 to 123.8)</w:t>
            </w:r>
          </w:p>
        </w:tc>
        <w:tc>
          <w:tcPr>
            <w:tcW w:w="1843" w:type="dxa"/>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-14.8% (-57.6 to 278.1)</w:t>
            </w:r>
          </w:p>
        </w:tc>
        <w:tc>
          <w:tcPr>
            <w:tcW w:w="1701" w:type="dxa"/>
          </w:tcPr>
          <w:p w:rsidR="00CB3E60" w:rsidRPr="00AF0716" w:rsidRDefault="00CB3E60" w:rsidP="005B5968">
            <w:pPr>
              <w:jc w:val="center"/>
              <w:rPr>
                <w:rFonts w:ascii="Calibri" w:hAnsi="Calibri"/>
                <w:sz w:val="16"/>
                <w:szCs w:val="16"/>
              </w:rPr>
            </w:pPr>
            <w:r w:rsidRPr="00AF0716">
              <w:rPr>
                <w:rFonts w:ascii="Calibri" w:hAnsi="Calibri"/>
                <w:sz w:val="16"/>
                <w:szCs w:val="16"/>
              </w:rPr>
              <w:t>1.38 (5.39 to -25.99)</w:t>
            </w:r>
          </w:p>
        </w:tc>
      </w:tr>
      <w:tr w:rsidR="00CB3E60" w:rsidRPr="00AF0716" w:rsidTr="005B5968">
        <w:trPr>
          <w:trHeight w:val="457"/>
        </w:trPr>
        <w:tc>
          <w:tcPr>
            <w:tcW w:w="817" w:type="dxa"/>
            <w:vMerge/>
            <w:tcBorders>
              <w:bottom w:val="single" w:sz="4" w:space="0" w:color="auto"/>
            </w:tcBorders>
          </w:tcPr>
          <w:p w:rsidR="00CB3E60" w:rsidRPr="00AF0716" w:rsidRDefault="00CB3E60" w:rsidP="005B5968">
            <w:pPr>
              <w:rPr>
                <w:rFonts w:cs="Arial"/>
                <w:bCs/>
                <w:sz w:val="16"/>
                <w:szCs w:val="16"/>
              </w:rPr>
            </w:pPr>
          </w:p>
        </w:tc>
        <w:tc>
          <w:tcPr>
            <w:tcW w:w="992" w:type="dxa"/>
            <w:vMerge/>
            <w:tcBorders>
              <w:bottom w:val="single" w:sz="4" w:space="0" w:color="auto"/>
            </w:tcBorders>
          </w:tcPr>
          <w:p w:rsidR="00CB3E60" w:rsidRPr="00AF0716" w:rsidRDefault="00CB3E60" w:rsidP="005B5968">
            <w:pPr>
              <w:rPr>
                <w:rFonts w:cs="Arial"/>
                <w:bCs/>
                <w:sz w:val="16"/>
                <w:szCs w:val="16"/>
              </w:rPr>
            </w:pPr>
          </w:p>
        </w:tc>
        <w:tc>
          <w:tcPr>
            <w:tcW w:w="914" w:type="dxa"/>
            <w:tcBorders>
              <w:bottom w:val="single" w:sz="4" w:space="0" w:color="auto"/>
            </w:tcBorders>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929" w:type="dxa"/>
            <w:tcBorders>
              <w:bottom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156.4</w:t>
            </w:r>
          </w:p>
        </w:tc>
        <w:tc>
          <w:tcPr>
            <w:tcW w:w="850" w:type="dxa"/>
            <w:tcBorders>
              <w:bottom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166.0</w:t>
            </w:r>
          </w:p>
        </w:tc>
        <w:tc>
          <w:tcPr>
            <w:tcW w:w="1701" w:type="dxa"/>
            <w:tcBorders>
              <w:bottom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-9.6 (-132.1 to 112.4)</w:t>
            </w:r>
          </w:p>
        </w:tc>
        <w:tc>
          <w:tcPr>
            <w:tcW w:w="1843" w:type="dxa"/>
            <w:tcBorders>
              <w:bottom w:val="single" w:sz="4" w:space="0" w:color="auto"/>
            </w:tcBorders>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-5.8% (-47.8 to 216.7)</w:t>
            </w:r>
          </w:p>
        </w:tc>
        <w:tc>
          <w:tcPr>
            <w:tcW w:w="1701" w:type="dxa"/>
            <w:tcBorders>
              <w:bottom w:val="single" w:sz="4" w:space="0" w:color="auto"/>
            </w:tcBorders>
          </w:tcPr>
          <w:p w:rsidR="00CB3E60" w:rsidRPr="00AF0716" w:rsidRDefault="00CB3E60" w:rsidP="005B5968">
            <w:pPr>
              <w:jc w:val="center"/>
              <w:rPr>
                <w:rFonts w:ascii="Calibri" w:hAnsi="Calibri"/>
                <w:sz w:val="16"/>
                <w:szCs w:val="16"/>
              </w:rPr>
            </w:pPr>
            <w:r w:rsidRPr="00AF0716">
              <w:rPr>
                <w:rFonts w:ascii="Calibri" w:hAnsi="Calibri"/>
                <w:sz w:val="16"/>
                <w:szCs w:val="16"/>
              </w:rPr>
              <w:t>0.54 (4.47 to -20.25)</w:t>
            </w:r>
          </w:p>
        </w:tc>
      </w:tr>
    </w:tbl>
    <w:p w:rsidR="00CB3E60" w:rsidRPr="00AF0716" w:rsidRDefault="00CB3E60" w:rsidP="00CB3E60">
      <w:pPr>
        <w:spacing w:after="0"/>
        <w:rPr>
          <w:sz w:val="20"/>
        </w:rPr>
      </w:pPr>
      <w:r w:rsidRPr="00AF0716">
        <w:rPr>
          <w:sz w:val="20"/>
        </w:rPr>
        <w:t>Note</w:t>
      </w:r>
      <w:r>
        <w:rPr>
          <w:sz w:val="20"/>
        </w:rPr>
        <w:t>s</w:t>
      </w:r>
      <w:r w:rsidRPr="00AF0716">
        <w:rPr>
          <w:sz w:val="20"/>
        </w:rPr>
        <w:t xml:space="preserve">: Results are calculated from a </w:t>
      </w:r>
      <w:r>
        <w:rPr>
          <w:sz w:val="20"/>
        </w:rPr>
        <w:t>generalised least squares</w:t>
      </w:r>
      <w:r w:rsidRPr="00AF0716">
        <w:rPr>
          <w:sz w:val="20"/>
        </w:rPr>
        <w:t xml:space="preserve"> model, with Monte Carlo simulation of model outputs and their errors to calculate 95% confidence intervals for the rate difference (RD) and the percentage change (%) compared to baseline. Outcome measures are adjusted for autocorrelation, </w:t>
      </w:r>
      <w:r>
        <w:rPr>
          <w:sz w:val="20"/>
        </w:rPr>
        <w:t>international visitor</w:t>
      </w:r>
      <w:r w:rsidRPr="00AF0716">
        <w:rPr>
          <w:sz w:val="20"/>
        </w:rPr>
        <w:t xml:space="preserve"> numbers (Statistics Division, MFEM), GDP per capita and season. Elasticity = % change / tax change. </w:t>
      </w:r>
    </w:p>
    <w:p w:rsidR="00CB3E60" w:rsidRDefault="00CB3E60" w:rsidP="00CB3E60">
      <w:pPr>
        <w:spacing w:after="0"/>
      </w:pPr>
    </w:p>
    <w:p w:rsidR="00CB3E60" w:rsidRPr="00AF0716" w:rsidRDefault="00CB3E60" w:rsidP="00CB3E60">
      <w:pPr>
        <w:spacing w:after="0"/>
        <w:rPr>
          <w:rFonts w:asciiTheme="majorHAnsi" w:eastAsiaTheme="majorEastAsia" w:hAnsiTheme="majorHAnsi" w:cstheme="majorBidi"/>
          <w:b/>
          <w:bCs/>
          <w:color w:val="4F81BD" w:themeColor="accent1"/>
        </w:rPr>
        <w:sectPr w:rsidR="00CB3E60" w:rsidRPr="00AF0716" w:rsidSect="00666125">
          <w:headerReference w:type="default" r:id="rId11"/>
          <w:footerReference w:type="even" r:id="rId12"/>
          <w:footerReference w:type="default" r:id="rId13"/>
          <w:pgSz w:w="11909" w:h="16834"/>
          <w:pgMar w:top="1440" w:right="1440" w:bottom="1440" w:left="1440" w:header="539" w:footer="720" w:gutter="0"/>
          <w:cols w:space="720"/>
          <w:docGrid w:linePitch="360"/>
        </w:sectPr>
      </w:pPr>
    </w:p>
    <w:p w:rsidR="00CB3E60" w:rsidRPr="00AF0716" w:rsidRDefault="00CB3E60" w:rsidP="00CB3E60">
      <w:pPr>
        <w:spacing w:after="0" w:line="240" w:lineRule="auto"/>
      </w:pPr>
      <w:r w:rsidRPr="00AF0716">
        <w:rPr>
          <w:b/>
        </w:rPr>
        <w:lastRenderedPageBreak/>
        <w:t xml:space="preserve">Table </w:t>
      </w:r>
      <w:r w:rsidR="009121FC">
        <w:rPr>
          <w:b/>
        </w:rPr>
        <w:t>S</w:t>
      </w:r>
      <w:r>
        <w:rPr>
          <w:b/>
        </w:rPr>
        <w:t>6</w:t>
      </w:r>
      <w:r w:rsidRPr="00AF0716">
        <w:rPr>
          <w:b/>
        </w:rPr>
        <w:t xml:space="preserve">: Impact of SSB tax changes on </w:t>
      </w:r>
      <w:r w:rsidRPr="00EE229A">
        <w:rPr>
          <w:b/>
        </w:rPr>
        <w:t>untaxed</w:t>
      </w:r>
      <w:r w:rsidRPr="00AF0716">
        <w:rPr>
          <w:b/>
        </w:rPr>
        <w:t xml:space="preserve"> beverage import volumes (litres a year per person) to test for potential substitution, Cook Islands 2001-2017</w:t>
      </w:r>
    </w:p>
    <w:tbl>
      <w:tblPr>
        <w:tblStyle w:val="TableGrid1"/>
        <w:tblW w:w="10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1832"/>
        <w:gridCol w:w="1145"/>
        <w:gridCol w:w="861"/>
        <w:gridCol w:w="839"/>
        <w:gridCol w:w="1700"/>
        <w:gridCol w:w="1835"/>
        <w:gridCol w:w="1692"/>
      </w:tblGrid>
      <w:tr w:rsidR="00CB3E60" w:rsidRPr="00AF0716" w:rsidTr="005B5968">
        <w:trPr>
          <w:trHeight w:val="59"/>
          <w:tblHeader/>
        </w:trPr>
        <w:tc>
          <w:tcPr>
            <w:tcW w:w="819" w:type="dxa"/>
            <w:tcBorders>
              <w:top w:val="single" w:sz="4" w:space="0" w:color="auto"/>
              <w:bottom w:val="single" w:sz="4" w:space="0" w:color="auto"/>
            </w:tcBorders>
            <w:vAlign w:val="bottom"/>
          </w:tcPr>
          <w:p w:rsidR="00CB3E60" w:rsidRPr="00AF0716" w:rsidRDefault="00CB3E60" w:rsidP="005B5968">
            <w:pPr>
              <w:spacing w:line="276" w:lineRule="auto"/>
              <w:rPr>
                <w:b/>
                <w:sz w:val="16"/>
                <w:szCs w:val="16"/>
              </w:rPr>
            </w:pPr>
            <w:r w:rsidRPr="00AF0716">
              <w:rPr>
                <w:b/>
                <w:sz w:val="16"/>
                <w:szCs w:val="16"/>
              </w:rPr>
              <w:t>Date of tax change</w:t>
            </w:r>
          </w:p>
        </w:tc>
        <w:tc>
          <w:tcPr>
            <w:tcW w:w="1832" w:type="dxa"/>
            <w:tcBorders>
              <w:top w:val="single" w:sz="4" w:space="0" w:color="auto"/>
              <w:bottom w:val="single" w:sz="4" w:space="0" w:color="auto"/>
            </w:tcBorders>
            <w:vAlign w:val="bottom"/>
          </w:tcPr>
          <w:p w:rsidR="00CB3E60" w:rsidRPr="00AF0716" w:rsidRDefault="00CB3E60" w:rsidP="005B5968">
            <w:pPr>
              <w:spacing w:line="276" w:lineRule="auto"/>
              <w:rPr>
                <w:b/>
                <w:sz w:val="16"/>
                <w:szCs w:val="16"/>
              </w:rPr>
            </w:pPr>
            <w:r w:rsidRPr="00AF0716">
              <w:rPr>
                <w:b/>
                <w:sz w:val="16"/>
                <w:szCs w:val="16"/>
              </w:rPr>
              <w:t>Beverage category (codes)</w:t>
            </w:r>
          </w:p>
        </w:tc>
        <w:tc>
          <w:tcPr>
            <w:tcW w:w="1145" w:type="dxa"/>
            <w:tcBorders>
              <w:top w:val="single" w:sz="4" w:space="0" w:color="auto"/>
              <w:bottom w:val="single" w:sz="4" w:space="0" w:color="auto"/>
            </w:tcBorders>
            <w:vAlign w:val="bottom"/>
          </w:tcPr>
          <w:p w:rsidR="00CB3E60" w:rsidRPr="00AF0716" w:rsidRDefault="00CB3E60" w:rsidP="005B5968">
            <w:pPr>
              <w:spacing w:line="276" w:lineRule="auto"/>
              <w:rPr>
                <w:b/>
                <w:sz w:val="16"/>
                <w:szCs w:val="16"/>
              </w:rPr>
            </w:pPr>
            <w:r w:rsidRPr="00AF0716">
              <w:rPr>
                <w:b/>
                <w:sz w:val="16"/>
                <w:szCs w:val="16"/>
              </w:rPr>
              <w:t>Follow-up period</w:t>
            </w:r>
          </w:p>
        </w:tc>
        <w:tc>
          <w:tcPr>
            <w:tcW w:w="861" w:type="dxa"/>
            <w:tcBorders>
              <w:top w:val="single" w:sz="4" w:space="0" w:color="auto"/>
              <w:bottom w:val="single" w:sz="4" w:space="0" w:color="auto"/>
            </w:tcBorders>
            <w:vAlign w:val="bottom"/>
          </w:tcPr>
          <w:p w:rsidR="00CB3E60" w:rsidRPr="00AF0716" w:rsidRDefault="00CB3E60" w:rsidP="005B5968">
            <w:pPr>
              <w:spacing w:line="276" w:lineRule="auto"/>
              <w:rPr>
                <w:b/>
                <w:sz w:val="16"/>
                <w:szCs w:val="16"/>
              </w:rPr>
            </w:pPr>
            <w:r w:rsidRPr="00AF0716">
              <w:rPr>
                <w:b/>
                <w:sz w:val="16"/>
                <w:szCs w:val="16"/>
              </w:rPr>
              <w:t>Observed (L/p/yr)</w:t>
            </w:r>
          </w:p>
        </w:tc>
        <w:tc>
          <w:tcPr>
            <w:tcW w:w="839" w:type="dxa"/>
            <w:tcBorders>
              <w:top w:val="single" w:sz="4" w:space="0" w:color="auto"/>
              <w:bottom w:val="single" w:sz="4" w:space="0" w:color="auto"/>
            </w:tcBorders>
            <w:vAlign w:val="bottom"/>
          </w:tcPr>
          <w:p w:rsidR="00CB3E60" w:rsidRPr="00AF0716" w:rsidRDefault="00CB3E60" w:rsidP="005B5968">
            <w:pPr>
              <w:spacing w:line="276" w:lineRule="auto"/>
              <w:rPr>
                <w:b/>
                <w:sz w:val="16"/>
                <w:szCs w:val="16"/>
              </w:rPr>
            </w:pPr>
            <w:r w:rsidRPr="00AF0716">
              <w:rPr>
                <w:b/>
                <w:sz w:val="16"/>
                <w:szCs w:val="16"/>
              </w:rPr>
              <w:t>Counter-factual (L/p/yr)</w:t>
            </w:r>
          </w:p>
        </w:tc>
        <w:tc>
          <w:tcPr>
            <w:tcW w:w="1700" w:type="dxa"/>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Absolute difference</w:t>
            </w:r>
          </w:p>
          <w:p w:rsidR="00CB3E60" w:rsidRPr="00AF0716" w:rsidRDefault="00CB3E60" w:rsidP="005B5968">
            <w:pPr>
              <w:spacing w:line="276" w:lineRule="auto"/>
              <w:jc w:val="center"/>
              <w:rPr>
                <w:b/>
                <w:sz w:val="16"/>
                <w:szCs w:val="16"/>
              </w:rPr>
            </w:pPr>
            <w:r w:rsidRPr="00AF0716">
              <w:rPr>
                <w:b/>
                <w:sz w:val="16"/>
                <w:szCs w:val="16"/>
              </w:rPr>
              <w:t>L/p/yr (95% CI)</w:t>
            </w:r>
          </w:p>
        </w:tc>
        <w:tc>
          <w:tcPr>
            <w:tcW w:w="1835" w:type="dxa"/>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Percentage change</w:t>
            </w:r>
          </w:p>
          <w:p w:rsidR="00CB3E60" w:rsidRPr="00AF0716" w:rsidRDefault="00CB3E60" w:rsidP="005B5968">
            <w:pPr>
              <w:spacing w:line="276" w:lineRule="auto"/>
              <w:jc w:val="center"/>
              <w:rPr>
                <w:b/>
                <w:sz w:val="16"/>
                <w:szCs w:val="16"/>
              </w:rPr>
            </w:pPr>
            <w:r w:rsidRPr="00AF0716">
              <w:rPr>
                <w:b/>
                <w:sz w:val="16"/>
                <w:szCs w:val="16"/>
              </w:rPr>
              <w:t xml:space="preserve"> (95% CI)</w:t>
            </w:r>
          </w:p>
        </w:tc>
        <w:tc>
          <w:tcPr>
            <w:tcW w:w="1692" w:type="dxa"/>
            <w:tcBorders>
              <w:top w:val="single" w:sz="4" w:space="0" w:color="auto"/>
              <w:bottom w:val="single" w:sz="4" w:space="0" w:color="auto"/>
            </w:tcBorders>
            <w:vAlign w:val="bottom"/>
          </w:tcPr>
          <w:p w:rsidR="00CB3E60" w:rsidRPr="00AF0716" w:rsidRDefault="00CB3E60" w:rsidP="005B5968">
            <w:pPr>
              <w:spacing w:line="276" w:lineRule="auto"/>
              <w:jc w:val="center"/>
              <w:rPr>
                <w:b/>
                <w:sz w:val="16"/>
                <w:szCs w:val="16"/>
              </w:rPr>
            </w:pPr>
            <w:r w:rsidRPr="00AF0716">
              <w:rPr>
                <w:b/>
                <w:sz w:val="16"/>
                <w:szCs w:val="16"/>
              </w:rPr>
              <w:t>Cross price elasticity</w:t>
            </w:r>
          </w:p>
        </w:tc>
      </w:tr>
      <w:tr w:rsidR="00CB3E60" w:rsidRPr="00AF0716" w:rsidTr="005B5968">
        <w:trPr>
          <w:trHeight w:val="59"/>
        </w:trPr>
        <w:tc>
          <w:tcPr>
            <w:tcW w:w="819" w:type="dxa"/>
            <w:vMerge w:val="restart"/>
            <w:tcBorders>
              <w:top w:val="single" w:sz="4" w:space="0" w:color="auto"/>
            </w:tcBorders>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13 August</w:t>
            </w:r>
          </w:p>
          <w:p w:rsidR="00CB3E60" w:rsidRPr="00AF0716" w:rsidRDefault="00CB3E60" w:rsidP="005B5968">
            <w:pPr>
              <w:spacing w:line="276" w:lineRule="auto"/>
              <w:rPr>
                <w:rFonts w:cs="Arial"/>
                <w:b/>
                <w:bCs/>
                <w:sz w:val="16"/>
                <w:szCs w:val="16"/>
              </w:rPr>
            </w:pPr>
            <w:r w:rsidRPr="00AF0716">
              <w:rPr>
                <w:rFonts w:cs="Arial"/>
                <w:b/>
                <w:bCs/>
                <w:sz w:val="16"/>
                <w:szCs w:val="16"/>
              </w:rPr>
              <w:t>2008</w:t>
            </w:r>
          </w:p>
          <w:p w:rsidR="00CB3E60" w:rsidRPr="00AF0716" w:rsidRDefault="00CB3E60" w:rsidP="005B5968">
            <w:pPr>
              <w:spacing w:line="276" w:lineRule="auto"/>
              <w:rPr>
                <w:rFonts w:cs="Arial"/>
                <w:b/>
                <w:bCs/>
                <w:sz w:val="16"/>
                <w:szCs w:val="16"/>
              </w:rPr>
            </w:pPr>
          </w:p>
        </w:tc>
        <w:tc>
          <w:tcPr>
            <w:tcW w:w="1832" w:type="dxa"/>
            <w:vMerge w:val="restart"/>
            <w:tcBorders>
              <w:top w:val="single" w:sz="4" w:space="0" w:color="auto"/>
            </w:tcBorders>
            <w:shd w:val="clear" w:color="auto" w:fill="auto"/>
          </w:tcPr>
          <w:p w:rsidR="00CB3E60" w:rsidRPr="00AF0716" w:rsidRDefault="00CB3E60" w:rsidP="005B5968">
            <w:pPr>
              <w:spacing w:line="276" w:lineRule="auto"/>
              <w:rPr>
                <w:sz w:val="16"/>
                <w:szCs w:val="16"/>
              </w:rPr>
            </w:pPr>
            <w:r w:rsidRPr="00AF0716">
              <w:rPr>
                <w:sz w:val="16"/>
                <w:szCs w:val="16"/>
              </w:rPr>
              <w:t xml:space="preserve">Milk </w:t>
            </w:r>
          </w:p>
          <w:p w:rsidR="00CB3E60" w:rsidRPr="00AF0716" w:rsidRDefault="00CB3E60" w:rsidP="005B5968">
            <w:pPr>
              <w:spacing w:line="276" w:lineRule="auto"/>
              <w:rPr>
                <w:sz w:val="16"/>
                <w:szCs w:val="16"/>
              </w:rPr>
            </w:pPr>
            <w:r w:rsidRPr="00AF0716">
              <w:rPr>
                <w:sz w:val="16"/>
                <w:szCs w:val="16"/>
              </w:rPr>
              <w:t xml:space="preserve">HS 0401.10 &amp; 0401.20 </w:t>
            </w:r>
          </w:p>
        </w:tc>
        <w:tc>
          <w:tcPr>
            <w:tcW w:w="1145" w:type="dxa"/>
            <w:tcBorders>
              <w:top w:val="single" w:sz="4" w:space="0" w:color="auto"/>
            </w:tcBorders>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First year</w:t>
            </w:r>
          </w:p>
        </w:tc>
        <w:tc>
          <w:tcPr>
            <w:tcW w:w="861" w:type="dxa"/>
            <w:tcBorders>
              <w:top w:val="single"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26.8</w:t>
            </w:r>
          </w:p>
        </w:tc>
        <w:tc>
          <w:tcPr>
            <w:tcW w:w="839" w:type="dxa"/>
            <w:tcBorders>
              <w:top w:val="single"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28.2</w:t>
            </w:r>
          </w:p>
        </w:tc>
        <w:tc>
          <w:tcPr>
            <w:tcW w:w="1700" w:type="dxa"/>
            <w:tcBorders>
              <w:top w:val="single"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-1.4 (-4.0 to 1.2)</w:t>
            </w:r>
          </w:p>
        </w:tc>
        <w:tc>
          <w:tcPr>
            <w:tcW w:w="1835" w:type="dxa"/>
            <w:tcBorders>
              <w:top w:val="single"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-5.0% (-13.6 to 4.5)</w:t>
            </w:r>
          </w:p>
        </w:tc>
        <w:tc>
          <w:tcPr>
            <w:tcW w:w="1692" w:type="dxa"/>
            <w:tcBorders>
              <w:top w:val="single" w:sz="4" w:space="0" w:color="auto"/>
            </w:tcBorders>
          </w:tcPr>
          <w:p w:rsidR="00CB3E60" w:rsidRPr="00AF0716" w:rsidRDefault="00CB3E60" w:rsidP="005B5968">
            <w:pPr>
              <w:jc w:val="center"/>
              <w:rPr>
                <w:rFonts w:ascii="Calibri" w:hAnsi="Calibri"/>
                <w:sz w:val="16"/>
                <w:szCs w:val="16"/>
              </w:rPr>
            </w:pPr>
            <w:r w:rsidRPr="00AF0716">
              <w:rPr>
                <w:rFonts w:ascii="Calibri" w:hAnsi="Calibri"/>
                <w:sz w:val="16"/>
                <w:szCs w:val="16"/>
              </w:rPr>
              <w:t>-0.25 (-0.68 to 0.22)</w:t>
            </w:r>
          </w:p>
        </w:tc>
      </w:tr>
      <w:tr w:rsidR="00CB3E60" w:rsidRPr="00AF0716" w:rsidTr="005B5968">
        <w:trPr>
          <w:trHeight w:val="59"/>
        </w:trPr>
        <w:tc>
          <w:tcPr>
            <w:tcW w:w="819" w:type="dxa"/>
            <w:vMerge/>
            <w:shd w:val="clear" w:color="auto" w:fill="auto"/>
          </w:tcPr>
          <w:p w:rsidR="00CB3E60" w:rsidRPr="00AF0716" w:rsidRDefault="00CB3E60" w:rsidP="005B5968">
            <w:pPr>
              <w:spacing w:line="276" w:lineRule="auto"/>
              <w:rPr>
                <w:rFonts w:cs="Arial"/>
                <w:bCs/>
                <w:sz w:val="16"/>
                <w:szCs w:val="16"/>
              </w:rPr>
            </w:pPr>
          </w:p>
        </w:tc>
        <w:tc>
          <w:tcPr>
            <w:tcW w:w="1832" w:type="dxa"/>
            <w:vMerge/>
            <w:shd w:val="clear" w:color="auto" w:fill="auto"/>
          </w:tcPr>
          <w:p w:rsidR="00CB3E60" w:rsidRPr="00AF0716" w:rsidRDefault="00CB3E60" w:rsidP="005B5968">
            <w:pPr>
              <w:spacing w:line="276" w:lineRule="auto"/>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28.7</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31.0</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-2.2 (-4.2 to -0.2)</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-7.2% (-12.9 to -0.8)</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-0.36 (-0.64 to -0.04)</w:t>
            </w:r>
          </w:p>
        </w:tc>
      </w:tr>
      <w:tr w:rsidR="00CB3E60" w:rsidRPr="00AF0716" w:rsidTr="005B5968">
        <w:trPr>
          <w:trHeight w:val="59"/>
        </w:trPr>
        <w:tc>
          <w:tcPr>
            <w:tcW w:w="819" w:type="dxa"/>
            <w:vMerge/>
            <w:shd w:val="clear" w:color="auto" w:fill="auto"/>
          </w:tcPr>
          <w:p w:rsidR="00CB3E60" w:rsidRPr="00AF0716" w:rsidRDefault="00CB3E60" w:rsidP="005B5968">
            <w:pPr>
              <w:spacing w:line="276" w:lineRule="auto"/>
              <w:rPr>
                <w:rFonts w:cs="Arial"/>
                <w:bCs/>
                <w:sz w:val="16"/>
                <w:szCs w:val="16"/>
              </w:rPr>
            </w:pPr>
          </w:p>
        </w:tc>
        <w:tc>
          <w:tcPr>
            <w:tcW w:w="1832" w:type="dxa"/>
            <w:vMerge/>
            <w:shd w:val="clear" w:color="auto" w:fill="auto"/>
          </w:tcPr>
          <w:p w:rsidR="00CB3E60" w:rsidRPr="00AF0716" w:rsidRDefault="00CB3E60" w:rsidP="005B5968">
            <w:pPr>
              <w:spacing w:line="276" w:lineRule="auto"/>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27.8</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29.6</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-1.8 (-4.1 to 0.4)</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-6.2% (-13.1 to 1.6)</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-0.31 (-0.65 to 0.08)</w:t>
            </w:r>
          </w:p>
        </w:tc>
      </w:tr>
      <w:tr w:rsidR="00CB3E60" w:rsidRPr="00AF0716" w:rsidTr="005B5968">
        <w:trPr>
          <w:trHeight w:val="59"/>
        </w:trPr>
        <w:tc>
          <w:tcPr>
            <w:tcW w:w="819" w:type="dxa"/>
            <w:vMerge/>
            <w:shd w:val="clear" w:color="auto" w:fill="auto"/>
          </w:tcPr>
          <w:p w:rsidR="00CB3E60" w:rsidRPr="00AF0716" w:rsidRDefault="00CB3E60" w:rsidP="005B5968">
            <w:pPr>
              <w:spacing w:line="276" w:lineRule="auto"/>
              <w:rPr>
                <w:rFonts w:cs="Arial"/>
                <w:bCs/>
                <w:sz w:val="16"/>
                <w:szCs w:val="16"/>
              </w:rPr>
            </w:pPr>
          </w:p>
        </w:tc>
        <w:tc>
          <w:tcPr>
            <w:tcW w:w="1832" w:type="dxa"/>
            <w:vMerge w:val="restart"/>
            <w:shd w:val="clear" w:color="auto" w:fill="auto"/>
          </w:tcPr>
          <w:p w:rsidR="00CB3E60" w:rsidRPr="00AF0716" w:rsidRDefault="00CB3E60" w:rsidP="005B5968">
            <w:pPr>
              <w:spacing w:line="276" w:lineRule="auto"/>
              <w:rPr>
                <w:sz w:val="16"/>
                <w:szCs w:val="16"/>
              </w:rPr>
            </w:pPr>
            <w:r w:rsidRPr="00AF0716">
              <w:rPr>
                <w:sz w:val="16"/>
                <w:szCs w:val="16"/>
              </w:rPr>
              <w:t xml:space="preserve">Juice </w:t>
            </w:r>
          </w:p>
          <w:p w:rsidR="00CB3E60" w:rsidRPr="00AF0716" w:rsidRDefault="00CB3E60" w:rsidP="005B5968">
            <w:pPr>
              <w:spacing w:line="276" w:lineRule="auto"/>
              <w:rPr>
                <w:sz w:val="16"/>
                <w:szCs w:val="16"/>
              </w:rPr>
            </w:pPr>
            <w:r w:rsidRPr="00AF0716">
              <w:rPr>
                <w:sz w:val="16"/>
                <w:szCs w:val="16"/>
              </w:rPr>
              <w:t xml:space="preserve">HS 20.09 </w:t>
            </w: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First year</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40.6</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52.2</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-11.6 (-22.9 to -0.4)</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-22.2% (-40.1 to -0.8)</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-1.11 (-2.00 to -0.04)</w:t>
            </w:r>
          </w:p>
        </w:tc>
      </w:tr>
      <w:tr w:rsidR="00CB3E60" w:rsidRPr="00AF0716" w:rsidTr="005B5968">
        <w:trPr>
          <w:trHeight w:val="59"/>
        </w:trPr>
        <w:tc>
          <w:tcPr>
            <w:tcW w:w="819" w:type="dxa"/>
            <w:vMerge/>
            <w:shd w:val="clear" w:color="auto" w:fill="auto"/>
          </w:tcPr>
          <w:p w:rsidR="00CB3E60" w:rsidRPr="00AF0716" w:rsidRDefault="00CB3E60" w:rsidP="005B5968">
            <w:pPr>
              <w:spacing w:line="276" w:lineRule="auto"/>
              <w:rPr>
                <w:rFonts w:cs="Arial"/>
                <w:bCs/>
                <w:sz w:val="16"/>
                <w:szCs w:val="16"/>
              </w:rPr>
            </w:pPr>
          </w:p>
        </w:tc>
        <w:tc>
          <w:tcPr>
            <w:tcW w:w="1832" w:type="dxa"/>
            <w:vMerge/>
            <w:shd w:val="clear" w:color="auto" w:fill="auto"/>
          </w:tcPr>
          <w:p w:rsidR="00CB3E60" w:rsidRPr="00AF0716" w:rsidRDefault="00CB3E60" w:rsidP="005B5968">
            <w:pPr>
              <w:spacing w:line="276" w:lineRule="auto"/>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39.7</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58.9</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-19.2 (-29.9 to -8.6)</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-32.6% (-45.5 to -16.7)</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-1.63 (-2.28 to -0.84)</w:t>
            </w:r>
          </w:p>
        </w:tc>
      </w:tr>
      <w:tr w:rsidR="00CB3E60" w:rsidRPr="00AF0716" w:rsidTr="005B5968">
        <w:trPr>
          <w:trHeight w:val="59"/>
        </w:trPr>
        <w:tc>
          <w:tcPr>
            <w:tcW w:w="819" w:type="dxa"/>
            <w:vMerge/>
            <w:shd w:val="clear" w:color="auto" w:fill="auto"/>
          </w:tcPr>
          <w:p w:rsidR="00CB3E60" w:rsidRPr="00AF0716" w:rsidRDefault="00CB3E60" w:rsidP="005B5968">
            <w:pPr>
              <w:spacing w:line="276" w:lineRule="auto"/>
              <w:rPr>
                <w:rFonts w:cs="Arial"/>
                <w:bCs/>
                <w:sz w:val="16"/>
                <w:szCs w:val="16"/>
              </w:rPr>
            </w:pPr>
          </w:p>
        </w:tc>
        <w:tc>
          <w:tcPr>
            <w:tcW w:w="1832" w:type="dxa"/>
            <w:vMerge/>
            <w:shd w:val="clear" w:color="auto" w:fill="auto"/>
          </w:tcPr>
          <w:p w:rsidR="00CB3E60" w:rsidRPr="00AF0716" w:rsidRDefault="00CB3E60" w:rsidP="005B5968">
            <w:pPr>
              <w:spacing w:line="276" w:lineRule="auto"/>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40.1</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55.5</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-15.4 (-26.1 to -4.7)</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-27.8% (-42.3 to -9.7)</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-1.39 (-2.11 to -0.48)</w:t>
            </w:r>
          </w:p>
        </w:tc>
      </w:tr>
      <w:tr w:rsidR="00CB3E60" w:rsidRPr="00AF0716" w:rsidTr="005B5968">
        <w:trPr>
          <w:trHeight w:val="56"/>
        </w:trPr>
        <w:tc>
          <w:tcPr>
            <w:tcW w:w="819" w:type="dxa"/>
            <w:vMerge w:val="restart"/>
            <w:tcBorders>
              <w:top w:val="dotted" w:sz="4" w:space="0" w:color="auto"/>
            </w:tcBorders>
            <w:shd w:val="clear" w:color="auto" w:fill="auto"/>
          </w:tcPr>
          <w:p w:rsidR="00CB3E60" w:rsidRPr="00AF0716" w:rsidRDefault="00CB3E60" w:rsidP="005B5968">
            <w:pPr>
              <w:spacing w:line="276" w:lineRule="auto"/>
              <w:rPr>
                <w:rFonts w:cs="Arial"/>
                <w:b/>
                <w:bCs/>
                <w:sz w:val="16"/>
                <w:szCs w:val="16"/>
              </w:rPr>
            </w:pPr>
            <w:r w:rsidRPr="00AF0716">
              <w:rPr>
                <w:rFonts w:cs="Arial"/>
                <w:bCs/>
                <w:sz w:val="16"/>
                <w:szCs w:val="16"/>
              </w:rPr>
              <w:t xml:space="preserve">End July </w:t>
            </w:r>
            <w:r w:rsidRPr="00AF0716">
              <w:rPr>
                <w:rFonts w:cs="Arial"/>
                <w:b/>
                <w:bCs/>
                <w:sz w:val="16"/>
                <w:szCs w:val="16"/>
              </w:rPr>
              <w:t>2012</w:t>
            </w:r>
          </w:p>
          <w:p w:rsidR="00CB3E60" w:rsidRPr="00AF0716" w:rsidRDefault="00CB3E60" w:rsidP="005B5968">
            <w:pPr>
              <w:spacing w:line="276" w:lineRule="auto"/>
              <w:rPr>
                <w:rFonts w:cs="Arial"/>
                <w:b/>
                <w:bCs/>
                <w:sz w:val="16"/>
                <w:szCs w:val="16"/>
              </w:rPr>
            </w:pPr>
          </w:p>
        </w:tc>
        <w:tc>
          <w:tcPr>
            <w:tcW w:w="1832" w:type="dxa"/>
            <w:vMerge w:val="restart"/>
            <w:tcBorders>
              <w:top w:val="dotted" w:sz="4" w:space="0" w:color="auto"/>
            </w:tcBorders>
            <w:shd w:val="clear" w:color="auto" w:fill="auto"/>
          </w:tcPr>
          <w:p w:rsidR="00CB3E60" w:rsidRPr="00AF0716" w:rsidRDefault="00CB3E60" w:rsidP="005B5968">
            <w:pPr>
              <w:spacing w:line="276" w:lineRule="auto"/>
              <w:rPr>
                <w:sz w:val="16"/>
                <w:szCs w:val="16"/>
              </w:rPr>
            </w:pPr>
            <w:r w:rsidRPr="00AF0716">
              <w:rPr>
                <w:sz w:val="16"/>
                <w:szCs w:val="16"/>
              </w:rPr>
              <w:t>Milk</w:t>
            </w:r>
          </w:p>
          <w:p w:rsidR="00CB3E60" w:rsidRPr="00AF0716" w:rsidRDefault="00CB3E60" w:rsidP="005B5968">
            <w:pPr>
              <w:spacing w:line="276" w:lineRule="auto"/>
              <w:rPr>
                <w:sz w:val="16"/>
                <w:szCs w:val="16"/>
              </w:rPr>
            </w:pPr>
            <w:r w:rsidRPr="00AF0716">
              <w:rPr>
                <w:sz w:val="16"/>
                <w:szCs w:val="16"/>
              </w:rPr>
              <w:t xml:space="preserve">HS 0401.10 &amp; 0401.20 </w:t>
            </w:r>
          </w:p>
        </w:tc>
        <w:tc>
          <w:tcPr>
            <w:tcW w:w="1145" w:type="dxa"/>
            <w:tcBorders>
              <w:top w:val="dotted" w:sz="4" w:space="0" w:color="auto"/>
            </w:tcBorders>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First year</w:t>
            </w:r>
          </w:p>
        </w:tc>
        <w:tc>
          <w:tcPr>
            <w:tcW w:w="861" w:type="dxa"/>
            <w:tcBorders>
              <w:top w:val="dotted"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33.1</w:t>
            </w:r>
          </w:p>
        </w:tc>
        <w:tc>
          <w:tcPr>
            <w:tcW w:w="839" w:type="dxa"/>
            <w:tcBorders>
              <w:top w:val="dotted"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28.9</w:t>
            </w:r>
          </w:p>
        </w:tc>
        <w:tc>
          <w:tcPr>
            <w:tcW w:w="1700" w:type="dxa"/>
            <w:tcBorders>
              <w:top w:val="dotted"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4.2 (-0.3 to 8.7)</w:t>
            </w:r>
          </w:p>
        </w:tc>
        <w:tc>
          <w:tcPr>
            <w:tcW w:w="1835" w:type="dxa"/>
            <w:tcBorders>
              <w:top w:val="dotted"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14.7% (-0.9 to 32.9)</w:t>
            </w:r>
          </w:p>
        </w:tc>
        <w:tc>
          <w:tcPr>
            <w:tcW w:w="1692" w:type="dxa"/>
            <w:tcBorders>
              <w:top w:val="dotted" w:sz="4" w:space="0" w:color="auto"/>
            </w:tcBorders>
          </w:tcPr>
          <w:p w:rsidR="00CB3E60" w:rsidRPr="00AF0716" w:rsidRDefault="00CB3E60" w:rsidP="005B5968">
            <w:pPr>
              <w:jc w:val="center"/>
              <w:rPr>
                <w:rFonts w:ascii="Calibri" w:hAnsi="Calibri"/>
                <w:sz w:val="16"/>
                <w:szCs w:val="16"/>
              </w:rPr>
            </w:pPr>
            <w:r w:rsidRPr="00AF0716">
              <w:rPr>
                <w:rFonts w:ascii="Calibri" w:hAnsi="Calibri"/>
                <w:sz w:val="16"/>
                <w:szCs w:val="16"/>
              </w:rPr>
              <w:t>0.98 (-0.06 to 2.19)</w:t>
            </w:r>
          </w:p>
        </w:tc>
      </w:tr>
      <w:tr w:rsidR="00CB3E60" w:rsidRPr="00AF0716" w:rsidTr="005B5968">
        <w:trPr>
          <w:trHeight w:val="59"/>
        </w:trPr>
        <w:tc>
          <w:tcPr>
            <w:tcW w:w="819" w:type="dxa"/>
            <w:vMerge/>
            <w:tcBorders>
              <w:top w:val="dotted" w:sz="4" w:space="0" w:color="auto"/>
            </w:tcBorders>
            <w:shd w:val="clear" w:color="auto" w:fill="auto"/>
          </w:tcPr>
          <w:p w:rsidR="00CB3E60" w:rsidRPr="00AF0716" w:rsidRDefault="00CB3E60" w:rsidP="005B5968">
            <w:pPr>
              <w:rPr>
                <w:rFonts w:cs="Arial"/>
                <w:bCs/>
                <w:sz w:val="16"/>
                <w:szCs w:val="16"/>
              </w:rPr>
            </w:pPr>
          </w:p>
        </w:tc>
        <w:tc>
          <w:tcPr>
            <w:tcW w:w="1832" w:type="dxa"/>
            <w:vMerge/>
            <w:shd w:val="clear" w:color="auto" w:fill="auto"/>
          </w:tcPr>
          <w:p w:rsidR="00CB3E60" w:rsidRPr="00AF0716" w:rsidRDefault="00CB3E60" w:rsidP="005B5968">
            <w:pPr>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31.3</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30.4</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0.9 (-3.8 to 5.6)</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3.0% (-11.3 to 20.5)</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0.20 (-0.76 to 1.37)</w:t>
            </w:r>
          </w:p>
        </w:tc>
      </w:tr>
      <w:tr w:rsidR="00CB3E60" w:rsidRPr="00AF0716" w:rsidTr="005B5968">
        <w:trPr>
          <w:trHeight w:val="59"/>
        </w:trPr>
        <w:tc>
          <w:tcPr>
            <w:tcW w:w="819" w:type="dxa"/>
            <w:vMerge/>
            <w:tcBorders>
              <w:top w:val="dotted" w:sz="4" w:space="0" w:color="auto"/>
            </w:tcBorders>
            <w:shd w:val="clear" w:color="auto" w:fill="auto"/>
          </w:tcPr>
          <w:p w:rsidR="00CB3E60" w:rsidRPr="00AF0716" w:rsidRDefault="00CB3E60" w:rsidP="005B5968">
            <w:pPr>
              <w:rPr>
                <w:rFonts w:cs="Arial"/>
                <w:bCs/>
                <w:sz w:val="16"/>
                <w:szCs w:val="16"/>
              </w:rPr>
            </w:pPr>
          </w:p>
        </w:tc>
        <w:tc>
          <w:tcPr>
            <w:tcW w:w="1832" w:type="dxa"/>
            <w:vMerge/>
            <w:shd w:val="clear" w:color="auto" w:fill="auto"/>
          </w:tcPr>
          <w:p w:rsidR="00CB3E60" w:rsidRPr="00AF0716" w:rsidRDefault="00CB3E60" w:rsidP="005B5968">
            <w:pPr>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32.2</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29.6</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2.6 (-1.3 to 6.4)</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8.7% (-4.0 to 24.2)</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0.58 (-0.27 to 1.62)</w:t>
            </w:r>
          </w:p>
        </w:tc>
      </w:tr>
      <w:tr w:rsidR="00CB3E60" w:rsidRPr="00AF0716" w:rsidTr="005B5968">
        <w:trPr>
          <w:trHeight w:val="59"/>
        </w:trPr>
        <w:tc>
          <w:tcPr>
            <w:tcW w:w="819" w:type="dxa"/>
            <w:vMerge/>
            <w:shd w:val="clear" w:color="auto" w:fill="auto"/>
          </w:tcPr>
          <w:p w:rsidR="00CB3E60" w:rsidRPr="00AF0716" w:rsidRDefault="00CB3E60" w:rsidP="005B5968">
            <w:pPr>
              <w:spacing w:line="276" w:lineRule="auto"/>
              <w:rPr>
                <w:rFonts w:cs="Arial"/>
                <w:bCs/>
                <w:sz w:val="16"/>
                <w:szCs w:val="16"/>
              </w:rPr>
            </w:pPr>
          </w:p>
        </w:tc>
        <w:tc>
          <w:tcPr>
            <w:tcW w:w="1832" w:type="dxa"/>
            <w:vMerge w:val="restart"/>
            <w:shd w:val="clear" w:color="auto" w:fill="auto"/>
          </w:tcPr>
          <w:p w:rsidR="00CB3E60" w:rsidRPr="00AF0716" w:rsidRDefault="00CB3E60" w:rsidP="005B5968">
            <w:pPr>
              <w:spacing w:line="276" w:lineRule="auto"/>
              <w:rPr>
                <w:sz w:val="16"/>
                <w:szCs w:val="16"/>
              </w:rPr>
            </w:pPr>
            <w:r w:rsidRPr="00AF0716">
              <w:rPr>
                <w:sz w:val="16"/>
                <w:szCs w:val="16"/>
              </w:rPr>
              <w:t xml:space="preserve">Juice </w:t>
            </w:r>
          </w:p>
          <w:p w:rsidR="00CB3E60" w:rsidRPr="00AF0716" w:rsidRDefault="00CB3E60" w:rsidP="005B5968">
            <w:pPr>
              <w:spacing w:line="276" w:lineRule="auto"/>
              <w:rPr>
                <w:sz w:val="16"/>
                <w:szCs w:val="16"/>
              </w:rPr>
            </w:pPr>
            <w:r w:rsidRPr="00AF0716">
              <w:rPr>
                <w:sz w:val="16"/>
                <w:szCs w:val="16"/>
              </w:rPr>
              <w:t xml:space="preserve">HS 20.09 </w:t>
            </w:r>
          </w:p>
        </w:tc>
        <w:tc>
          <w:tcPr>
            <w:tcW w:w="1145" w:type="dxa"/>
            <w:shd w:val="clear" w:color="auto" w:fill="auto"/>
          </w:tcPr>
          <w:p w:rsidR="00CB3E60" w:rsidRPr="00AF0716" w:rsidRDefault="00CB3E60" w:rsidP="005B5968">
            <w:pPr>
              <w:spacing w:line="276" w:lineRule="auto"/>
              <w:rPr>
                <w:sz w:val="16"/>
                <w:szCs w:val="16"/>
              </w:rPr>
            </w:pPr>
            <w:r w:rsidRPr="00AF0716">
              <w:rPr>
                <w:rFonts w:cs="Arial"/>
                <w:bCs/>
                <w:sz w:val="16"/>
                <w:szCs w:val="16"/>
              </w:rPr>
              <w:t>First year</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24.7</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27.4</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 (-17.6 to 12.1)</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-10.0% (-49.9 to 70.1)</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-0.66 (-3.32 to 4.68)</w:t>
            </w:r>
          </w:p>
        </w:tc>
      </w:tr>
      <w:tr w:rsidR="00CB3E60" w:rsidRPr="00AF0716" w:rsidTr="005B5968">
        <w:trPr>
          <w:trHeight w:val="59"/>
        </w:trPr>
        <w:tc>
          <w:tcPr>
            <w:tcW w:w="819" w:type="dxa"/>
            <w:shd w:val="clear" w:color="auto" w:fill="auto"/>
          </w:tcPr>
          <w:p w:rsidR="00CB3E60" w:rsidRPr="00AF0716" w:rsidRDefault="00CB3E60" w:rsidP="005B5968">
            <w:pPr>
              <w:rPr>
                <w:rFonts w:cs="Arial"/>
                <w:bCs/>
                <w:sz w:val="16"/>
                <w:szCs w:val="16"/>
              </w:rPr>
            </w:pPr>
          </w:p>
        </w:tc>
        <w:tc>
          <w:tcPr>
            <w:tcW w:w="1832" w:type="dxa"/>
            <w:vMerge/>
            <w:shd w:val="clear" w:color="auto" w:fill="auto"/>
          </w:tcPr>
          <w:p w:rsidR="00CB3E60" w:rsidRPr="00AF0716" w:rsidRDefault="00CB3E60" w:rsidP="005B5968">
            <w:pPr>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24.6</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25.2</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-0.6 (-19.8 to 18.7)</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-2.3% (-52.7 to 190.8)</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-0.15 (-3.51 to 12.72)</w:t>
            </w:r>
          </w:p>
        </w:tc>
      </w:tr>
      <w:tr w:rsidR="00CB3E60" w:rsidRPr="00AF0716" w:rsidTr="005B5968">
        <w:trPr>
          <w:trHeight w:val="59"/>
        </w:trPr>
        <w:tc>
          <w:tcPr>
            <w:tcW w:w="819" w:type="dxa"/>
            <w:shd w:val="clear" w:color="auto" w:fill="auto"/>
          </w:tcPr>
          <w:p w:rsidR="00CB3E60" w:rsidRPr="00AF0716" w:rsidRDefault="00CB3E60" w:rsidP="005B5968">
            <w:pPr>
              <w:rPr>
                <w:rFonts w:cs="Arial"/>
                <w:bCs/>
                <w:sz w:val="16"/>
                <w:szCs w:val="16"/>
              </w:rPr>
            </w:pPr>
          </w:p>
        </w:tc>
        <w:tc>
          <w:tcPr>
            <w:tcW w:w="1832" w:type="dxa"/>
            <w:vMerge/>
            <w:shd w:val="clear" w:color="auto" w:fill="auto"/>
          </w:tcPr>
          <w:p w:rsidR="00CB3E60" w:rsidRPr="00AF0716" w:rsidRDefault="00CB3E60" w:rsidP="005B5968">
            <w:pPr>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24.6</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26.3</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-1.7 (-17.3 to 14.2)</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-6.3% (-45.7 to 108.8)</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-0.42 (-3.04 to 7.25)</w:t>
            </w:r>
          </w:p>
        </w:tc>
      </w:tr>
      <w:tr w:rsidR="00CB3E60" w:rsidRPr="00AF0716" w:rsidTr="005B5968">
        <w:trPr>
          <w:trHeight w:val="82"/>
        </w:trPr>
        <w:tc>
          <w:tcPr>
            <w:tcW w:w="819" w:type="dxa"/>
            <w:vMerge w:val="restart"/>
            <w:tcBorders>
              <w:top w:val="dotted" w:sz="4" w:space="0" w:color="auto"/>
            </w:tcBorders>
            <w:shd w:val="clear" w:color="auto" w:fill="auto"/>
          </w:tcPr>
          <w:p w:rsidR="00CB3E60" w:rsidRPr="00AF0716" w:rsidRDefault="00CB3E60" w:rsidP="005B5968">
            <w:pPr>
              <w:spacing w:line="276" w:lineRule="auto"/>
              <w:rPr>
                <w:rFonts w:cs="Arial"/>
                <w:b/>
                <w:bCs/>
                <w:sz w:val="16"/>
                <w:szCs w:val="16"/>
              </w:rPr>
            </w:pPr>
            <w:r w:rsidRPr="00AF0716">
              <w:rPr>
                <w:rFonts w:cs="Arial"/>
                <w:bCs/>
                <w:sz w:val="16"/>
                <w:szCs w:val="16"/>
              </w:rPr>
              <w:t xml:space="preserve">1 July </w:t>
            </w:r>
            <w:r w:rsidRPr="00AF0716">
              <w:rPr>
                <w:rFonts w:cs="Arial"/>
                <w:b/>
                <w:bCs/>
                <w:sz w:val="16"/>
                <w:szCs w:val="16"/>
              </w:rPr>
              <w:t>2014</w:t>
            </w:r>
          </w:p>
        </w:tc>
        <w:tc>
          <w:tcPr>
            <w:tcW w:w="1832" w:type="dxa"/>
            <w:vMerge w:val="restart"/>
            <w:tcBorders>
              <w:top w:val="dotted" w:sz="4" w:space="0" w:color="auto"/>
            </w:tcBorders>
            <w:shd w:val="clear" w:color="auto" w:fill="auto"/>
          </w:tcPr>
          <w:p w:rsidR="00CB3E60" w:rsidRPr="00AF0716" w:rsidRDefault="00CB3E60" w:rsidP="005B5968">
            <w:pPr>
              <w:spacing w:line="276" w:lineRule="auto"/>
              <w:rPr>
                <w:sz w:val="16"/>
                <w:szCs w:val="16"/>
              </w:rPr>
            </w:pPr>
            <w:r w:rsidRPr="00AF0716">
              <w:rPr>
                <w:sz w:val="16"/>
                <w:szCs w:val="16"/>
              </w:rPr>
              <w:t xml:space="preserve">Milk </w:t>
            </w:r>
          </w:p>
          <w:p w:rsidR="00CB3E60" w:rsidRPr="00AF0716" w:rsidRDefault="00CB3E60" w:rsidP="005B5968">
            <w:pPr>
              <w:spacing w:line="276" w:lineRule="auto"/>
              <w:rPr>
                <w:sz w:val="16"/>
                <w:szCs w:val="16"/>
              </w:rPr>
            </w:pPr>
            <w:r w:rsidRPr="00AF0716">
              <w:rPr>
                <w:sz w:val="16"/>
                <w:szCs w:val="16"/>
              </w:rPr>
              <w:t>HS 0401.10 &amp; 0401.20</w:t>
            </w:r>
          </w:p>
        </w:tc>
        <w:tc>
          <w:tcPr>
            <w:tcW w:w="1145" w:type="dxa"/>
            <w:tcBorders>
              <w:top w:val="dotted" w:sz="4" w:space="0" w:color="auto"/>
            </w:tcBorders>
            <w:shd w:val="clear" w:color="auto" w:fill="auto"/>
          </w:tcPr>
          <w:p w:rsidR="00CB3E60" w:rsidRPr="00AF0716" w:rsidRDefault="00CB3E60" w:rsidP="005B5968">
            <w:pPr>
              <w:spacing w:line="276" w:lineRule="auto"/>
              <w:rPr>
                <w:sz w:val="16"/>
                <w:szCs w:val="16"/>
              </w:rPr>
            </w:pPr>
            <w:r w:rsidRPr="00AF0716">
              <w:rPr>
                <w:rFonts w:cs="Arial"/>
                <w:bCs/>
                <w:sz w:val="16"/>
                <w:szCs w:val="16"/>
              </w:rPr>
              <w:t>First year</w:t>
            </w:r>
          </w:p>
        </w:tc>
        <w:tc>
          <w:tcPr>
            <w:tcW w:w="861" w:type="dxa"/>
            <w:tcBorders>
              <w:top w:val="dotted"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38.4</w:t>
            </w:r>
          </w:p>
        </w:tc>
        <w:tc>
          <w:tcPr>
            <w:tcW w:w="839" w:type="dxa"/>
            <w:tcBorders>
              <w:top w:val="dotted"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30.2</w:t>
            </w:r>
          </w:p>
        </w:tc>
        <w:tc>
          <w:tcPr>
            <w:tcW w:w="1700" w:type="dxa"/>
            <w:tcBorders>
              <w:top w:val="dotted"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8.2 (-1.1 to 17.6)</w:t>
            </w:r>
          </w:p>
        </w:tc>
        <w:tc>
          <w:tcPr>
            <w:tcW w:w="1835" w:type="dxa"/>
            <w:tcBorders>
              <w:top w:val="dotted"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27.1% (-3.1 to 77.2)</w:t>
            </w:r>
          </w:p>
        </w:tc>
        <w:tc>
          <w:tcPr>
            <w:tcW w:w="1692" w:type="dxa"/>
            <w:tcBorders>
              <w:top w:val="dotted" w:sz="4" w:space="0" w:color="auto"/>
            </w:tcBorders>
          </w:tcPr>
          <w:p w:rsidR="00CB3E60" w:rsidRPr="00AF0716" w:rsidRDefault="00CB3E60" w:rsidP="005B5968">
            <w:pPr>
              <w:jc w:val="center"/>
              <w:rPr>
                <w:rFonts w:ascii="Calibri" w:hAnsi="Calibri"/>
                <w:sz w:val="16"/>
                <w:szCs w:val="16"/>
              </w:rPr>
            </w:pPr>
            <w:r w:rsidRPr="00AF0716">
              <w:rPr>
                <w:rFonts w:ascii="Calibri" w:hAnsi="Calibri"/>
                <w:sz w:val="16"/>
                <w:szCs w:val="16"/>
              </w:rPr>
              <w:t>-2.53 (0.29 to -7.22)</w:t>
            </w:r>
          </w:p>
        </w:tc>
      </w:tr>
      <w:tr w:rsidR="00CB3E60" w:rsidRPr="00AF0716" w:rsidTr="005B5968">
        <w:trPr>
          <w:trHeight w:val="66"/>
        </w:trPr>
        <w:tc>
          <w:tcPr>
            <w:tcW w:w="819" w:type="dxa"/>
            <w:vMerge/>
            <w:shd w:val="clear" w:color="auto" w:fill="auto"/>
          </w:tcPr>
          <w:p w:rsidR="00CB3E60" w:rsidRPr="00AF0716" w:rsidRDefault="00CB3E60" w:rsidP="005B5968">
            <w:pPr>
              <w:rPr>
                <w:rFonts w:cs="Arial"/>
                <w:bCs/>
                <w:sz w:val="16"/>
                <w:szCs w:val="16"/>
              </w:rPr>
            </w:pPr>
          </w:p>
        </w:tc>
        <w:tc>
          <w:tcPr>
            <w:tcW w:w="1832" w:type="dxa"/>
            <w:vMerge/>
            <w:shd w:val="clear" w:color="auto" w:fill="auto"/>
          </w:tcPr>
          <w:p w:rsidR="00CB3E60" w:rsidRPr="00AF0716" w:rsidRDefault="00CB3E60" w:rsidP="005B5968">
            <w:pPr>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48.4</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28.7</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19.7 (6.8 to 32.8)</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68.9% (16.6 to 207.9)</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-6.44 (-1.55 to -19.43)</w:t>
            </w:r>
          </w:p>
        </w:tc>
      </w:tr>
      <w:tr w:rsidR="00CB3E60" w:rsidRPr="00AF0716" w:rsidTr="005B5968">
        <w:trPr>
          <w:trHeight w:val="66"/>
        </w:trPr>
        <w:tc>
          <w:tcPr>
            <w:tcW w:w="819" w:type="dxa"/>
            <w:vMerge/>
            <w:shd w:val="clear" w:color="auto" w:fill="auto"/>
          </w:tcPr>
          <w:p w:rsidR="00CB3E60" w:rsidRPr="00AF0716" w:rsidRDefault="00CB3E60" w:rsidP="005B5968">
            <w:pPr>
              <w:rPr>
                <w:rFonts w:cs="Arial"/>
                <w:bCs/>
                <w:sz w:val="16"/>
                <w:szCs w:val="16"/>
              </w:rPr>
            </w:pPr>
          </w:p>
        </w:tc>
        <w:tc>
          <w:tcPr>
            <w:tcW w:w="1832" w:type="dxa"/>
            <w:vMerge/>
            <w:shd w:val="clear" w:color="auto" w:fill="auto"/>
          </w:tcPr>
          <w:p w:rsidR="00CB3E60" w:rsidRPr="00AF0716" w:rsidRDefault="00CB3E60" w:rsidP="005B5968">
            <w:pPr>
              <w:rPr>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43.4</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29.4</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14.0 (3.1 to 25.0)</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47.4% (7.7 to 129.8)</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-4.43 (-0.72 to -12.13)</w:t>
            </w:r>
          </w:p>
        </w:tc>
      </w:tr>
      <w:tr w:rsidR="00CB3E60" w:rsidRPr="00AF0716" w:rsidTr="005B5968">
        <w:trPr>
          <w:trHeight w:val="66"/>
        </w:trPr>
        <w:tc>
          <w:tcPr>
            <w:tcW w:w="819" w:type="dxa"/>
            <w:vMerge/>
            <w:shd w:val="clear" w:color="auto" w:fill="auto"/>
          </w:tcPr>
          <w:p w:rsidR="00CB3E60" w:rsidRPr="00AF0716" w:rsidRDefault="00CB3E60" w:rsidP="005B5968">
            <w:pPr>
              <w:spacing w:line="276" w:lineRule="auto"/>
              <w:rPr>
                <w:rFonts w:cs="Arial"/>
                <w:bCs/>
                <w:sz w:val="16"/>
                <w:szCs w:val="16"/>
              </w:rPr>
            </w:pPr>
          </w:p>
        </w:tc>
        <w:tc>
          <w:tcPr>
            <w:tcW w:w="1832" w:type="dxa"/>
            <w:vMerge w:val="restart"/>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Juice</w:t>
            </w:r>
          </w:p>
          <w:p w:rsidR="00CB3E60" w:rsidRPr="00AF0716" w:rsidRDefault="00CB3E60" w:rsidP="005B5968">
            <w:pPr>
              <w:spacing w:line="276" w:lineRule="auto"/>
              <w:rPr>
                <w:rFonts w:cs="Arial"/>
                <w:bCs/>
                <w:sz w:val="16"/>
                <w:szCs w:val="16"/>
              </w:rPr>
            </w:pPr>
            <w:r w:rsidRPr="00AF0716">
              <w:rPr>
                <w:rFonts w:cs="Arial"/>
                <w:bCs/>
                <w:sz w:val="16"/>
                <w:szCs w:val="16"/>
              </w:rPr>
              <w:t>HS 20.09</w:t>
            </w: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First year</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19.5</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25.0</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-5.6 (-27.7 to 16.6)</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-22.2% (-69.5 to 226.4)</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2.08 (4.92 to -17.83)</w:t>
            </w:r>
          </w:p>
        </w:tc>
      </w:tr>
      <w:tr w:rsidR="00CB3E60" w:rsidRPr="00AF0716" w:rsidTr="005B5968">
        <w:trPr>
          <w:trHeight w:val="66"/>
        </w:trPr>
        <w:tc>
          <w:tcPr>
            <w:tcW w:w="819" w:type="dxa"/>
            <w:vMerge/>
            <w:shd w:val="clear" w:color="auto" w:fill="auto"/>
          </w:tcPr>
          <w:p w:rsidR="00CB3E60" w:rsidRPr="00AF0716" w:rsidRDefault="00CB3E60" w:rsidP="005B5968">
            <w:pPr>
              <w:rPr>
                <w:rFonts w:cs="Arial"/>
                <w:bCs/>
                <w:sz w:val="16"/>
                <w:szCs w:val="16"/>
              </w:rPr>
            </w:pPr>
          </w:p>
        </w:tc>
        <w:tc>
          <w:tcPr>
            <w:tcW w:w="1832" w:type="dxa"/>
            <w:vMerge/>
            <w:shd w:val="clear" w:color="auto" w:fill="auto"/>
          </w:tcPr>
          <w:p w:rsidR="00CB3E60" w:rsidRPr="00AF0716" w:rsidRDefault="00CB3E60" w:rsidP="005B5968">
            <w:pPr>
              <w:rPr>
                <w:rFonts w:cs="Arial"/>
                <w:bCs/>
                <w:sz w:val="16"/>
                <w:szCs w:val="16"/>
              </w:rPr>
            </w:pPr>
          </w:p>
        </w:tc>
        <w:tc>
          <w:tcPr>
            <w:tcW w:w="1145" w:type="dxa"/>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Second year</w:t>
            </w:r>
          </w:p>
        </w:tc>
        <w:tc>
          <w:tcPr>
            <w:tcW w:w="861"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35.8</w:t>
            </w:r>
          </w:p>
        </w:tc>
        <w:tc>
          <w:tcPr>
            <w:tcW w:w="839"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28.9</w:t>
            </w:r>
          </w:p>
        </w:tc>
        <w:tc>
          <w:tcPr>
            <w:tcW w:w="1700"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6.9 (-26.6 to 40.5)</w:t>
            </w:r>
          </w:p>
        </w:tc>
        <w:tc>
          <w:tcPr>
            <w:tcW w:w="1835" w:type="dxa"/>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23.8% (-644.0 to 864.3)</w:t>
            </w:r>
          </w:p>
        </w:tc>
        <w:tc>
          <w:tcPr>
            <w:tcW w:w="1692" w:type="dxa"/>
          </w:tcPr>
          <w:p w:rsidR="00CB3E60" w:rsidRPr="00AF0716" w:rsidRDefault="00CB3E60" w:rsidP="005B5968">
            <w:pPr>
              <w:jc w:val="center"/>
              <w:rPr>
                <w:rFonts w:ascii="Calibri" w:hAnsi="Calibri"/>
                <w:sz w:val="16"/>
                <w:szCs w:val="16"/>
              </w:rPr>
            </w:pPr>
            <w:r w:rsidRPr="00AF0716">
              <w:rPr>
                <w:rFonts w:ascii="Calibri" w:hAnsi="Calibri"/>
                <w:sz w:val="16"/>
                <w:szCs w:val="16"/>
              </w:rPr>
              <w:t>-2.23 (60.18 to -80.77)</w:t>
            </w:r>
          </w:p>
        </w:tc>
      </w:tr>
      <w:tr w:rsidR="00CB3E60" w:rsidRPr="00AF0716" w:rsidTr="005B5968">
        <w:trPr>
          <w:trHeight w:val="60"/>
        </w:trPr>
        <w:tc>
          <w:tcPr>
            <w:tcW w:w="819" w:type="dxa"/>
            <w:vMerge/>
            <w:tcBorders>
              <w:bottom w:val="single" w:sz="4" w:space="0" w:color="auto"/>
            </w:tcBorders>
            <w:shd w:val="clear" w:color="auto" w:fill="auto"/>
          </w:tcPr>
          <w:p w:rsidR="00CB3E60" w:rsidRPr="00AF0716" w:rsidRDefault="00CB3E60" w:rsidP="005B5968">
            <w:pPr>
              <w:rPr>
                <w:rFonts w:cs="Arial"/>
                <w:bCs/>
                <w:sz w:val="16"/>
                <w:szCs w:val="16"/>
              </w:rPr>
            </w:pPr>
          </w:p>
        </w:tc>
        <w:tc>
          <w:tcPr>
            <w:tcW w:w="1832" w:type="dxa"/>
            <w:vMerge/>
            <w:tcBorders>
              <w:bottom w:val="single" w:sz="4" w:space="0" w:color="auto"/>
            </w:tcBorders>
            <w:shd w:val="clear" w:color="auto" w:fill="auto"/>
          </w:tcPr>
          <w:p w:rsidR="00CB3E60" w:rsidRPr="00AF0716" w:rsidRDefault="00CB3E60" w:rsidP="005B5968">
            <w:pPr>
              <w:rPr>
                <w:rFonts w:cs="Arial"/>
                <w:bCs/>
                <w:sz w:val="16"/>
                <w:szCs w:val="16"/>
              </w:rPr>
            </w:pPr>
          </w:p>
        </w:tc>
        <w:tc>
          <w:tcPr>
            <w:tcW w:w="1145" w:type="dxa"/>
            <w:tcBorders>
              <w:bottom w:val="single" w:sz="4" w:space="0" w:color="auto"/>
            </w:tcBorders>
            <w:shd w:val="clear" w:color="auto" w:fill="auto"/>
          </w:tcPr>
          <w:p w:rsidR="00CB3E60" w:rsidRPr="00AF0716" w:rsidRDefault="00CB3E60" w:rsidP="005B5968">
            <w:pPr>
              <w:spacing w:line="276" w:lineRule="auto"/>
              <w:rPr>
                <w:rFonts w:cs="Arial"/>
                <w:bCs/>
                <w:sz w:val="16"/>
                <w:szCs w:val="16"/>
              </w:rPr>
            </w:pPr>
            <w:r w:rsidRPr="00AF0716">
              <w:rPr>
                <w:rFonts w:cs="Arial"/>
                <w:bCs/>
                <w:sz w:val="16"/>
                <w:szCs w:val="16"/>
              </w:rPr>
              <w:t>Combined</w:t>
            </w:r>
          </w:p>
        </w:tc>
        <w:tc>
          <w:tcPr>
            <w:tcW w:w="861" w:type="dxa"/>
            <w:tcBorders>
              <w:bottom w:val="single"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27.6</w:t>
            </w:r>
          </w:p>
        </w:tc>
        <w:tc>
          <w:tcPr>
            <w:tcW w:w="839" w:type="dxa"/>
            <w:tcBorders>
              <w:bottom w:val="single"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27.0</w:t>
            </w:r>
          </w:p>
        </w:tc>
        <w:tc>
          <w:tcPr>
            <w:tcW w:w="1700" w:type="dxa"/>
            <w:tcBorders>
              <w:bottom w:val="single"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0.7 (-26.6 to 27.9)</w:t>
            </w:r>
          </w:p>
        </w:tc>
        <w:tc>
          <w:tcPr>
            <w:tcW w:w="1835" w:type="dxa"/>
            <w:tcBorders>
              <w:bottom w:val="single" w:sz="4" w:space="0" w:color="auto"/>
            </w:tcBorders>
            <w:shd w:val="clear" w:color="auto" w:fill="auto"/>
          </w:tcPr>
          <w:p w:rsidR="00CB3E60" w:rsidRPr="00AF0716" w:rsidRDefault="00CB3E60" w:rsidP="005B5968">
            <w:pPr>
              <w:jc w:val="center"/>
              <w:rPr>
                <w:rFonts w:ascii="Calibri" w:hAnsi="Calibri"/>
                <w:color w:val="000000"/>
                <w:sz w:val="16"/>
                <w:szCs w:val="16"/>
              </w:rPr>
            </w:pPr>
            <w:r w:rsidRPr="00AF0716">
              <w:rPr>
                <w:rFonts w:ascii="Calibri" w:hAnsi="Calibri"/>
                <w:color w:val="000000"/>
                <w:sz w:val="16"/>
                <w:szCs w:val="16"/>
              </w:rPr>
              <w:t>2.5% (-62.1 to 522.1)</w:t>
            </w:r>
          </w:p>
        </w:tc>
        <w:tc>
          <w:tcPr>
            <w:tcW w:w="1692" w:type="dxa"/>
            <w:tcBorders>
              <w:bottom w:val="single" w:sz="4" w:space="0" w:color="auto"/>
            </w:tcBorders>
          </w:tcPr>
          <w:p w:rsidR="00CB3E60" w:rsidRPr="00AF0716" w:rsidRDefault="00CB3E60" w:rsidP="005B5968">
            <w:pPr>
              <w:jc w:val="center"/>
              <w:rPr>
                <w:rFonts w:ascii="Calibri" w:hAnsi="Calibri"/>
                <w:sz w:val="16"/>
                <w:szCs w:val="16"/>
              </w:rPr>
            </w:pPr>
            <w:r w:rsidRPr="00AF0716">
              <w:rPr>
                <w:rFonts w:ascii="Calibri" w:hAnsi="Calibri"/>
                <w:sz w:val="16"/>
                <w:szCs w:val="16"/>
              </w:rPr>
              <w:t>-0.23 (5.80 to -48.79)</w:t>
            </w:r>
          </w:p>
        </w:tc>
      </w:tr>
    </w:tbl>
    <w:p w:rsidR="00CB3E60" w:rsidRPr="00AF0716" w:rsidRDefault="00CB3E60" w:rsidP="00CB3E60">
      <w:pPr>
        <w:spacing w:after="0" w:line="240" w:lineRule="auto"/>
        <w:rPr>
          <w:sz w:val="20"/>
        </w:rPr>
      </w:pPr>
      <w:r w:rsidRPr="00AF0716">
        <w:rPr>
          <w:sz w:val="20"/>
        </w:rPr>
        <w:t>Note</w:t>
      </w:r>
      <w:r>
        <w:rPr>
          <w:sz w:val="20"/>
        </w:rPr>
        <w:t>s</w:t>
      </w:r>
      <w:r w:rsidRPr="00AF0716">
        <w:rPr>
          <w:sz w:val="20"/>
        </w:rPr>
        <w:t xml:space="preserve">: Results are calculated from a </w:t>
      </w:r>
      <w:r>
        <w:rPr>
          <w:sz w:val="20"/>
        </w:rPr>
        <w:t>generalised least squares</w:t>
      </w:r>
      <w:r w:rsidRPr="00AF0716">
        <w:rPr>
          <w:sz w:val="20"/>
        </w:rPr>
        <w:t xml:space="preserve"> model, with Monte Carlo simulation of model outputs and their errors to calculate 95% confidence intervals for the rate difference (RD) and the percentage change (%) compared to baseline. Results were adjusted for autocorrelation, international visitor numbers, GDP per capita and season. </w:t>
      </w:r>
    </w:p>
    <w:p w:rsidR="00CB3E60" w:rsidRPr="00AF0716" w:rsidRDefault="00CB3E60" w:rsidP="00CB3E60">
      <w:pPr>
        <w:spacing w:after="0" w:line="240" w:lineRule="auto"/>
      </w:pPr>
    </w:p>
    <w:p w:rsidR="00CB3E60" w:rsidRPr="00AF0716" w:rsidRDefault="00CB3E60" w:rsidP="00CB3E60">
      <w:pPr>
        <w:spacing w:after="0" w:line="240" w:lineRule="auto"/>
      </w:pPr>
    </w:p>
    <w:p w:rsidR="00CB3E60" w:rsidRPr="00CB3E60" w:rsidRDefault="00CB3E60" w:rsidP="00CB3E60">
      <w:pPr>
        <w:spacing w:after="0" w:line="240" w:lineRule="auto"/>
        <w:rPr>
          <w:b/>
        </w:rPr>
        <w:sectPr w:rsidR="00CB3E60" w:rsidRPr="00CB3E60" w:rsidSect="00E06C09">
          <w:pgSz w:w="16834" w:h="11909" w:orient="landscape"/>
          <w:pgMar w:top="1440" w:right="992" w:bottom="1440" w:left="1440" w:header="539" w:footer="720" w:gutter="0"/>
          <w:cols w:space="720"/>
          <w:docGrid w:linePitch="360"/>
        </w:sectPr>
      </w:pPr>
    </w:p>
    <w:p w:rsidR="00CB3E60" w:rsidRDefault="00CB3E60" w:rsidP="00CB3E60">
      <w:pPr>
        <w:spacing w:after="0"/>
        <w:rPr>
          <w:b/>
        </w:rPr>
      </w:pPr>
    </w:p>
    <w:p w:rsidR="00CB3E60" w:rsidRPr="00AF0716" w:rsidRDefault="00CB3E60" w:rsidP="00CB3E60">
      <w:pPr>
        <w:spacing w:after="0"/>
        <w:rPr>
          <w:b/>
        </w:rPr>
      </w:pPr>
      <w:r w:rsidRPr="00AF0716">
        <w:rPr>
          <w:b/>
        </w:rPr>
        <w:t xml:space="preserve">Figure </w:t>
      </w:r>
      <w:r w:rsidR="009121FC">
        <w:rPr>
          <w:b/>
        </w:rPr>
        <w:t>S</w:t>
      </w:r>
      <w:r w:rsidRPr="00AF0716">
        <w:rPr>
          <w:b/>
        </w:rPr>
        <w:t xml:space="preserve">3: Impact of the Cook Islands import tariff increase on New Zealand reported untaxed beverage exports (juice and milk) to Cook Islands from 2001 to 2017. </w:t>
      </w:r>
    </w:p>
    <w:p w:rsidR="00CB3E60" w:rsidRPr="00AF0716" w:rsidRDefault="00CB3E60" w:rsidP="00CB3E60">
      <w:pPr>
        <w:spacing w:after="0"/>
        <w:rPr>
          <w:b/>
        </w:rPr>
      </w:pPr>
      <w:r w:rsidRPr="00AF0716">
        <w:rPr>
          <w:noProof/>
          <w:lang w:eastAsia="en-NZ"/>
        </w:rPr>
        <w:drawing>
          <wp:inline distT="0" distB="0" distL="0" distR="0" wp14:anchorId="2488B370" wp14:editId="2B588929">
            <wp:extent cx="3964838" cy="208989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2282"/>
                    <a:stretch/>
                  </pic:blipFill>
                  <pic:spPr bwMode="auto">
                    <a:xfrm>
                      <a:off x="0" y="0"/>
                      <a:ext cx="3960000" cy="2087349"/>
                    </a:xfrm>
                    <a:prstGeom prst="rect">
                      <a:avLst/>
                    </a:prstGeom>
                    <a:ln>
                      <a:noFill/>
                    </a:ln>
                    <a:extLst>
                      <a:ext uri="{53640926-AAD7-44D8-BBD7-CCE9431645EC}">
                        <a14:shadowObscured xmlns:a14="http://schemas.microsoft.com/office/drawing/2010/main"/>
                      </a:ext>
                    </a:extLst>
                  </pic:spPr>
                </pic:pic>
              </a:graphicData>
            </a:graphic>
          </wp:inline>
        </w:drawing>
      </w:r>
    </w:p>
    <w:p w:rsidR="00CB3E60" w:rsidRPr="00AF0716" w:rsidRDefault="00CB3E60" w:rsidP="00CB3E60">
      <w:pPr>
        <w:spacing w:after="0"/>
        <w:rPr>
          <w:b/>
        </w:rPr>
      </w:pPr>
      <w:r w:rsidRPr="00AF0716">
        <w:rPr>
          <w:noProof/>
          <w:lang w:eastAsia="en-NZ"/>
        </w:rPr>
        <w:drawing>
          <wp:inline distT="0" distB="0" distL="0" distR="0" wp14:anchorId="7E92A995" wp14:editId="5B80A21A">
            <wp:extent cx="3960000" cy="2095200"/>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11885"/>
                    <a:stretch/>
                  </pic:blipFill>
                  <pic:spPr bwMode="auto">
                    <a:xfrm>
                      <a:off x="0" y="0"/>
                      <a:ext cx="3960000" cy="2095200"/>
                    </a:xfrm>
                    <a:prstGeom prst="rect">
                      <a:avLst/>
                    </a:prstGeom>
                    <a:ln>
                      <a:noFill/>
                    </a:ln>
                    <a:extLst>
                      <a:ext uri="{53640926-AAD7-44D8-BBD7-CCE9431645EC}">
                        <a14:shadowObscured xmlns:a14="http://schemas.microsoft.com/office/drawing/2010/main"/>
                      </a:ext>
                    </a:extLst>
                  </pic:spPr>
                </pic:pic>
              </a:graphicData>
            </a:graphic>
          </wp:inline>
        </w:drawing>
      </w:r>
    </w:p>
    <w:p w:rsidR="00CB3E60" w:rsidRPr="00AF0716" w:rsidRDefault="00CB3E60" w:rsidP="00CB3E60">
      <w:pPr>
        <w:pStyle w:val="Caption"/>
        <w:keepNext/>
        <w:spacing w:after="0"/>
        <w:rPr>
          <w:b w:val="0"/>
          <w:bCs w:val="0"/>
          <w:color w:val="auto"/>
          <w:sz w:val="20"/>
          <w:szCs w:val="22"/>
          <w:lang w:val="en-NZ"/>
        </w:rPr>
      </w:pPr>
      <w:r w:rsidRPr="00AF0716">
        <w:rPr>
          <w:b w:val="0"/>
          <w:bCs w:val="0"/>
          <w:color w:val="auto"/>
          <w:sz w:val="20"/>
          <w:szCs w:val="22"/>
          <w:lang w:val="en-NZ"/>
        </w:rPr>
        <w:t>Note</w:t>
      </w:r>
      <w:r>
        <w:rPr>
          <w:b w:val="0"/>
          <w:bCs w:val="0"/>
          <w:color w:val="auto"/>
          <w:sz w:val="20"/>
          <w:szCs w:val="22"/>
          <w:lang w:val="en-NZ"/>
        </w:rPr>
        <w:t>s</w:t>
      </w:r>
      <w:r w:rsidRPr="00AF0716">
        <w:rPr>
          <w:b w:val="0"/>
          <w:bCs w:val="0"/>
          <w:color w:val="auto"/>
          <w:sz w:val="20"/>
          <w:szCs w:val="22"/>
          <w:lang w:val="en-NZ"/>
        </w:rPr>
        <w:t>: Milk (HS 0401.10 and 0401.20), juice (HS 2009). Analysis was adjusted for existing time trends, autocorrelation, GDP</w:t>
      </w:r>
      <w:r>
        <w:rPr>
          <w:b w:val="0"/>
          <w:bCs w:val="0"/>
          <w:color w:val="auto"/>
          <w:sz w:val="20"/>
          <w:szCs w:val="22"/>
          <w:lang w:val="en-NZ"/>
        </w:rPr>
        <w:t xml:space="preserve"> per capita</w:t>
      </w:r>
      <w:r w:rsidRPr="00AF0716">
        <w:rPr>
          <w:b w:val="0"/>
          <w:bCs w:val="0"/>
          <w:color w:val="auto"/>
          <w:sz w:val="20"/>
          <w:szCs w:val="22"/>
          <w:lang w:val="en-NZ"/>
        </w:rPr>
        <w:t>, international visitor numbers and seasonality. Dotted vertical lines indicate tariff increases of 20% and 15% points in 2008 and 2012 respectively. The dashed vertical line was the introduction of the excise with a decrease of 11% points in SSB tax level. Source: Statistics New Zealand</w:t>
      </w:r>
    </w:p>
    <w:p w:rsidR="00CB3E60" w:rsidRDefault="00CB3E60" w:rsidP="00CB3E60">
      <w:pPr>
        <w:spacing w:after="0"/>
      </w:pPr>
    </w:p>
    <w:p w:rsidR="00CB3E60" w:rsidRDefault="00CB3E60" w:rsidP="00CB3E60">
      <w:pPr>
        <w:spacing w:after="0"/>
        <w:rPr>
          <w:b/>
        </w:rPr>
      </w:pPr>
    </w:p>
    <w:p w:rsidR="00757210" w:rsidRDefault="00757210">
      <w:pPr>
        <w:spacing w:after="200"/>
        <w:rPr>
          <w:b/>
        </w:rPr>
      </w:pPr>
      <w:r>
        <w:rPr>
          <w:b/>
        </w:rPr>
        <w:br w:type="page"/>
      </w:r>
    </w:p>
    <w:p w:rsidR="00CB3E60" w:rsidRPr="00AF0716" w:rsidRDefault="00CB3E60" w:rsidP="00CB3E60">
      <w:pPr>
        <w:spacing w:after="0"/>
        <w:rPr>
          <w:b/>
        </w:rPr>
      </w:pPr>
      <w:r w:rsidRPr="00AF0716">
        <w:rPr>
          <w:b/>
        </w:rPr>
        <w:lastRenderedPageBreak/>
        <w:t xml:space="preserve">Figure </w:t>
      </w:r>
      <w:r w:rsidR="009121FC">
        <w:rPr>
          <w:b/>
        </w:rPr>
        <w:t>S</w:t>
      </w:r>
      <w:r>
        <w:rPr>
          <w:b/>
        </w:rPr>
        <w:t>4</w:t>
      </w:r>
      <w:r w:rsidRPr="00AF0716">
        <w:rPr>
          <w:b/>
        </w:rPr>
        <w:t>: Impact of the Cook Islands import tariff increase on New Zealand reported untaxed beverage exports (water) to Cook Islands from 2000 to 2012</w:t>
      </w:r>
    </w:p>
    <w:p w:rsidR="00CB3E60" w:rsidRPr="00AF0716" w:rsidRDefault="00CB3E60" w:rsidP="00CB3E60">
      <w:pPr>
        <w:spacing w:after="0"/>
      </w:pPr>
      <w:r w:rsidRPr="00AF0716">
        <w:rPr>
          <w:noProof/>
          <w:lang w:eastAsia="en-NZ"/>
        </w:rPr>
        <w:drawing>
          <wp:inline distT="0" distB="0" distL="0" distR="0" wp14:anchorId="70D7ABB7" wp14:editId="1CE37761">
            <wp:extent cx="3963600" cy="20736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12910"/>
                    <a:stretch/>
                  </pic:blipFill>
                  <pic:spPr bwMode="auto">
                    <a:xfrm>
                      <a:off x="0" y="0"/>
                      <a:ext cx="3963600" cy="2073600"/>
                    </a:xfrm>
                    <a:prstGeom prst="rect">
                      <a:avLst/>
                    </a:prstGeom>
                    <a:ln>
                      <a:noFill/>
                    </a:ln>
                    <a:extLst>
                      <a:ext uri="{53640926-AAD7-44D8-BBD7-CCE9431645EC}">
                        <a14:shadowObscured xmlns:a14="http://schemas.microsoft.com/office/drawing/2010/main"/>
                      </a:ext>
                    </a:extLst>
                  </pic:spPr>
                </pic:pic>
              </a:graphicData>
            </a:graphic>
          </wp:inline>
        </w:drawing>
      </w:r>
    </w:p>
    <w:p w:rsidR="00CB3E60" w:rsidRDefault="00CB3E60" w:rsidP="00CB3E60">
      <w:pPr>
        <w:spacing w:after="0"/>
        <w:rPr>
          <w:b/>
        </w:rPr>
      </w:pPr>
    </w:p>
    <w:p w:rsidR="00CB3E60" w:rsidRPr="00AF0716" w:rsidRDefault="00CB3E60" w:rsidP="00CB3E60">
      <w:pPr>
        <w:spacing w:after="0" w:line="240" w:lineRule="auto"/>
        <w:rPr>
          <w:b/>
        </w:rPr>
      </w:pPr>
      <w:r w:rsidRPr="00AF0716">
        <w:rPr>
          <w:b/>
        </w:rPr>
        <w:t xml:space="preserve">Table </w:t>
      </w:r>
      <w:r w:rsidR="009121FC">
        <w:rPr>
          <w:b/>
        </w:rPr>
        <w:t>S</w:t>
      </w:r>
      <w:r>
        <w:rPr>
          <w:b/>
        </w:rPr>
        <w:t>7</w:t>
      </w:r>
      <w:r w:rsidRPr="00AF0716">
        <w:rPr>
          <w:b/>
        </w:rPr>
        <w:t xml:space="preserve">: </w:t>
      </w:r>
      <w:r>
        <w:rPr>
          <w:b/>
        </w:rPr>
        <w:t>Control and s</w:t>
      </w:r>
      <w:r w:rsidRPr="00AF0716">
        <w:rPr>
          <w:b/>
        </w:rPr>
        <w:t>ensitivity tests comparing the</w:t>
      </w:r>
      <w:r>
        <w:rPr>
          <w:b/>
        </w:rPr>
        <w:t xml:space="preserve"> % change</w:t>
      </w:r>
      <w:r w:rsidRPr="00AF0716">
        <w:rPr>
          <w:b/>
        </w:rPr>
        <w:t xml:space="preserve"> in sweetened beverage import volumes </w:t>
      </w:r>
      <w:r>
        <w:rPr>
          <w:b/>
        </w:rPr>
        <w:t>in the first year</w:t>
      </w:r>
      <w:r w:rsidRPr="00AF0716">
        <w:rPr>
          <w:b/>
        </w:rPr>
        <w:t xml:space="preserve"> after the 2008, 2012 and 2014 SSB tax changes in the Cook Islands</w:t>
      </w:r>
    </w:p>
    <w:tbl>
      <w:tblPr>
        <w:tblW w:w="8820" w:type="dxa"/>
        <w:tblInd w:w="108" w:type="dxa"/>
        <w:tblLayout w:type="fixed"/>
        <w:tblLook w:val="04A0" w:firstRow="1" w:lastRow="0" w:firstColumn="1" w:lastColumn="0" w:noHBand="0" w:noVBand="1"/>
      </w:tblPr>
      <w:tblGrid>
        <w:gridCol w:w="993"/>
        <w:gridCol w:w="2647"/>
        <w:gridCol w:w="1724"/>
        <w:gridCol w:w="1724"/>
        <w:gridCol w:w="1732"/>
      </w:tblGrid>
      <w:tr w:rsidR="00CB3E60" w:rsidRPr="00AF0716" w:rsidTr="005B5968">
        <w:trPr>
          <w:trHeight w:val="300"/>
        </w:trPr>
        <w:tc>
          <w:tcPr>
            <w:tcW w:w="993" w:type="dxa"/>
            <w:tcBorders>
              <w:top w:val="single" w:sz="4" w:space="0" w:color="auto"/>
              <w:left w:val="nil"/>
              <w:bottom w:val="nil"/>
              <w:right w:val="nil"/>
            </w:tcBorders>
            <w:shd w:val="clear" w:color="auto" w:fill="auto"/>
            <w:noWrap/>
            <w:vAlign w:val="center"/>
            <w:hideMark/>
          </w:tcPr>
          <w:p w:rsidR="00CB3E60" w:rsidRPr="00E70B17" w:rsidRDefault="00CB3E60" w:rsidP="005B5968">
            <w:pPr>
              <w:spacing w:after="0" w:line="240" w:lineRule="auto"/>
              <w:rPr>
                <w:rFonts w:eastAsia="Times New Roman" w:cs="Times New Roman"/>
                <w:b/>
                <w:color w:val="000000"/>
                <w:sz w:val="16"/>
                <w:szCs w:val="16"/>
              </w:rPr>
            </w:pPr>
          </w:p>
        </w:tc>
        <w:tc>
          <w:tcPr>
            <w:tcW w:w="2647" w:type="dxa"/>
            <w:tcBorders>
              <w:top w:val="single" w:sz="4" w:space="0" w:color="auto"/>
              <w:left w:val="nil"/>
              <w:bottom w:val="nil"/>
              <w:right w:val="nil"/>
            </w:tcBorders>
            <w:shd w:val="clear" w:color="auto" w:fill="auto"/>
            <w:vAlign w:val="center"/>
            <w:hideMark/>
          </w:tcPr>
          <w:p w:rsidR="00CB3E60" w:rsidRPr="00E70B17" w:rsidRDefault="00CB3E60" w:rsidP="005B5968">
            <w:pPr>
              <w:spacing w:after="0" w:line="240" w:lineRule="auto"/>
              <w:rPr>
                <w:rFonts w:eastAsia="Times New Roman" w:cs="Arial"/>
                <w:b/>
                <w:bCs/>
                <w:iCs/>
                <w:color w:val="000000"/>
                <w:sz w:val="16"/>
                <w:szCs w:val="16"/>
              </w:rPr>
            </w:pPr>
            <w:r w:rsidRPr="00E70B17">
              <w:rPr>
                <w:rFonts w:eastAsia="Times New Roman" w:cs="Arial"/>
                <w:b/>
                <w:bCs/>
                <w:iCs/>
                <w:color w:val="000000"/>
                <w:sz w:val="16"/>
                <w:szCs w:val="16"/>
              </w:rPr>
              <w:t>Year of SSB tax change</w:t>
            </w:r>
          </w:p>
        </w:tc>
        <w:tc>
          <w:tcPr>
            <w:tcW w:w="1724" w:type="dxa"/>
            <w:tcBorders>
              <w:top w:val="single" w:sz="4" w:space="0" w:color="auto"/>
              <w:left w:val="nil"/>
              <w:bottom w:val="nil"/>
              <w:right w:val="nil"/>
            </w:tcBorders>
            <w:shd w:val="clear" w:color="auto" w:fill="auto"/>
            <w:vAlign w:val="center"/>
            <w:hideMark/>
          </w:tcPr>
          <w:p w:rsidR="00CB3E60" w:rsidRPr="00E70B17" w:rsidRDefault="00CB3E60" w:rsidP="005B5968">
            <w:pPr>
              <w:spacing w:after="0" w:line="240" w:lineRule="auto"/>
              <w:jc w:val="center"/>
              <w:rPr>
                <w:rFonts w:eastAsia="Times New Roman" w:cs="Times New Roman"/>
                <w:b/>
                <w:color w:val="000000"/>
                <w:sz w:val="16"/>
                <w:szCs w:val="16"/>
              </w:rPr>
            </w:pPr>
            <w:r w:rsidRPr="00E70B17">
              <w:rPr>
                <w:rFonts w:eastAsia="Times New Roman" w:cs="Times New Roman"/>
                <w:b/>
                <w:color w:val="000000"/>
                <w:sz w:val="16"/>
                <w:szCs w:val="16"/>
              </w:rPr>
              <w:t>2008</w:t>
            </w:r>
          </w:p>
        </w:tc>
        <w:tc>
          <w:tcPr>
            <w:tcW w:w="1724" w:type="dxa"/>
            <w:tcBorders>
              <w:top w:val="single" w:sz="4" w:space="0" w:color="auto"/>
              <w:left w:val="nil"/>
              <w:bottom w:val="nil"/>
              <w:right w:val="nil"/>
            </w:tcBorders>
            <w:shd w:val="clear" w:color="auto" w:fill="auto"/>
            <w:vAlign w:val="center"/>
            <w:hideMark/>
          </w:tcPr>
          <w:p w:rsidR="00CB3E60" w:rsidRPr="00E70B17" w:rsidRDefault="00CB3E60" w:rsidP="005B5968">
            <w:pPr>
              <w:spacing w:after="0" w:line="240" w:lineRule="auto"/>
              <w:jc w:val="center"/>
              <w:rPr>
                <w:rFonts w:eastAsia="Times New Roman" w:cs="Times New Roman"/>
                <w:b/>
                <w:color w:val="000000"/>
                <w:sz w:val="16"/>
                <w:szCs w:val="16"/>
              </w:rPr>
            </w:pPr>
            <w:r w:rsidRPr="00E70B17">
              <w:rPr>
                <w:rFonts w:eastAsia="Times New Roman" w:cs="Times New Roman"/>
                <w:b/>
                <w:color w:val="000000"/>
                <w:sz w:val="16"/>
                <w:szCs w:val="16"/>
              </w:rPr>
              <w:t>2012</w:t>
            </w:r>
          </w:p>
        </w:tc>
        <w:tc>
          <w:tcPr>
            <w:tcW w:w="1732" w:type="dxa"/>
            <w:tcBorders>
              <w:top w:val="single" w:sz="4" w:space="0" w:color="auto"/>
              <w:left w:val="nil"/>
              <w:bottom w:val="nil"/>
              <w:right w:val="nil"/>
            </w:tcBorders>
            <w:shd w:val="clear" w:color="auto" w:fill="auto"/>
            <w:vAlign w:val="center"/>
            <w:hideMark/>
          </w:tcPr>
          <w:p w:rsidR="00CB3E60" w:rsidRPr="00E70B17" w:rsidRDefault="00CB3E60" w:rsidP="005B5968">
            <w:pPr>
              <w:spacing w:after="0" w:line="240" w:lineRule="auto"/>
              <w:jc w:val="center"/>
              <w:rPr>
                <w:rFonts w:eastAsia="Times New Roman" w:cs="Times New Roman"/>
                <w:b/>
                <w:color w:val="000000"/>
                <w:sz w:val="16"/>
                <w:szCs w:val="16"/>
              </w:rPr>
            </w:pPr>
            <w:r w:rsidRPr="00E70B17">
              <w:rPr>
                <w:rFonts w:eastAsia="Times New Roman" w:cs="Times New Roman"/>
                <w:b/>
                <w:color w:val="000000"/>
                <w:sz w:val="16"/>
                <w:szCs w:val="16"/>
              </w:rPr>
              <w:t>2014</w:t>
            </w:r>
          </w:p>
        </w:tc>
      </w:tr>
      <w:tr w:rsidR="00CB3E60" w:rsidRPr="00AF0716" w:rsidTr="005B5968">
        <w:trPr>
          <w:trHeight w:val="282"/>
        </w:trPr>
        <w:tc>
          <w:tcPr>
            <w:tcW w:w="993" w:type="dxa"/>
            <w:tcBorders>
              <w:top w:val="nil"/>
              <w:left w:val="nil"/>
              <w:bottom w:val="nil"/>
              <w:right w:val="nil"/>
            </w:tcBorders>
            <w:shd w:val="clear" w:color="auto" w:fill="auto"/>
            <w:noWrap/>
            <w:vAlign w:val="center"/>
            <w:hideMark/>
          </w:tcPr>
          <w:p w:rsidR="00CB3E60" w:rsidRPr="00E70B17" w:rsidRDefault="00CB3E60" w:rsidP="005B5968">
            <w:pPr>
              <w:spacing w:after="0" w:line="240" w:lineRule="auto"/>
              <w:rPr>
                <w:rFonts w:eastAsia="Times New Roman" w:cs="Times New Roman"/>
                <w:b/>
                <w:color w:val="000000"/>
                <w:sz w:val="16"/>
                <w:szCs w:val="16"/>
              </w:rPr>
            </w:pPr>
          </w:p>
        </w:tc>
        <w:tc>
          <w:tcPr>
            <w:tcW w:w="2647" w:type="dxa"/>
            <w:tcBorders>
              <w:top w:val="nil"/>
              <w:left w:val="nil"/>
              <w:bottom w:val="nil"/>
              <w:right w:val="nil"/>
            </w:tcBorders>
            <w:shd w:val="clear" w:color="auto" w:fill="auto"/>
            <w:vAlign w:val="center"/>
            <w:hideMark/>
          </w:tcPr>
          <w:p w:rsidR="00CB3E60" w:rsidRPr="00E70B17" w:rsidRDefault="00CB3E60" w:rsidP="005B5968">
            <w:pPr>
              <w:spacing w:after="0" w:line="240" w:lineRule="auto"/>
              <w:rPr>
                <w:rFonts w:eastAsia="Times New Roman" w:cs="Times New Roman"/>
                <w:b/>
                <w:color w:val="000000"/>
                <w:sz w:val="16"/>
                <w:szCs w:val="16"/>
              </w:rPr>
            </w:pPr>
          </w:p>
        </w:tc>
        <w:tc>
          <w:tcPr>
            <w:tcW w:w="1724" w:type="dxa"/>
            <w:tcBorders>
              <w:top w:val="nil"/>
              <w:left w:val="nil"/>
              <w:bottom w:val="nil"/>
              <w:right w:val="nil"/>
            </w:tcBorders>
            <w:shd w:val="clear" w:color="auto" w:fill="auto"/>
            <w:vAlign w:val="center"/>
            <w:hideMark/>
          </w:tcPr>
          <w:p w:rsidR="00CB3E60" w:rsidRPr="00E70B17" w:rsidRDefault="00CB3E60" w:rsidP="005B5968">
            <w:pPr>
              <w:spacing w:after="0" w:line="240" w:lineRule="auto"/>
              <w:jc w:val="center"/>
              <w:rPr>
                <w:b/>
                <w:color w:val="000000"/>
                <w:sz w:val="16"/>
                <w:szCs w:val="16"/>
              </w:rPr>
            </w:pPr>
            <w:r w:rsidRPr="00E70B17">
              <w:rPr>
                <w:b/>
                <w:color w:val="000000"/>
                <w:sz w:val="16"/>
                <w:szCs w:val="16"/>
              </w:rPr>
              <w:t>% change (95% CI)</w:t>
            </w:r>
          </w:p>
        </w:tc>
        <w:tc>
          <w:tcPr>
            <w:tcW w:w="1724" w:type="dxa"/>
            <w:tcBorders>
              <w:top w:val="nil"/>
              <w:left w:val="nil"/>
              <w:bottom w:val="nil"/>
              <w:right w:val="nil"/>
            </w:tcBorders>
            <w:shd w:val="clear" w:color="auto" w:fill="auto"/>
            <w:vAlign w:val="center"/>
            <w:hideMark/>
          </w:tcPr>
          <w:p w:rsidR="00CB3E60" w:rsidRPr="00E70B17" w:rsidRDefault="00CB3E60" w:rsidP="005B5968">
            <w:pPr>
              <w:spacing w:after="0" w:line="240" w:lineRule="auto"/>
              <w:jc w:val="center"/>
              <w:rPr>
                <w:b/>
                <w:color w:val="000000"/>
                <w:sz w:val="16"/>
                <w:szCs w:val="16"/>
              </w:rPr>
            </w:pPr>
            <w:r w:rsidRPr="00E70B17">
              <w:rPr>
                <w:b/>
                <w:color w:val="000000"/>
                <w:sz w:val="16"/>
                <w:szCs w:val="16"/>
              </w:rPr>
              <w:t>% change (95% CI)</w:t>
            </w:r>
          </w:p>
        </w:tc>
        <w:tc>
          <w:tcPr>
            <w:tcW w:w="1732" w:type="dxa"/>
            <w:tcBorders>
              <w:top w:val="nil"/>
              <w:left w:val="nil"/>
              <w:bottom w:val="nil"/>
              <w:right w:val="nil"/>
            </w:tcBorders>
            <w:shd w:val="clear" w:color="auto" w:fill="auto"/>
            <w:vAlign w:val="center"/>
            <w:hideMark/>
          </w:tcPr>
          <w:p w:rsidR="00CB3E60" w:rsidRPr="00E70B17" w:rsidRDefault="00CB3E60" w:rsidP="005B5968">
            <w:pPr>
              <w:spacing w:after="0" w:line="240" w:lineRule="auto"/>
              <w:jc w:val="center"/>
              <w:rPr>
                <w:b/>
                <w:color w:val="000000"/>
                <w:sz w:val="16"/>
                <w:szCs w:val="16"/>
              </w:rPr>
            </w:pPr>
            <w:r w:rsidRPr="00E70B17">
              <w:rPr>
                <w:b/>
                <w:color w:val="000000"/>
                <w:sz w:val="16"/>
                <w:szCs w:val="16"/>
              </w:rPr>
              <w:t>% change (95% CI)</w:t>
            </w:r>
          </w:p>
        </w:tc>
      </w:tr>
      <w:tr w:rsidR="00CB3E60" w:rsidRPr="00AF0716" w:rsidTr="005B5968">
        <w:trPr>
          <w:trHeight w:val="300"/>
        </w:trPr>
        <w:tc>
          <w:tcPr>
            <w:tcW w:w="993" w:type="dxa"/>
            <w:tcBorders>
              <w:top w:val="single" w:sz="4" w:space="0" w:color="auto"/>
              <w:left w:val="nil"/>
              <w:bottom w:val="single" w:sz="4" w:space="0" w:color="auto"/>
              <w:right w:val="nil"/>
            </w:tcBorders>
            <w:shd w:val="clear" w:color="auto" w:fill="auto"/>
            <w:vAlign w:val="center"/>
            <w:hideMark/>
          </w:tcPr>
          <w:p w:rsidR="00CB3E60" w:rsidRPr="00AF0716" w:rsidRDefault="00CB3E60" w:rsidP="005B5968">
            <w:pPr>
              <w:spacing w:after="0" w:line="240" w:lineRule="auto"/>
              <w:rPr>
                <w:rFonts w:eastAsia="Times New Roman" w:cs="Arial"/>
                <w:color w:val="000000"/>
                <w:sz w:val="16"/>
                <w:szCs w:val="16"/>
              </w:rPr>
            </w:pPr>
            <w:r w:rsidRPr="00AF0716">
              <w:rPr>
                <w:rFonts w:eastAsia="Times New Roman" w:cs="Arial"/>
                <w:color w:val="000000"/>
                <w:sz w:val="16"/>
                <w:szCs w:val="16"/>
              </w:rPr>
              <w:t>Primary analysis</w:t>
            </w:r>
          </w:p>
        </w:tc>
        <w:tc>
          <w:tcPr>
            <w:tcW w:w="2647" w:type="dxa"/>
            <w:tcBorders>
              <w:top w:val="single" w:sz="4" w:space="0" w:color="auto"/>
              <w:left w:val="nil"/>
              <w:bottom w:val="single" w:sz="4" w:space="0" w:color="auto"/>
              <w:right w:val="nil"/>
            </w:tcBorders>
            <w:shd w:val="clear" w:color="auto" w:fill="auto"/>
            <w:vAlign w:val="center"/>
            <w:hideMark/>
          </w:tcPr>
          <w:p w:rsidR="00CB3E60" w:rsidRPr="00AF0716" w:rsidRDefault="00CB3E60" w:rsidP="005B5968">
            <w:pPr>
              <w:spacing w:after="0" w:line="240" w:lineRule="auto"/>
              <w:rPr>
                <w:rFonts w:eastAsia="Times New Roman" w:cs="Arial"/>
                <w:color w:val="000000"/>
                <w:sz w:val="16"/>
                <w:szCs w:val="16"/>
              </w:rPr>
            </w:pPr>
            <w:r w:rsidRPr="00AF0716">
              <w:rPr>
                <w:rFonts w:eastAsia="Times New Roman" w:cs="Arial"/>
                <w:color w:val="000000"/>
                <w:sz w:val="16"/>
                <w:szCs w:val="16"/>
              </w:rPr>
              <w:t>Primary analysis, pre-post tax comparison, monthly</w:t>
            </w:r>
          </w:p>
        </w:tc>
        <w:tc>
          <w:tcPr>
            <w:tcW w:w="1724" w:type="dxa"/>
            <w:tcBorders>
              <w:top w:val="single" w:sz="4" w:space="0" w:color="auto"/>
              <w:left w:val="nil"/>
              <w:bottom w:val="single" w:sz="4" w:space="0" w:color="auto"/>
              <w:right w:val="nil"/>
            </w:tcBorders>
            <w:shd w:val="clear" w:color="auto" w:fill="auto"/>
            <w:hideMark/>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-13.2% (-38.1 to 17.8)</w:t>
            </w:r>
          </w:p>
        </w:tc>
        <w:tc>
          <w:tcPr>
            <w:tcW w:w="1724" w:type="dxa"/>
            <w:tcBorders>
              <w:top w:val="single" w:sz="4" w:space="0" w:color="auto"/>
              <w:left w:val="nil"/>
              <w:bottom w:val="single" w:sz="4" w:space="0" w:color="auto"/>
              <w:right w:val="nil"/>
            </w:tcBorders>
            <w:shd w:val="clear" w:color="auto" w:fill="auto"/>
            <w:hideMark/>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-2.9% (-41.6 to 72.5)</w:t>
            </w:r>
          </w:p>
        </w:tc>
        <w:tc>
          <w:tcPr>
            <w:tcW w:w="1732" w:type="dxa"/>
            <w:tcBorders>
              <w:top w:val="single" w:sz="4" w:space="0" w:color="auto"/>
              <w:left w:val="nil"/>
              <w:bottom w:val="single" w:sz="4" w:space="0" w:color="auto"/>
              <w:right w:val="nil"/>
            </w:tcBorders>
            <w:shd w:val="clear" w:color="auto" w:fill="auto"/>
            <w:hideMark/>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4.5% (-39.5 to 156.0)</w:t>
            </w:r>
          </w:p>
        </w:tc>
      </w:tr>
      <w:tr w:rsidR="00CB3E60" w:rsidRPr="00AF0716" w:rsidTr="005B5968">
        <w:trPr>
          <w:trHeight w:val="300"/>
        </w:trPr>
        <w:tc>
          <w:tcPr>
            <w:tcW w:w="993" w:type="dxa"/>
            <w:tcBorders>
              <w:left w:val="nil"/>
              <w:bottom w:val="single" w:sz="4" w:space="0" w:color="auto"/>
              <w:right w:val="nil"/>
            </w:tcBorders>
            <w:shd w:val="clear" w:color="auto" w:fill="auto"/>
            <w:noWrap/>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Controlled analysis</w:t>
            </w:r>
          </w:p>
        </w:tc>
        <w:tc>
          <w:tcPr>
            <w:tcW w:w="2647" w:type="dxa"/>
            <w:tcBorders>
              <w:top w:val="nil"/>
              <w:left w:val="nil"/>
              <w:bottom w:val="single" w:sz="4" w:space="0" w:color="auto"/>
              <w:right w:val="nil"/>
            </w:tcBorders>
            <w:shd w:val="clear" w:color="auto" w:fill="auto"/>
          </w:tcPr>
          <w:p w:rsidR="00CB3E60" w:rsidRPr="00AF0716" w:rsidRDefault="00CB3E60" w:rsidP="005B5968">
            <w:pPr>
              <w:spacing w:after="0" w:line="240" w:lineRule="auto"/>
              <w:rPr>
                <w:rFonts w:cs="Arial"/>
                <w:color w:val="000000"/>
                <w:sz w:val="16"/>
                <w:szCs w:val="16"/>
              </w:rPr>
            </w:pPr>
            <w:r w:rsidRPr="00AF0716">
              <w:rPr>
                <w:rFonts w:eastAsia="Times New Roman" w:cs="Arial"/>
                <w:color w:val="000000"/>
                <w:sz w:val="16"/>
                <w:szCs w:val="16"/>
              </w:rPr>
              <w:t>Pre-post tax comparison, monthly, compared to post-tax changes in sugar snack foods</w:t>
            </w:r>
          </w:p>
        </w:tc>
        <w:tc>
          <w:tcPr>
            <w:tcW w:w="1724" w:type="dxa"/>
            <w:tcBorders>
              <w:top w:val="nil"/>
              <w:left w:val="nil"/>
              <w:bottom w:val="single" w:sz="4" w:space="0" w:color="auto"/>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b/>
                <w:color w:val="E36C0A" w:themeColor="accent6" w:themeShade="BF"/>
                <w:sz w:val="16"/>
                <w:szCs w:val="16"/>
              </w:rPr>
              <w:t>-24.8%</w:t>
            </w:r>
            <w:r w:rsidRPr="00AF0716">
              <w:rPr>
                <w:rFonts w:ascii="Calibri" w:hAnsi="Calibri"/>
                <w:color w:val="E36C0A" w:themeColor="accent6" w:themeShade="BF"/>
                <w:sz w:val="16"/>
                <w:szCs w:val="16"/>
              </w:rPr>
              <w:t xml:space="preserve"> </w:t>
            </w:r>
            <w:r w:rsidRPr="00AF0716">
              <w:rPr>
                <w:rFonts w:ascii="Calibri" w:hAnsi="Calibri"/>
                <w:color w:val="000000"/>
                <w:sz w:val="16"/>
                <w:szCs w:val="16"/>
              </w:rPr>
              <w:t>(-36.9 to -9.8)</w:t>
            </w:r>
          </w:p>
        </w:tc>
        <w:tc>
          <w:tcPr>
            <w:tcW w:w="1724" w:type="dxa"/>
            <w:tcBorders>
              <w:top w:val="nil"/>
              <w:left w:val="nil"/>
              <w:bottom w:val="single" w:sz="4" w:space="0" w:color="auto"/>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b/>
                <w:color w:val="E36C0A" w:themeColor="accent6" w:themeShade="BF"/>
                <w:sz w:val="16"/>
                <w:szCs w:val="16"/>
              </w:rPr>
              <w:t>-10.2%</w:t>
            </w:r>
            <w:r w:rsidRPr="00AF0716">
              <w:rPr>
                <w:rFonts w:ascii="Calibri" w:hAnsi="Calibri"/>
                <w:color w:val="000000"/>
                <w:sz w:val="16"/>
                <w:szCs w:val="16"/>
              </w:rPr>
              <w:t xml:space="preserve"> (-37.1 to 37.5)</w:t>
            </w:r>
          </w:p>
        </w:tc>
        <w:tc>
          <w:tcPr>
            <w:tcW w:w="1732" w:type="dxa"/>
            <w:tcBorders>
              <w:top w:val="nil"/>
              <w:left w:val="nil"/>
              <w:bottom w:val="single" w:sz="4" w:space="0" w:color="auto"/>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b/>
                <w:color w:val="E36C0A" w:themeColor="accent6" w:themeShade="BF"/>
                <w:sz w:val="16"/>
                <w:szCs w:val="16"/>
              </w:rPr>
              <w:t>-2.7%</w:t>
            </w:r>
            <w:r w:rsidRPr="00AF0716">
              <w:rPr>
                <w:rFonts w:ascii="Calibri" w:hAnsi="Calibri"/>
                <w:color w:val="E36C0A" w:themeColor="accent6" w:themeShade="BF"/>
                <w:sz w:val="16"/>
                <w:szCs w:val="16"/>
              </w:rPr>
              <w:t xml:space="preserve"> </w:t>
            </w:r>
            <w:r w:rsidRPr="00AF0716">
              <w:rPr>
                <w:rFonts w:ascii="Calibri" w:hAnsi="Calibri"/>
                <w:color w:val="000000"/>
                <w:sz w:val="16"/>
                <w:szCs w:val="16"/>
              </w:rPr>
              <w:t>(-39.4 to 100.2)</w:t>
            </w:r>
          </w:p>
        </w:tc>
      </w:tr>
      <w:tr w:rsidR="00CB3E60" w:rsidRPr="00AF0716" w:rsidTr="005B5968">
        <w:trPr>
          <w:trHeight w:val="300"/>
        </w:trPr>
        <w:tc>
          <w:tcPr>
            <w:tcW w:w="993" w:type="dxa"/>
            <w:vMerge w:val="restart"/>
            <w:tcBorders>
              <w:left w:val="nil"/>
              <w:right w:val="nil"/>
            </w:tcBorders>
            <w:shd w:val="clear" w:color="auto" w:fill="auto"/>
            <w:noWrap/>
            <w:hideMark/>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Arial"/>
                <w:color w:val="000000"/>
                <w:sz w:val="16"/>
                <w:szCs w:val="16"/>
              </w:rPr>
              <w:t>Sensitivity tests (as planned)</w:t>
            </w:r>
          </w:p>
        </w:tc>
        <w:tc>
          <w:tcPr>
            <w:tcW w:w="2647" w:type="dxa"/>
            <w:tcBorders>
              <w:top w:val="nil"/>
              <w:left w:val="nil"/>
              <w:bottom w:val="nil"/>
              <w:right w:val="nil"/>
            </w:tcBorders>
            <w:shd w:val="clear" w:color="auto" w:fill="auto"/>
            <w:hideMark/>
          </w:tcPr>
          <w:p w:rsidR="00CB3E60" w:rsidRPr="00AF0716" w:rsidRDefault="00CB3E60" w:rsidP="005B5968">
            <w:pPr>
              <w:spacing w:after="0" w:line="240" w:lineRule="auto"/>
              <w:rPr>
                <w:rFonts w:eastAsia="Times New Roman" w:cs="Arial"/>
                <w:color w:val="000000"/>
                <w:sz w:val="16"/>
                <w:szCs w:val="16"/>
              </w:rPr>
            </w:pPr>
            <w:r w:rsidRPr="00AF0716">
              <w:rPr>
                <w:rFonts w:eastAsia="Times New Roman" w:cs="Arial"/>
                <w:color w:val="000000"/>
                <w:sz w:val="16"/>
                <w:szCs w:val="16"/>
              </w:rPr>
              <w:t>Three month lag in effect, with 9 months follow-up for 2016 &amp; 17 taxes</w:t>
            </w:r>
          </w:p>
        </w:tc>
        <w:tc>
          <w:tcPr>
            <w:tcW w:w="1724" w:type="dxa"/>
            <w:tcBorders>
              <w:top w:val="nil"/>
              <w:left w:val="nil"/>
              <w:bottom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-10.9% (-33.7 to 18.5)</w:t>
            </w:r>
          </w:p>
        </w:tc>
        <w:tc>
          <w:tcPr>
            <w:tcW w:w="1724" w:type="dxa"/>
            <w:tcBorders>
              <w:top w:val="nil"/>
              <w:left w:val="nil"/>
              <w:bottom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19.8%</w:t>
            </w:r>
            <w:r w:rsidRPr="00AF0716">
              <w:rPr>
                <w:rFonts w:ascii="Calibri" w:hAnsi="Calibri"/>
                <w:color w:val="00B0F0"/>
                <w:sz w:val="16"/>
                <w:szCs w:val="16"/>
              </w:rPr>
              <w:t xml:space="preserve"> </w:t>
            </w:r>
            <w:r w:rsidRPr="00AF0716">
              <w:rPr>
                <w:rFonts w:ascii="Calibri" w:hAnsi="Calibri"/>
                <w:color w:val="000000"/>
                <w:sz w:val="16"/>
                <w:szCs w:val="16"/>
              </w:rPr>
              <w:t>(-25.2 to 123.1)</w:t>
            </w:r>
          </w:p>
        </w:tc>
        <w:tc>
          <w:tcPr>
            <w:tcW w:w="1732" w:type="dxa"/>
            <w:tcBorders>
              <w:top w:val="nil"/>
              <w:left w:val="nil"/>
              <w:bottom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32.7%</w:t>
            </w:r>
            <w:r w:rsidRPr="00AF0716">
              <w:rPr>
                <w:rFonts w:ascii="Calibri" w:hAnsi="Calibri"/>
                <w:color w:val="00B0F0"/>
                <w:sz w:val="16"/>
                <w:szCs w:val="16"/>
              </w:rPr>
              <w:t xml:space="preserve"> </w:t>
            </w:r>
            <w:r w:rsidRPr="00AF0716">
              <w:rPr>
                <w:rFonts w:ascii="Calibri" w:hAnsi="Calibri"/>
                <w:color w:val="000000"/>
                <w:sz w:val="16"/>
                <w:szCs w:val="16"/>
              </w:rPr>
              <w:t>(-44.7 to 636.6)</w:t>
            </w:r>
          </w:p>
        </w:tc>
      </w:tr>
      <w:tr w:rsidR="00CB3E60" w:rsidRPr="00AF0716" w:rsidTr="005B5968">
        <w:trPr>
          <w:trHeight w:val="300"/>
        </w:trPr>
        <w:tc>
          <w:tcPr>
            <w:tcW w:w="993" w:type="dxa"/>
            <w:vMerge/>
            <w:tcBorders>
              <w:left w:val="nil"/>
              <w:bottom w:val="nil"/>
              <w:right w:val="nil"/>
            </w:tcBorders>
            <w:shd w:val="clear" w:color="auto" w:fill="auto"/>
            <w:noWrap/>
            <w:hideMark/>
          </w:tcPr>
          <w:p w:rsidR="00CB3E60" w:rsidRPr="00AF0716" w:rsidRDefault="00CB3E60" w:rsidP="005B5968">
            <w:pPr>
              <w:spacing w:after="0" w:line="240" w:lineRule="auto"/>
              <w:rPr>
                <w:rFonts w:eastAsia="Times New Roman" w:cs="Times New Roman"/>
                <w:color w:val="000000"/>
                <w:sz w:val="16"/>
                <w:szCs w:val="16"/>
              </w:rPr>
            </w:pPr>
          </w:p>
        </w:tc>
        <w:tc>
          <w:tcPr>
            <w:tcW w:w="2647" w:type="dxa"/>
            <w:tcBorders>
              <w:top w:val="nil"/>
              <w:left w:val="nil"/>
              <w:bottom w:val="nil"/>
              <w:right w:val="nil"/>
            </w:tcBorders>
            <w:shd w:val="clear" w:color="auto" w:fill="auto"/>
            <w:hideMark/>
          </w:tcPr>
          <w:p w:rsidR="00CB3E60" w:rsidRPr="00AF0716" w:rsidRDefault="00CB3E60" w:rsidP="005B5968">
            <w:pPr>
              <w:spacing w:after="0" w:line="240" w:lineRule="auto"/>
              <w:rPr>
                <w:rFonts w:eastAsia="Times New Roman" w:cs="Arial"/>
                <w:color w:val="000000"/>
                <w:sz w:val="16"/>
                <w:szCs w:val="16"/>
              </w:rPr>
            </w:pPr>
            <w:r w:rsidRPr="00AF0716">
              <w:rPr>
                <w:rFonts w:eastAsia="Times New Roman" w:cs="Arial"/>
                <w:color w:val="000000"/>
                <w:sz w:val="16"/>
                <w:szCs w:val="16"/>
              </w:rPr>
              <w:t>Maximum lead in period of three years</w:t>
            </w:r>
          </w:p>
        </w:tc>
        <w:tc>
          <w:tcPr>
            <w:tcW w:w="1724" w:type="dxa"/>
            <w:tcBorders>
              <w:top w:val="nil"/>
              <w:left w:val="nil"/>
              <w:bottom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55.1%</w:t>
            </w:r>
            <w:r w:rsidRPr="00AF0716">
              <w:rPr>
                <w:rFonts w:ascii="Calibri" w:hAnsi="Calibri"/>
                <w:color w:val="00B0F0"/>
                <w:sz w:val="16"/>
                <w:szCs w:val="16"/>
              </w:rPr>
              <w:t xml:space="preserve"> </w:t>
            </w:r>
            <w:r w:rsidRPr="00AF0716">
              <w:rPr>
                <w:rFonts w:ascii="Calibri" w:hAnsi="Calibri"/>
                <w:color w:val="000000"/>
                <w:sz w:val="16"/>
                <w:szCs w:val="16"/>
              </w:rPr>
              <w:t>(14.4 to 133.8)</w:t>
            </w:r>
          </w:p>
        </w:tc>
        <w:tc>
          <w:tcPr>
            <w:tcW w:w="1724" w:type="dxa"/>
            <w:tcBorders>
              <w:top w:val="nil"/>
              <w:left w:val="nil"/>
              <w:bottom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-0.6%</w:t>
            </w:r>
            <w:r w:rsidRPr="00AF0716">
              <w:rPr>
                <w:rFonts w:ascii="Calibri" w:hAnsi="Calibri"/>
                <w:color w:val="00B0F0"/>
                <w:sz w:val="16"/>
                <w:szCs w:val="16"/>
              </w:rPr>
              <w:t xml:space="preserve"> </w:t>
            </w:r>
            <w:r w:rsidRPr="00AF0716">
              <w:rPr>
                <w:rFonts w:ascii="Calibri" w:hAnsi="Calibri"/>
                <w:color w:val="000000"/>
                <w:sz w:val="16"/>
                <w:szCs w:val="16"/>
              </w:rPr>
              <w:t>(-19.8 to 23.4)</w:t>
            </w:r>
          </w:p>
        </w:tc>
        <w:tc>
          <w:tcPr>
            <w:tcW w:w="1732" w:type="dxa"/>
            <w:tcBorders>
              <w:top w:val="nil"/>
              <w:left w:val="nil"/>
              <w:bottom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7D3A0B">
              <w:rPr>
                <w:rFonts w:ascii="Calibri" w:hAnsi="Calibri"/>
                <w:b/>
                <w:color w:val="E36C0A" w:themeColor="accent6" w:themeShade="BF"/>
                <w:sz w:val="16"/>
                <w:szCs w:val="16"/>
              </w:rPr>
              <w:t>-1.9%</w:t>
            </w:r>
            <w:r w:rsidRPr="00AF0716">
              <w:rPr>
                <w:rFonts w:ascii="Calibri" w:hAnsi="Calibri"/>
                <w:color w:val="E36C0A" w:themeColor="accent6" w:themeShade="BF"/>
                <w:sz w:val="16"/>
                <w:szCs w:val="16"/>
              </w:rPr>
              <w:t xml:space="preserve"> </w:t>
            </w:r>
            <w:r w:rsidRPr="00AF0716">
              <w:rPr>
                <w:rFonts w:ascii="Calibri" w:hAnsi="Calibri"/>
                <w:color w:val="000000"/>
                <w:sz w:val="16"/>
                <w:szCs w:val="16"/>
              </w:rPr>
              <w:t>(-27.6 to 42.3)</w:t>
            </w:r>
          </w:p>
        </w:tc>
      </w:tr>
      <w:tr w:rsidR="00CB3E60" w:rsidRPr="00AF0716" w:rsidTr="005B5968">
        <w:trPr>
          <w:trHeight w:val="300"/>
        </w:trPr>
        <w:tc>
          <w:tcPr>
            <w:tcW w:w="993" w:type="dxa"/>
            <w:tcBorders>
              <w:top w:val="nil"/>
              <w:left w:val="nil"/>
              <w:bottom w:val="nil"/>
              <w:right w:val="nil"/>
            </w:tcBorders>
            <w:shd w:val="clear" w:color="auto" w:fill="auto"/>
            <w:noWrap/>
            <w:hideMark/>
          </w:tcPr>
          <w:p w:rsidR="00CB3E60" w:rsidRPr="00AF0716" w:rsidRDefault="00CB3E60" w:rsidP="005B5968">
            <w:pPr>
              <w:spacing w:after="0" w:line="240" w:lineRule="auto"/>
              <w:rPr>
                <w:rFonts w:eastAsia="Times New Roman" w:cs="Times New Roman"/>
                <w:color w:val="000000"/>
                <w:sz w:val="16"/>
                <w:szCs w:val="16"/>
              </w:rPr>
            </w:pPr>
          </w:p>
        </w:tc>
        <w:tc>
          <w:tcPr>
            <w:tcW w:w="2647" w:type="dxa"/>
            <w:tcBorders>
              <w:top w:val="nil"/>
              <w:left w:val="nil"/>
              <w:bottom w:val="nil"/>
              <w:right w:val="nil"/>
            </w:tcBorders>
            <w:shd w:val="clear" w:color="auto" w:fill="auto"/>
            <w:hideMark/>
          </w:tcPr>
          <w:p w:rsidR="00CB3E60" w:rsidRPr="00AF0716" w:rsidRDefault="00CB3E60" w:rsidP="005B5968">
            <w:pPr>
              <w:spacing w:after="0" w:line="240" w:lineRule="auto"/>
              <w:rPr>
                <w:rFonts w:eastAsia="Times New Roman" w:cs="Arial"/>
                <w:color w:val="000000"/>
                <w:sz w:val="16"/>
                <w:szCs w:val="16"/>
              </w:rPr>
            </w:pPr>
            <w:r w:rsidRPr="00AF0716">
              <w:rPr>
                <w:rFonts w:eastAsia="Times New Roman" w:cs="Arial"/>
                <w:color w:val="000000"/>
                <w:sz w:val="16"/>
                <w:szCs w:val="16"/>
              </w:rPr>
              <w:t xml:space="preserve">No weighting, limiting to NZ import trends only </w:t>
            </w:r>
          </w:p>
        </w:tc>
        <w:tc>
          <w:tcPr>
            <w:tcW w:w="1724" w:type="dxa"/>
            <w:tcBorders>
              <w:top w:val="nil"/>
              <w:left w:val="nil"/>
              <w:bottom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-9.3%</w:t>
            </w:r>
            <w:r w:rsidRPr="00AF0716">
              <w:rPr>
                <w:rFonts w:ascii="Calibri" w:hAnsi="Calibri"/>
                <w:color w:val="00B0F0"/>
                <w:sz w:val="16"/>
                <w:szCs w:val="16"/>
              </w:rPr>
              <w:t xml:space="preserve"> </w:t>
            </w:r>
            <w:r w:rsidRPr="00AF0716">
              <w:rPr>
                <w:rFonts w:ascii="Calibri" w:hAnsi="Calibri"/>
                <w:color w:val="000000"/>
                <w:sz w:val="16"/>
                <w:szCs w:val="16"/>
              </w:rPr>
              <w:t>(-32.5 to 20.5)</w:t>
            </w:r>
          </w:p>
        </w:tc>
        <w:tc>
          <w:tcPr>
            <w:tcW w:w="1724" w:type="dxa"/>
            <w:tcBorders>
              <w:top w:val="nil"/>
              <w:left w:val="nil"/>
              <w:bottom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-3.1% (-38.9 to 62.0)</w:t>
            </w:r>
          </w:p>
        </w:tc>
        <w:tc>
          <w:tcPr>
            <w:tcW w:w="1732" w:type="dxa"/>
            <w:tcBorders>
              <w:top w:val="nil"/>
              <w:left w:val="nil"/>
              <w:bottom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7D3A0B">
              <w:rPr>
                <w:rFonts w:ascii="Calibri" w:hAnsi="Calibri"/>
                <w:b/>
                <w:color w:val="E36C0A" w:themeColor="accent6" w:themeShade="BF"/>
                <w:sz w:val="16"/>
                <w:szCs w:val="16"/>
              </w:rPr>
              <w:t>-2.0%</w:t>
            </w:r>
            <w:r w:rsidRPr="00AF0716">
              <w:rPr>
                <w:rFonts w:ascii="Calibri" w:hAnsi="Calibri"/>
                <w:color w:val="E36C0A" w:themeColor="accent6" w:themeShade="BF"/>
                <w:sz w:val="16"/>
                <w:szCs w:val="16"/>
              </w:rPr>
              <w:t xml:space="preserve"> </w:t>
            </w:r>
            <w:r w:rsidRPr="00AF0716">
              <w:rPr>
                <w:rFonts w:ascii="Calibri" w:hAnsi="Calibri"/>
                <w:color w:val="000000"/>
                <w:sz w:val="16"/>
                <w:szCs w:val="16"/>
              </w:rPr>
              <w:t>(-40.9 to 111.1)</w:t>
            </w:r>
          </w:p>
        </w:tc>
      </w:tr>
      <w:tr w:rsidR="00CB3E60" w:rsidRPr="00AF0716" w:rsidTr="005B5968">
        <w:trPr>
          <w:trHeight w:val="300"/>
        </w:trPr>
        <w:tc>
          <w:tcPr>
            <w:tcW w:w="993" w:type="dxa"/>
            <w:tcBorders>
              <w:top w:val="nil"/>
              <w:left w:val="nil"/>
              <w:right w:val="nil"/>
            </w:tcBorders>
            <w:shd w:val="clear" w:color="auto" w:fill="auto"/>
            <w:hideMark/>
          </w:tcPr>
          <w:p w:rsidR="00CB3E60" w:rsidRPr="00AF0716" w:rsidRDefault="00CB3E60" w:rsidP="005B5968">
            <w:pPr>
              <w:spacing w:after="0" w:line="240" w:lineRule="auto"/>
              <w:rPr>
                <w:rFonts w:eastAsia="Times New Roman" w:cs="Arial"/>
                <w:color w:val="000000"/>
                <w:sz w:val="16"/>
                <w:szCs w:val="16"/>
              </w:rPr>
            </w:pPr>
          </w:p>
        </w:tc>
        <w:tc>
          <w:tcPr>
            <w:tcW w:w="2647" w:type="dxa"/>
            <w:tcBorders>
              <w:top w:val="nil"/>
              <w:left w:val="nil"/>
              <w:right w:val="nil"/>
            </w:tcBorders>
            <w:shd w:val="clear" w:color="auto" w:fill="auto"/>
            <w:hideMark/>
          </w:tcPr>
          <w:p w:rsidR="00CB3E60" w:rsidRPr="00AF0716" w:rsidRDefault="00CB3E60" w:rsidP="005B5968">
            <w:pPr>
              <w:spacing w:after="0" w:line="240" w:lineRule="auto"/>
              <w:rPr>
                <w:rFonts w:eastAsia="Times New Roman" w:cs="Arial"/>
                <w:color w:val="000000"/>
                <w:sz w:val="16"/>
                <w:szCs w:val="16"/>
              </w:rPr>
            </w:pPr>
            <w:r w:rsidRPr="00AF0716">
              <w:rPr>
                <w:rFonts w:eastAsia="Times New Roman" w:cs="Arial"/>
                <w:color w:val="000000"/>
                <w:sz w:val="16"/>
                <w:szCs w:val="16"/>
              </w:rPr>
              <w:t>Adjustment for Cyclone Pat (Feb, Mar 2010, Rarotonga)</w:t>
            </w:r>
          </w:p>
        </w:tc>
        <w:tc>
          <w:tcPr>
            <w:tcW w:w="1724" w:type="dxa"/>
            <w:tcBorders>
              <w:top w:val="nil"/>
              <w:left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-13.1% (-36.1 to 16.3)</w:t>
            </w:r>
          </w:p>
        </w:tc>
        <w:tc>
          <w:tcPr>
            <w:tcW w:w="1724" w:type="dxa"/>
            <w:tcBorders>
              <w:top w:val="nil"/>
              <w:left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-2.0% (-38.4 to 64.9)</w:t>
            </w:r>
          </w:p>
        </w:tc>
        <w:tc>
          <w:tcPr>
            <w:tcW w:w="1732" w:type="dxa"/>
            <w:tcBorders>
              <w:top w:val="nil"/>
              <w:left w:val="nil"/>
              <w:right w:val="nil"/>
            </w:tcBorders>
            <w:shd w:val="clear" w:color="auto" w:fill="auto"/>
            <w:noWrap/>
            <w:hideMark/>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4.5% (-37.5 to 133.2)</w:t>
            </w:r>
          </w:p>
        </w:tc>
      </w:tr>
      <w:tr w:rsidR="00CB3E60" w:rsidRPr="00AF0716" w:rsidTr="005B5968">
        <w:trPr>
          <w:trHeight w:val="300"/>
        </w:trPr>
        <w:tc>
          <w:tcPr>
            <w:tcW w:w="993" w:type="dxa"/>
            <w:tcBorders>
              <w:left w:val="nil"/>
              <w:right w:val="nil"/>
            </w:tcBorders>
          </w:tcPr>
          <w:p w:rsidR="00CB3E60" w:rsidRPr="00AF0716" w:rsidRDefault="00CB3E60" w:rsidP="005B5968">
            <w:pPr>
              <w:spacing w:after="0" w:line="240" w:lineRule="auto"/>
              <w:rPr>
                <w:rFonts w:eastAsia="Times New Roman" w:cs="Arial"/>
                <w:color w:val="000000"/>
                <w:sz w:val="16"/>
                <w:szCs w:val="16"/>
              </w:rPr>
            </w:pPr>
          </w:p>
        </w:tc>
        <w:tc>
          <w:tcPr>
            <w:tcW w:w="2647" w:type="dxa"/>
            <w:tcBorders>
              <w:top w:val="nil"/>
              <w:left w:val="nil"/>
              <w:right w:val="nil"/>
            </w:tcBorders>
            <w:shd w:val="clear" w:color="auto" w:fill="auto"/>
          </w:tcPr>
          <w:p w:rsidR="00CB3E60" w:rsidRPr="00AF0716" w:rsidRDefault="00CB3E60" w:rsidP="005B5968">
            <w:pPr>
              <w:spacing w:after="0" w:line="240" w:lineRule="auto"/>
              <w:rPr>
                <w:rFonts w:eastAsia="Times New Roman" w:cs="Arial"/>
                <w:color w:val="000000"/>
                <w:sz w:val="16"/>
                <w:szCs w:val="16"/>
              </w:rPr>
            </w:pPr>
            <w:r w:rsidRPr="00AF0716">
              <w:rPr>
                <w:rFonts w:eastAsia="Times New Roman" w:cs="Arial"/>
                <w:color w:val="000000"/>
                <w:sz w:val="16"/>
                <w:szCs w:val="16"/>
              </w:rPr>
              <w:t>Without adjusting for autocorrelation</w:t>
            </w:r>
          </w:p>
        </w:tc>
        <w:tc>
          <w:tcPr>
            <w:tcW w:w="1724" w:type="dxa"/>
            <w:tcBorders>
              <w:top w:val="nil"/>
              <w:left w:val="nil"/>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-12.3% (-35.1 to 16.8)</w:t>
            </w:r>
          </w:p>
        </w:tc>
        <w:tc>
          <w:tcPr>
            <w:tcW w:w="1724" w:type="dxa"/>
            <w:tcBorders>
              <w:top w:val="nil"/>
              <w:left w:val="nil"/>
              <w:right w:val="nil"/>
            </w:tcBorders>
            <w:shd w:val="clear" w:color="auto" w:fill="auto"/>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-2.7% (-38.6 to 62.7)</w:t>
            </w:r>
          </w:p>
        </w:tc>
        <w:tc>
          <w:tcPr>
            <w:tcW w:w="1732" w:type="dxa"/>
            <w:tcBorders>
              <w:top w:val="nil"/>
              <w:left w:val="nil"/>
              <w:right w:val="nil"/>
            </w:tcBorders>
            <w:shd w:val="clear" w:color="auto" w:fill="auto"/>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4.2% (-37.4 to 128.9)</w:t>
            </w:r>
          </w:p>
        </w:tc>
      </w:tr>
      <w:tr w:rsidR="00CB3E60" w:rsidRPr="00AF0716" w:rsidTr="005B5968">
        <w:trPr>
          <w:trHeight w:val="300"/>
        </w:trPr>
        <w:tc>
          <w:tcPr>
            <w:tcW w:w="993" w:type="dxa"/>
            <w:tcBorders>
              <w:top w:val="nil"/>
              <w:left w:val="nil"/>
              <w:bottom w:val="dotted" w:sz="4" w:space="0" w:color="auto"/>
              <w:right w:val="nil"/>
            </w:tcBorders>
            <w:shd w:val="clear" w:color="auto" w:fill="auto"/>
            <w:noWrap/>
          </w:tcPr>
          <w:p w:rsidR="00CB3E60" w:rsidRPr="00AF0716" w:rsidRDefault="00CB3E60" w:rsidP="005B5968">
            <w:pPr>
              <w:spacing w:after="0" w:line="240" w:lineRule="auto"/>
              <w:rPr>
                <w:rFonts w:eastAsia="Times New Roman" w:cs="Times New Roman"/>
                <w:color w:val="000000"/>
                <w:sz w:val="16"/>
                <w:szCs w:val="16"/>
              </w:rPr>
            </w:pPr>
          </w:p>
        </w:tc>
        <w:tc>
          <w:tcPr>
            <w:tcW w:w="2647" w:type="dxa"/>
            <w:tcBorders>
              <w:top w:val="nil"/>
              <w:left w:val="nil"/>
              <w:bottom w:val="dotted" w:sz="4" w:space="0" w:color="auto"/>
              <w:right w:val="nil"/>
            </w:tcBorders>
            <w:shd w:val="clear" w:color="auto" w:fill="auto"/>
          </w:tcPr>
          <w:p w:rsidR="00CB3E60" w:rsidRPr="00AF0716" w:rsidRDefault="00CB3E60" w:rsidP="005B5968">
            <w:pPr>
              <w:spacing w:after="0" w:line="240" w:lineRule="auto"/>
              <w:rPr>
                <w:rFonts w:eastAsia="Times New Roman" w:cs="Arial"/>
                <w:color w:val="000000"/>
                <w:sz w:val="16"/>
                <w:szCs w:val="16"/>
              </w:rPr>
            </w:pPr>
            <w:r w:rsidRPr="00AF0716">
              <w:rPr>
                <w:rFonts w:eastAsia="Times New Roman" w:cs="Arial"/>
                <w:color w:val="000000"/>
                <w:sz w:val="16"/>
                <w:szCs w:val="16"/>
              </w:rPr>
              <w:t>Without adjusting for confounding</w:t>
            </w:r>
          </w:p>
        </w:tc>
        <w:tc>
          <w:tcPr>
            <w:tcW w:w="1724" w:type="dxa"/>
            <w:tcBorders>
              <w:top w:val="nil"/>
              <w:left w:val="nil"/>
              <w:bottom w:val="dotted" w:sz="4" w:space="0" w:color="auto"/>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-13.7% (-36.0 to 15.1)</w:t>
            </w:r>
          </w:p>
        </w:tc>
        <w:tc>
          <w:tcPr>
            <w:tcW w:w="1724" w:type="dxa"/>
            <w:tcBorders>
              <w:top w:val="nil"/>
              <w:left w:val="nil"/>
              <w:bottom w:val="dotted" w:sz="4" w:space="0" w:color="auto"/>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b/>
                <w:color w:val="E36C0A" w:themeColor="accent6" w:themeShade="BF"/>
                <w:sz w:val="16"/>
                <w:szCs w:val="16"/>
              </w:rPr>
              <w:t>-6.5%</w:t>
            </w:r>
            <w:r w:rsidRPr="00AF0716">
              <w:rPr>
                <w:rFonts w:ascii="Calibri" w:hAnsi="Calibri"/>
                <w:color w:val="E36C0A" w:themeColor="accent6" w:themeShade="BF"/>
                <w:sz w:val="16"/>
                <w:szCs w:val="16"/>
              </w:rPr>
              <w:t xml:space="preserve"> </w:t>
            </w:r>
            <w:r w:rsidRPr="00AF0716">
              <w:rPr>
                <w:rFonts w:ascii="Calibri" w:hAnsi="Calibri"/>
                <w:color w:val="000000"/>
                <w:sz w:val="16"/>
                <w:szCs w:val="16"/>
              </w:rPr>
              <w:t>(-41.3 to 53.9)</w:t>
            </w:r>
          </w:p>
        </w:tc>
        <w:tc>
          <w:tcPr>
            <w:tcW w:w="1732" w:type="dxa"/>
            <w:tcBorders>
              <w:top w:val="nil"/>
              <w:left w:val="nil"/>
              <w:bottom w:val="dotted" w:sz="4" w:space="0" w:color="auto"/>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b/>
                <w:color w:val="E36C0A" w:themeColor="accent6" w:themeShade="BF"/>
                <w:sz w:val="16"/>
                <w:szCs w:val="16"/>
              </w:rPr>
              <w:t>-0.3%</w:t>
            </w:r>
            <w:r w:rsidRPr="00AF0716">
              <w:rPr>
                <w:rFonts w:ascii="Calibri" w:hAnsi="Calibri"/>
                <w:color w:val="E36C0A" w:themeColor="accent6" w:themeShade="BF"/>
                <w:sz w:val="16"/>
                <w:szCs w:val="16"/>
              </w:rPr>
              <w:t xml:space="preserve"> </w:t>
            </w:r>
            <w:r w:rsidRPr="00AF0716">
              <w:rPr>
                <w:rFonts w:ascii="Calibri" w:hAnsi="Calibri"/>
                <w:color w:val="000000"/>
                <w:sz w:val="16"/>
                <w:szCs w:val="16"/>
              </w:rPr>
              <w:t>(-39.1 to 108.8)</w:t>
            </w:r>
          </w:p>
        </w:tc>
      </w:tr>
      <w:tr w:rsidR="00CB3E60" w:rsidRPr="00AF0716" w:rsidTr="005B5968">
        <w:trPr>
          <w:trHeight w:val="300"/>
        </w:trPr>
        <w:tc>
          <w:tcPr>
            <w:tcW w:w="993" w:type="dxa"/>
            <w:vMerge w:val="restart"/>
            <w:tcBorders>
              <w:top w:val="dotted" w:sz="4" w:space="0" w:color="auto"/>
              <w:left w:val="nil"/>
              <w:right w:val="nil"/>
            </w:tcBorders>
            <w:shd w:val="clear" w:color="auto" w:fill="auto"/>
            <w:noWrap/>
          </w:tcPr>
          <w:p w:rsidR="00CB3E60" w:rsidRPr="00AF0716" w:rsidRDefault="00CB3E60" w:rsidP="005B5968">
            <w:pPr>
              <w:spacing w:after="0" w:line="240" w:lineRule="auto"/>
              <w:rPr>
                <w:rFonts w:eastAsia="Times New Roman" w:cs="Times New Roman"/>
                <w:color w:val="000000"/>
                <w:sz w:val="16"/>
                <w:szCs w:val="16"/>
              </w:rPr>
            </w:pPr>
            <w:r w:rsidRPr="00AF0716">
              <w:rPr>
                <w:rFonts w:eastAsia="Times New Roman" w:cs="Times New Roman"/>
                <w:color w:val="000000"/>
                <w:sz w:val="16"/>
                <w:szCs w:val="16"/>
              </w:rPr>
              <w:t>Further tests (post hoc)</w:t>
            </w:r>
          </w:p>
        </w:tc>
        <w:tc>
          <w:tcPr>
            <w:tcW w:w="2647" w:type="dxa"/>
            <w:tcBorders>
              <w:top w:val="dotted" w:sz="4" w:space="0" w:color="auto"/>
              <w:left w:val="nil"/>
              <w:right w:val="nil"/>
            </w:tcBorders>
            <w:shd w:val="clear" w:color="auto" w:fill="auto"/>
          </w:tcPr>
          <w:p w:rsidR="00CB3E60" w:rsidRPr="00AF0716" w:rsidRDefault="00CB3E60" w:rsidP="005B5968">
            <w:pPr>
              <w:spacing w:after="0" w:line="240" w:lineRule="auto"/>
              <w:rPr>
                <w:rFonts w:ascii="Arial" w:hAnsi="Arial" w:cs="Arial"/>
                <w:color w:val="000000"/>
                <w:sz w:val="16"/>
                <w:szCs w:val="16"/>
              </w:rPr>
            </w:pPr>
            <w:r w:rsidRPr="00AF0716">
              <w:rPr>
                <w:rFonts w:cs="Arial"/>
                <w:color w:val="000000"/>
                <w:sz w:val="16"/>
                <w:szCs w:val="16"/>
              </w:rPr>
              <w:t xml:space="preserve">Quadratic term; time squared added as a covariate to the model </w:t>
            </w:r>
          </w:p>
        </w:tc>
        <w:tc>
          <w:tcPr>
            <w:tcW w:w="1724" w:type="dxa"/>
            <w:tcBorders>
              <w:top w:val="dotted" w:sz="4" w:space="0" w:color="auto"/>
              <w:left w:val="nil"/>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14.7%</w:t>
            </w:r>
            <w:r w:rsidRPr="00AF0716">
              <w:rPr>
                <w:rFonts w:ascii="Calibri" w:hAnsi="Calibri"/>
                <w:color w:val="00B0F0"/>
                <w:sz w:val="16"/>
                <w:szCs w:val="16"/>
              </w:rPr>
              <w:t xml:space="preserve"> </w:t>
            </w:r>
            <w:r w:rsidRPr="00AF0716">
              <w:rPr>
                <w:rFonts w:ascii="Calibri" w:hAnsi="Calibri"/>
                <w:color w:val="000000"/>
                <w:sz w:val="16"/>
                <w:szCs w:val="16"/>
              </w:rPr>
              <w:t>(-26.2 to 110.8)</w:t>
            </w:r>
          </w:p>
        </w:tc>
        <w:tc>
          <w:tcPr>
            <w:tcW w:w="1724" w:type="dxa"/>
            <w:tcBorders>
              <w:top w:val="dotted" w:sz="4" w:space="0" w:color="auto"/>
              <w:left w:val="nil"/>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15.6%</w:t>
            </w:r>
            <w:r w:rsidRPr="00AF0716">
              <w:rPr>
                <w:rFonts w:ascii="Calibri" w:hAnsi="Calibri"/>
                <w:color w:val="00B0F0"/>
                <w:sz w:val="16"/>
                <w:szCs w:val="16"/>
              </w:rPr>
              <w:t xml:space="preserve"> </w:t>
            </w:r>
            <w:r w:rsidRPr="00AF0716">
              <w:rPr>
                <w:rFonts w:ascii="Calibri" w:hAnsi="Calibri"/>
                <w:color w:val="000000"/>
                <w:sz w:val="16"/>
                <w:szCs w:val="16"/>
              </w:rPr>
              <w:t>(-31.2 to 127.7)</w:t>
            </w:r>
          </w:p>
        </w:tc>
        <w:tc>
          <w:tcPr>
            <w:tcW w:w="1732" w:type="dxa"/>
            <w:tcBorders>
              <w:top w:val="dotted" w:sz="4" w:space="0" w:color="auto"/>
              <w:left w:val="nil"/>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12.7%</w:t>
            </w:r>
            <w:r w:rsidRPr="00AF0716">
              <w:rPr>
                <w:rFonts w:ascii="Calibri" w:hAnsi="Calibri"/>
                <w:color w:val="00B0F0"/>
                <w:sz w:val="16"/>
                <w:szCs w:val="16"/>
              </w:rPr>
              <w:t xml:space="preserve"> </w:t>
            </w:r>
            <w:r w:rsidRPr="00AF0716">
              <w:rPr>
                <w:rFonts w:ascii="Calibri" w:hAnsi="Calibri"/>
                <w:color w:val="000000"/>
                <w:sz w:val="16"/>
                <w:szCs w:val="16"/>
              </w:rPr>
              <w:t>(-34.0 to 169.0)</w:t>
            </w:r>
          </w:p>
        </w:tc>
      </w:tr>
      <w:tr w:rsidR="00CB3E60" w:rsidRPr="00AF0716" w:rsidTr="005B5968">
        <w:trPr>
          <w:trHeight w:val="300"/>
        </w:trPr>
        <w:tc>
          <w:tcPr>
            <w:tcW w:w="993" w:type="dxa"/>
            <w:vMerge/>
            <w:tcBorders>
              <w:left w:val="nil"/>
              <w:right w:val="nil"/>
            </w:tcBorders>
            <w:shd w:val="clear" w:color="auto" w:fill="auto"/>
            <w:noWrap/>
          </w:tcPr>
          <w:p w:rsidR="00CB3E60" w:rsidRPr="00AF0716" w:rsidRDefault="00CB3E60" w:rsidP="005B5968">
            <w:pPr>
              <w:spacing w:after="0" w:line="240" w:lineRule="auto"/>
              <w:rPr>
                <w:rFonts w:eastAsia="Times New Roman" w:cs="Times New Roman"/>
                <w:color w:val="000000"/>
                <w:sz w:val="16"/>
                <w:szCs w:val="16"/>
              </w:rPr>
            </w:pPr>
          </w:p>
        </w:tc>
        <w:tc>
          <w:tcPr>
            <w:tcW w:w="2647" w:type="dxa"/>
            <w:tcBorders>
              <w:left w:val="nil"/>
              <w:bottom w:val="nil"/>
              <w:right w:val="nil"/>
            </w:tcBorders>
            <w:shd w:val="clear" w:color="auto" w:fill="auto"/>
          </w:tcPr>
          <w:p w:rsidR="00CB3E60" w:rsidRPr="00AF0716" w:rsidRDefault="00CB3E60" w:rsidP="005B5968">
            <w:pPr>
              <w:spacing w:after="0" w:line="240" w:lineRule="auto"/>
              <w:rPr>
                <w:rFonts w:eastAsia="Times New Roman" w:cs="Arial"/>
                <w:color w:val="000000"/>
                <w:sz w:val="16"/>
                <w:szCs w:val="16"/>
              </w:rPr>
            </w:pPr>
            <w:r w:rsidRPr="00AF0716">
              <w:rPr>
                <w:rFonts w:eastAsia="Times New Roman" w:cs="Arial"/>
                <w:color w:val="000000"/>
                <w:sz w:val="16"/>
                <w:szCs w:val="16"/>
              </w:rPr>
              <w:t>R</w:t>
            </w:r>
            <w:r w:rsidRPr="003D0FDE">
              <w:rPr>
                <w:rFonts w:eastAsia="Times New Roman" w:cs="Arial"/>
                <w:b/>
                <w:color w:val="000000"/>
                <w:sz w:val="16"/>
                <w:szCs w:val="16"/>
              </w:rPr>
              <w:t>e</w:t>
            </w:r>
            <w:r w:rsidRPr="00AF0716">
              <w:rPr>
                <w:rFonts w:eastAsia="Times New Roman" w:cs="Arial"/>
                <w:color w:val="000000"/>
                <w:sz w:val="16"/>
                <w:szCs w:val="16"/>
              </w:rPr>
              <w:t>move effect of population change, fixed population of 14,000</w:t>
            </w:r>
          </w:p>
        </w:tc>
        <w:tc>
          <w:tcPr>
            <w:tcW w:w="1724" w:type="dxa"/>
            <w:tcBorders>
              <w:left w:val="nil"/>
              <w:bottom w:val="nil"/>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-1.2%</w:t>
            </w:r>
            <w:r w:rsidRPr="00AF0716">
              <w:rPr>
                <w:rFonts w:ascii="Calibri" w:hAnsi="Calibri"/>
                <w:color w:val="00B0F0"/>
                <w:sz w:val="16"/>
                <w:szCs w:val="16"/>
              </w:rPr>
              <w:t xml:space="preserve"> </w:t>
            </w:r>
            <w:r w:rsidRPr="00AF0716">
              <w:rPr>
                <w:rFonts w:ascii="Calibri" w:hAnsi="Calibri"/>
                <w:color w:val="000000"/>
                <w:sz w:val="16"/>
                <w:szCs w:val="16"/>
              </w:rPr>
              <w:t>(-33.7 to 59.6)</w:t>
            </w:r>
          </w:p>
        </w:tc>
        <w:tc>
          <w:tcPr>
            <w:tcW w:w="1724" w:type="dxa"/>
            <w:tcBorders>
              <w:left w:val="nil"/>
              <w:bottom w:val="nil"/>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b/>
                <w:color w:val="E36C0A" w:themeColor="accent6" w:themeShade="BF"/>
                <w:sz w:val="16"/>
                <w:szCs w:val="16"/>
              </w:rPr>
              <w:t>-7.8%</w:t>
            </w:r>
            <w:r w:rsidRPr="00AF0716">
              <w:rPr>
                <w:rFonts w:ascii="Calibri" w:hAnsi="Calibri"/>
                <w:color w:val="E36C0A" w:themeColor="accent6" w:themeShade="BF"/>
                <w:sz w:val="16"/>
                <w:szCs w:val="16"/>
              </w:rPr>
              <w:t xml:space="preserve"> </w:t>
            </w:r>
            <w:r w:rsidRPr="00AF0716">
              <w:rPr>
                <w:rFonts w:ascii="Calibri" w:hAnsi="Calibri"/>
                <w:color w:val="000000"/>
                <w:sz w:val="16"/>
                <w:szCs w:val="16"/>
              </w:rPr>
              <w:t>(-40.9 to 48.1)</w:t>
            </w:r>
          </w:p>
        </w:tc>
        <w:tc>
          <w:tcPr>
            <w:tcW w:w="1732" w:type="dxa"/>
            <w:tcBorders>
              <w:left w:val="nil"/>
              <w:bottom w:val="nil"/>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b/>
                <w:color w:val="E36C0A" w:themeColor="accent6" w:themeShade="BF"/>
                <w:sz w:val="16"/>
                <w:szCs w:val="16"/>
              </w:rPr>
              <w:t>-0.9%</w:t>
            </w:r>
            <w:r w:rsidRPr="00AF0716">
              <w:rPr>
                <w:rFonts w:ascii="Calibri" w:hAnsi="Calibri"/>
                <w:color w:val="E36C0A" w:themeColor="accent6" w:themeShade="BF"/>
                <w:sz w:val="16"/>
                <w:szCs w:val="16"/>
              </w:rPr>
              <w:t xml:space="preserve"> </w:t>
            </w:r>
            <w:r w:rsidRPr="00AF0716">
              <w:rPr>
                <w:rFonts w:ascii="Calibri" w:hAnsi="Calibri"/>
                <w:color w:val="000000"/>
                <w:sz w:val="16"/>
                <w:szCs w:val="16"/>
              </w:rPr>
              <w:t>(-40.3 to 114.1)</w:t>
            </w:r>
          </w:p>
        </w:tc>
      </w:tr>
      <w:tr w:rsidR="00CB3E60" w:rsidRPr="00AF0716" w:rsidTr="005B5968">
        <w:trPr>
          <w:trHeight w:val="300"/>
        </w:trPr>
        <w:tc>
          <w:tcPr>
            <w:tcW w:w="993" w:type="dxa"/>
            <w:vMerge/>
            <w:tcBorders>
              <w:left w:val="nil"/>
              <w:bottom w:val="single" w:sz="4" w:space="0" w:color="auto"/>
              <w:right w:val="nil"/>
            </w:tcBorders>
            <w:shd w:val="clear" w:color="auto" w:fill="auto"/>
            <w:noWrap/>
          </w:tcPr>
          <w:p w:rsidR="00CB3E60" w:rsidRPr="00AF0716" w:rsidRDefault="00CB3E60" w:rsidP="005B5968">
            <w:pPr>
              <w:spacing w:after="0" w:line="240" w:lineRule="auto"/>
              <w:rPr>
                <w:rFonts w:eastAsia="Times New Roman" w:cs="Times New Roman"/>
                <w:color w:val="000000"/>
                <w:sz w:val="16"/>
                <w:szCs w:val="16"/>
              </w:rPr>
            </w:pPr>
          </w:p>
        </w:tc>
        <w:tc>
          <w:tcPr>
            <w:tcW w:w="2647" w:type="dxa"/>
            <w:tcBorders>
              <w:top w:val="nil"/>
              <w:left w:val="nil"/>
              <w:bottom w:val="single" w:sz="4" w:space="0" w:color="auto"/>
              <w:right w:val="nil"/>
            </w:tcBorders>
            <w:shd w:val="clear" w:color="auto" w:fill="auto"/>
          </w:tcPr>
          <w:p w:rsidR="00CB3E60" w:rsidRPr="00AF0716" w:rsidRDefault="00CB3E60" w:rsidP="005B5968">
            <w:pPr>
              <w:spacing w:after="0" w:line="240" w:lineRule="auto"/>
              <w:rPr>
                <w:rFonts w:cs="Arial"/>
                <w:color w:val="000000"/>
                <w:sz w:val="16"/>
                <w:szCs w:val="16"/>
              </w:rPr>
            </w:pPr>
            <w:r w:rsidRPr="00AF0716">
              <w:rPr>
                <w:rFonts w:cs="Arial"/>
                <w:color w:val="000000"/>
                <w:sz w:val="16"/>
                <w:szCs w:val="16"/>
              </w:rPr>
              <w:t>Quarterly analysis with quarterly outcome and covariate data</w:t>
            </w:r>
          </w:p>
        </w:tc>
        <w:tc>
          <w:tcPr>
            <w:tcW w:w="1724" w:type="dxa"/>
            <w:tcBorders>
              <w:top w:val="nil"/>
              <w:left w:val="nil"/>
              <w:bottom w:val="single" w:sz="4" w:space="0" w:color="auto"/>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AF0716">
              <w:rPr>
                <w:rFonts w:ascii="Calibri" w:hAnsi="Calibri"/>
                <w:color w:val="000000"/>
                <w:sz w:val="16"/>
                <w:szCs w:val="16"/>
              </w:rPr>
              <w:t>-11.1% (-35.3 to 21.0)</w:t>
            </w:r>
          </w:p>
        </w:tc>
        <w:tc>
          <w:tcPr>
            <w:tcW w:w="1724" w:type="dxa"/>
            <w:tcBorders>
              <w:top w:val="nil"/>
              <w:left w:val="nil"/>
              <w:bottom w:val="single" w:sz="4" w:space="0" w:color="auto"/>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0.5%</w:t>
            </w:r>
            <w:r w:rsidRPr="00AF0716">
              <w:rPr>
                <w:rFonts w:ascii="Calibri" w:hAnsi="Calibri"/>
                <w:color w:val="00B0F0"/>
                <w:sz w:val="16"/>
                <w:szCs w:val="16"/>
              </w:rPr>
              <w:t xml:space="preserve"> </w:t>
            </w:r>
            <w:r w:rsidRPr="00AF0716">
              <w:rPr>
                <w:rFonts w:ascii="Calibri" w:hAnsi="Calibri"/>
                <w:color w:val="000000"/>
                <w:sz w:val="16"/>
                <w:szCs w:val="16"/>
              </w:rPr>
              <w:t>(-38.5 to 76.2)</w:t>
            </w:r>
          </w:p>
        </w:tc>
        <w:tc>
          <w:tcPr>
            <w:tcW w:w="1732" w:type="dxa"/>
            <w:tcBorders>
              <w:top w:val="nil"/>
              <w:left w:val="nil"/>
              <w:bottom w:val="single" w:sz="4" w:space="0" w:color="auto"/>
              <w:right w:val="nil"/>
            </w:tcBorders>
            <w:shd w:val="clear" w:color="auto" w:fill="auto"/>
            <w:noWrap/>
          </w:tcPr>
          <w:p w:rsidR="00CB3E60" w:rsidRPr="00AF0716" w:rsidRDefault="00CB3E60" w:rsidP="005B5968">
            <w:pPr>
              <w:spacing w:after="0"/>
              <w:jc w:val="center"/>
              <w:rPr>
                <w:rFonts w:ascii="Calibri" w:hAnsi="Calibri"/>
                <w:color w:val="000000"/>
                <w:sz w:val="16"/>
                <w:szCs w:val="16"/>
              </w:rPr>
            </w:pPr>
            <w:r w:rsidRPr="007D3A0B">
              <w:rPr>
                <w:rFonts w:ascii="Calibri" w:hAnsi="Calibri"/>
                <w:i/>
                <w:color w:val="00B0F0"/>
                <w:sz w:val="16"/>
                <w:szCs w:val="16"/>
              </w:rPr>
              <w:t>6.3%</w:t>
            </w:r>
            <w:r w:rsidRPr="00AF0716">
              <w:rPr>
                <w:rFonts w:ascii="Calibri" w:hAnsi="Calibri"/>
                <w:color w:val="00B0F0"/>
                <w:sz w:val="16"/>
                <w:szCs w:val="16"/>
              </w:rPr>
              <w:t xml:space="preserve"> </w:t>
            </w:r>
            <w:r w:rsidRPr="00AF0716">
              <w:rPr>
                <w:rFonts w:ascii="Calibri" w:hAnsi="Calibri"/>
                <w:color w:val="000000"/>
                <w:sz w:val="16"/>
                <w:szCs w:val="16"/>
              </w:rPr>
              <w:t>(-37.3 to 149.9)</w:t>
            </w:r>
          </w:p>
        </w:tc>
      </w:tr>
    </w:tbl>
    <w:p w:rsidR="00CB3E60" w:rsidRPr="00AF0716" w:rsidRDefault="00CB3E60" w:rsidP="00CB3E60">
      <w:pPr>
        <w:spacing w:after="0" w:line="240" w:lineRule="auto"/>
        <w:rPr>
          <w:sz w:val="20"/>
        </w:rPr>
      </w:pPr>
      <w:r w:rsidRPr="00AF0716">
        <w:rPr>
          <w:sz w:val="20"/>
        </w:rPr>
        <w:t xml:space="preserve">Notes: </w:t>
      </w:r>
      <w:r>
        <w:rPr>
          <w:sz w:val="20"/>
        </w:rPr>
        <w:t>A</w:t>
      </w:r>
      <w:r w:rsidRPr="00AF0716">
        <w:rPr>
          <w:sz w:val="20"/>
        </w:rPr>
        <w:t xml:space="preserve">dding a covariate for the number of young adults in the population was also tested as a sensitivity test however this model could not be run due to convergence. Larger declines (eg, more than a third different) were </w:t>
      </w:r>
      <w:r w:rsidRPr="007D3A0B">
        <w:rPr>
          <w:b/>
          <w:sz w:val="20"/>
        </w:rPr>
        <w:t>coloured orange</w:t>
      </w:r>
      <w:r w:rsidRPr="00AF0716">
        <w:rPr>
          <w:sz w:val="20"/>
        </w:rPr>
        <w:t xml:space="preserve"> </w:t>
      </w:r>
      <w:r w:rsidRPr="007D3A0B">
        <w:rPr>
          <w:b/>
          <w:sz w:val="20"/>
        </w:rPr>
        <w:t>in bold</w:t>
      </w:r>
      <w:r>
        <w:rPr>
          <w:sz w:val="20"/>
        </w:rPr>
        <w:t xml:space="preserve"> </w:t>
      </w:r>
      <w:r w:rsidRPr="00AF0716">
        <w:rPr>
          <w:sz w:val="20"/>
        </w:rPr>
        <w:t xml:space="preserve">and smaller declines (or bigger increases) were </w:t>
      </w:r>
      <w:r w:rsidRPr="007D3A0B">
        <w:rPr>
          <w:i/>
          <w:sz w:val="20"/>
        </w:rPr>
        <w:t>coloured blue</w:t>
      </w:r>
      <w:r>
        <w:rPr>
          <w:i/>
          <w:sz w:val="20"/>
        </w:rPr>
        <w:t xml:space="preserve"> in italics</w:t>
      </w:r>
      <w:r w:rsidRPr="00AF0716">
        <w:rPr>
          <w:sz w:val="20"/>
        </w:rPr>
        <w:t>.</w:t>
      </w:r>
    </w:p>
    <w:p w:rsidR="00CB3E60" w:rsidRPr="00AF0716" w:rsidRDefault="00CB3E60" w:rsidP="00CB3E60">
      <w:pPr>
        <w:spacing w:after="0"/>
      </w:pPr>
    </w:p>
    <w:p w:rsidR="00757210" w:rsidRDefault="00757210">
      <w:pPr>
        <w:spacing w:after="200"/>
        <w:rPr>
          <w:b/>
        </w:rPr>
      </w:pPr>
      <w:r>
        <w:rPr>
          <w:b/>
        </w:rPr>
        <w:br w:type="page"/>
      </w:r>
    </w:p>
    <w:p w:rsidR="00CB3E60" w:rsidRPr="00AF0716" w:rsidRDefault="00CB3E60" w:rsidP="00CB3E60">
      <w:pPr>
        <w:spacing w:after="0"/>
        <w:rPr>
          <w:b/>
          <w:noProof/>
        </w:rPr>
      </w:pPr>
      <w:r w:rsidRPr="00AF0716">
        <w:rPr>
          <w:b/>
          <w:noProof/>
        </w:rPr>
        <w:lastRenderedPageBreak/>
        <w:t xml:space="preserve">Figure </w:t>
      </w:r>
      <w:r w:rsidR="009121FC">
        <w:rPr>
          <w:b/>
          <w:noProof/>
        </w:rPr>
        <w:t>S</w:t>
      </w:r>
      <w:r>
        <w:rPr>
          <w:b/>
          <w:noProof/>
        </w:rPr>
        <w:t>5</w:t>
      </w:r>
      <w:r w:rsidRPr="00AF0716">
        <w:rPr>
          <w:b/>
          <w:noProof/>
        </w:rPr>
        <w:t>: Sweetened beverage imports into the Cook Islands before and after SSB tax changes compared to changes in other sugary food imports (control) 2001-2017</w:t>
      </w:r>
    </w:p>
    <w:p w:rsidR="00CB3E60" w:rsidRDefault="00CB3E60" w:rsidP="00CB3E60">
      <w:pPr>
        <w:spacing w:after="0"/>
      </w:pPr>
      <w:r w:rsidRPr="00AF0716">
        <w:rPr>
          <w:noProof/>
          <w:lang w:eastAsia="en-NZ"/>
        </w:rPr>
        <w:drawing>
          <wp:inline distT="0" distB="0" distL="0" distR="0" wp14:anchorId="5D678D4B" wp14:editId="68A453E8">
            <wp:extent cx="5943600" cy="3085717"/>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15576"/>
                    <a:stretch/>
                  </pic:blipFill>
                  <pic:spPr bwMode="auto">
                    <a:xfrm>
                      <a:off x="0" y="0"/>
                      <a:ext cx="5943600" cy="3085717"/>
                    </a:xfrm>
                    <a:prstGeom prst="rect">
                      <a:avLst/>
                    </a:prstGeom>
                    <a:ln>
                      <a:noFill/>
                    </a:ln>
                    <a:extLst>
                      <a:ext uri="{53640926-AAD7-44D8-BBD7-CCE9431645EC}">
                        <a14:shadowObscured xmlns:a14="http://schemas.microsoft.com/office/drawing/2010/main"/>
                      </a:ext>
                    </a:extLst>
                  </pic:spPr>
                </pic:pic>
              </a:graphicData>
            </a:graphic>
          </wp:inline>
        </w:drawing>
      </w:r>
      <w:r w:rsidRPr="00AF0716">
        <w:t>Notes: Adjusted for existing trends, autocorrelation, GDP</w:t>
      </w:r>
      <w:r>
        <w:t xml:space="preserve"> per capita</w:t>
      </w:r>
      <w:r w:rsidRPr="00AF0716">
        <w:t>, season and international visitor numbers. The counterfactuals (grey) are presented as straight lines, but also would vary between months like the modelled data.</w:t>
      </w:r>
    </w:p>
    <w:p w:rsidR="00757210" w:rsidRPr="00AF0716" w:rsidRDefault="00757210" w:rsidP="00CB3E60">
      <w:pPr>
        <w:spacing w:after="0"/>
      </w:pPr>
    </w:p>
    <w:p w:rsidR="00757210" w:rsidRDefault="00757210">
      <w:pPr>
        <w:spacing w:after="200"/>
        <w:rPr>
          <w:b/>
        </w:rPr>
      </w:pPr>
      <w:r>
        <w:rPr>
          <w:b/>
        </w:rPr>
        <w:br w:type="page"/>
      </w:r>
    </w:p>
    <w:p w:rsidR="00CB3E60" w:rsidRPr="00AF0716" w:rsidRDefault="00CB3E60" w:rsidP="00CB3E60">
      <w:pPr>
        <w:spacing w:after="0" w:line="240" w:lineRule="auto"/>
        <w:rPr>
          <w:noProof/>
          <w:sz w:val="20"/>
        </w:rPr>
      </w:pPr>
      <w:r w:rsidRPr="00AF0716">
        <w:rPr>
          <w:b/>
          <w:noProof/>
        </w:rPr>
        <w:lastRenderedPageBreak/>
        <w:t xml:space="preserve">Figure </w:t>
      </w:r>
      <w:r w:rsidR="009121FC">
        <w:rPr>
          <w:b/>
          <w:noProof/>
        </w:rPr>
        <w:t>S</w:t>
      </w:r>
      <w:r>
        <w:rPr>
          <w:b/>
          <w:noProof/>
        </w:rPr>
        <w:t>6</w:t>
      </w:r>
      <w:r w:rsidRPr="00AF0716">
        <w:rPr>
          <w:b/>
          <w:noProof/>
        </w:rPr>
        <w:t xml:space="preserve">: Annual sales per population before and after the Cook Islands excise tax introduction which decreased tax levels on </w:t>
      </w:r>
      <w:r>
        <w:rPr>
          <w:b/>
          <w:noProof/>
        </w:rPr>
        <w:t>full-sugar</w:t>
      </w:r>
      <w:r w:rsidRPr="00AF0716">
        <w:rPr>
          <w:b/>
          <w:noProof/>
        </w:rPr>
        <w:t xml:space="preserve"> soft drinks by 11% points and decreased the tax level on </w:t>
      </w:r>
      <w:r>
        <w:rPr>
          <w:b/>
          <w:noProof/>
        </w:rPr>
        <w:t>low-sugar</w:t>
      </w:r>
      <w:r w:rsidRPr="00AF0716">
        <w:rPr>
          <w:b/>
          <w:noProof/>
        </w:rPr>
        <w:t xml:space="preserve"> products by 77% points,</w:t>
      </w:r>
      <w:r w:rsidRPr="00AF0716">
        <w:rPr>
          <w:b/>
        </w:rPr>
        <w:t xml:space="preserve"> 2012-2017</w:t>
      </w:r>
      <w:r w:rsidRPr="00AF0716">
        <w:rPr>
          <w:noProof/>
          <w:lang w:eastAsia="en-NZ"/>
        </w:rPr>
        <w:drawing>
          <wp:inline distT="0" distB="0" distL="0" distR="0" wp14:anchorId="0333C713" wp14:editId="7468C491">
            <wp:extent cx="5224007" cy="236024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18600" b="3990"/>
                    <a:stretch/>
                  </pic:blipFill>
                  <pic:spPr bwMode="auto">
                    <a:xfrm>
                      <a:off x="0" y="0"/>
                      <a:ext cx="5231742" cy="2363739"/>
                    </a:xfrm>
                    <a:prstGeom prst="rect">
                      <a:avLst/>
                    </a:prstGeom>
                    <a:ln>
                      <a:noFill/>
                    </a:ln>
                    <a:extLst>
                      <a:ext uri="{53640926-AAD7-44D8-BBD7-CCE9431645EC}">
                        <a14:shadowObscured xmlns:a14="http://schemas.microsoft.com/office/drawing/2010/main"/>
                      </a:ext>
                    </a:extLst>
                  </pic:spPr>
                </pic:pic>
              </a:graphicData>
            </a:graphic>
          </wp:inline>
        </w:drawing>
      </w:r>
      <w:r w:rsidRPr="00AF0716">
        <w:rPr>
          <w:noProof/>
          <w:lang w:eastAsia="en-NZ"/>
        </w:rPr>
        <w:drawing>
          <wp:inline distT="0" distB="0" distL="0" distR="0" wp14:anchorId="7249F65F" wp14:editId="1A7D897C">
            <wp:extent cx="5224007" cy="236024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18600" b="3990"/>
                    <a:stretch/>
                  </pic:blipFill>
                  <pic:spPr bwMode="auto">
                    <a:xfrm>
                      <a:off x="0" y="0"/>
                      <a:ext cx="5231741" cy="2363737"/>
                    </a:xfrm>
                    <a:prstGeom prst="rect">
                      <a:avLst/>
                    </a:prstGeom>
                    <a:ln>
                      <a:noFill/>
                    </a:ln>
                    <a:extLst>
                      <a:ext uri="{53640926-AAD7-44D8-BBD7-CCE9431645EC}">
                        <a14:shadowObscured xmlns:a14="http://schemas.microsoft.com/office/drawing/2010/main"/>
                      </a:ext>
                    </a:extLst>
                  </pic:spPr>
                </pic:pic>
              </a:graphicData>
            </a:graphic>
          </wp:inline>
        </w:drawing>
      </w:r>
      <w:r w:rsidRPr="00AF0716">
        <w:rPr>
          <w:noProof/>
          <w:lang w:eastAsia="en-NZ"/>
        </w:rPr>
        <w:drawing>
          <wp:inline distT="0" distB="0" distL="0" distR="0" wp14:anchorId="5D100DF9" wp14:editId="4BF4DE93">
            <wp:extent cx="4945711" cy="2359769"/>
            <wp:effectExtent l="0" t="0" r="762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BEBA8EAE-BF5A-486C-A8C5-ECC9F3942E4B}">
                          <a14:imgProps xmlns:a14="http://schemas.microsoft.com/office/drawing/2010/main">
                            <a14:imgLayer r:embed="rId21">
                              <a14:imgEffect>
                                <a14:sharpenSoften amount="25000"/>
                              </a14:imgEffect>
                              <a14:imgEffect>
                                <a14:brightnessContrast contrast="-40000"/>
                              </a14:imgEffect>
                            </a14:imgLayer>
                          </a14:imgProps>
                        </a:ext>
                      </a:extLst>
                    </a:blip>
                    <a:srcRect l="-4871" t="11436" r="3414"/>
                    <a:stretch/>
                  </pic:blipFill>
                  <pic:spPr bwMode="auto">
                    <a:xfrm>
                      <a:off x="0" y="0"/>
                      <a:ext cx="4973227" cy="2372898"/>
                    </a:xfrm>
                    <a:prstGeom prst="rect">
                      <a:avLst/>
                    </a:prstGeom>
                    <a:ln>
                      <a:noFill/>
                    </a:ln>
                    <a:extLst>
                      <a:ext uri="{53640926-AAD7-44D8-BBD7-CCE9431645EC}">
                        <a14:shadowObscured xmlns:a14="http://schemas.microsoft.com/office/drawing/2010/main"/>
                      </a:ext>
                    </a:extLst>
                  </pic:spPr>
                </pic:pic>
              </a:graphicData>
            </a:graphic>
          </wp:inline>
        </w:drawing>
      </w:r>
    </w:p>
    <w:p w:rsidR="00CB3E60" w:rsidRPr="00AF0716" w:rsidRDefault="00CB3E60" w:rsidP="00CB3E60">
      <w:pPr>
        <w:spacing w:after="0" w:line="240" w:lineRule="auto"/>
        <w:rPr>
          <w:noProof/>
          <w:sz w:val="20"/>
        </w:rPr>
      </w:pPr>
      <w:r w:rsidRPr="00AF0716">
        <w:rPr>
          <w:noProof/>
          <w:sz w:val="20"/>
        </w:rPr>
        <w:t>Note</w:t>
      </w:r>
      <w:r>
        <w:rPr>
          <w:noProof/>
          <w:sz w:val="20"/>
        </w:rPr>
        <w:t>s</w:t>
      </w:r>
      <w:r w:rsidRPr="00AF0716">
        <w:rPr>
          <w:noProof/>
          <w:sz w:val="20"/>
        </w:rPr>
        <w:t xml:space="preserve">: </w:t>
      </w:r>
      <w:r>
        <w:rPr>
          <w:noProof/>
          <w:sz w:val="20"/>
        </w:rPr>
        <w:t>N</w:t>
      </w:r>
      <w:r w:rsidRPr="00AF0716">
        <w:rPr>
          <w:noProof/>
          <w:sz w:val="20"/>
        </w:rPr>
        <w:t>o adjustment for confounding w</w:t>
      </w:r>
      <w:r>
        <w:rPr>
          <w:noProof/>
          <w:sz w:val="20"/>
        </w:rPr>
        <w:t>a</w:t>
      </w:r>
      <w:r w:rsidRPr="00AF0716">
        <w:rPr>
          <w:noProof/>
          <w:sz w:val="20"/>
        </w:rPr>
        <w:t xml:space="preserve">s possible due to small numbers. There was very large uncertainty in both these models due to limited pre- and post-tax data points. </w:t>
      </w:r>
    </w:p>
    <w:p w:rsidR="00CB3E60" w:rsidRPr="00AF0716" w:rsidRDefault="00CB3E60" w:rsidP="00CB3E60">
      <w:pPr>
        <w:spacing w:after="0"/>
      </w:pPr>
    </w:p>
    <w:p w:rsidR="00CB3E60" w:rsidRPr="00AF0716" w:rsidRDefault="00CB3E60" w:rsidP="00CB3E60">
      <w:pPr>
        <w:pStyle w:val="Heading2"/>
      </w:pPr>
      <w:r w:rsidRPr="00AF0716">
        <w:t>Further discussion</w:t>
      </w:r>
    </w:p>
    <w:p w:rsidR="00CB3E60" w:rsidRDefault="00CB3E60" w:rsidP="00CB3E60">
      <w:pPr>
        <w:spacing w:after="0"/>
      </w:pPr>
      <w:r w:rsidRPr="00AF0716">
        <w:t xml:space="preserve">Of note, the observed per capita import rates in </w:t>
      </w:r>
      <w:r>
        <w:t xml:space="preserve">the </w:t>
      </w:r>
      <w:r w:rsidRPr="00AF0716">
        <w:t>Cook Islands were very high at approximately 150L a year, three fold greater than the approximately 40 L/year observed in Tonga. Contributing to this is likely to be the high number of tourists, which although</w:t>
      </w:r>
      <w:r>
        <w:t xml:space="preserve"> changes in</w:t>
      </w:r>
      <w:r w:rsidRPr="00AF0716">
        <w:t xml:space="preserve"> </w:t>
      </w:r>
      <w:r>
        <w:t>international visitor</w:t>
      </w:r>
      <w:r w:rsidRPr="00AF0716">
        <w:t xml:space="preserve"> numbers are accounted for in the modelling, their consumption is </w:t>
      </w:r>
      <w:r>
        <w:t>not</w:t>
      </w:r>
      <w:r w:rsidRPr="00AF0716">
        <w:t xml:space="preserve"> </w:t>
      </w:r>
      <w:r>
        <w:t>accounted for in the per capita import rates</w:t>
      </w:r>
      <w:r w:rsidRPr="00AF0716">
        <w:t xml:space="preserve">. </w:t>
      </w:r>
      <w:r>
        <w:t>Even if population figures and visitor numbers used here were underestimates of true residential number (eg by half), there is still a very high volume of sweetened beverage imports to the Cook Islands.</w:t>
      </w:r>
    </w:p>
    <w:p w:rsidR="00CB3E60" w:rsidRPr="00AF0716" w:rsidRDefault="00CB3E60" w:rsidP="00CB3E60">
      <w:pPr>
        <w:spacing w:after="0"/>
      </w:pPr>
    </w:p>
    <w:p w:rsidR="00CB3E60" w:rsidRDefault="00CB3E60" w:rsidP="00CB3E60">
      <w:pPr>
        <w:spacing w:after="0"/>
      </w:pPr>
      <w:r w:rsidRPr="00AF0716">
        <w:t>There was no suggestion from UN Comtrade data that cheaper sweetened beverages were being imported or that they contributed to the changes around 2009 and 2010.</w:t>
      </w:r>
    </w:p>
    <w:p w:rsidR="00CB3E60" w:rsidRDefault="00CB3E60" w:rsidP="00CB3E60">
      <w:pPr>
        <w:spacing w:after="0"/>
      </w:pPr>
    </w:p>
    <w:p w:rsidR="00CB3E60" w:rsidRDefault="00CB3E60" w:rsidP="00CB3E60">
      <w:pPr>
        <w:spacing w:after="0"/>
      </w:pPr>
      <w:r>
        <w:t>S</w:t>
      </w:r>
      <w:r w:rsidRPr="00AF0716">
        <w:t>ubstitution to sugary snack foods has been found to be small or non-existent in other studies</w:t>
      </w:r>
      <w:r>
        <w:t>,</w:t>
      </w:r>
      <w:r w:rsidRPr="00AF0716">
        <w:fldChar w:fldCharType="begin">
          <w:fldData xml:space="preserve">PEVuZE5vdGU+PENpdGU+PEF1dGhvcj5GaW5rZWxzdGVpbjwvQXV0aG9yPjxZZWFyPjIwMTM8L1ll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</w:fldData>
        </w:fldChar>
      </w:r>
      <w:r w:rsidR="007C5A63">
        <w:instrText xml:space="preserve"> ADDIN EN.CITE </w:instrText>
      </w:r>
      <w:r w:rsidR="007C5A63">
        <w:fldChar w:fldCharType="begin">
          <w:fldData xml:space="preserve">PEVuZE5vdGU+PENpdGU+PEF1dGhvcj5GaW5rZWxzdGVpbjwvQXV0aG9yPjxZZWFyPjIwMTM8L1ll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</w:fldData>
        </w:fldChar>
      </w:r>
      <w:r w:rsidR="007C5A63">
        <w:instrText xml:space="preserve"> ADDIN EN.CITE.DATA </w:instrText>
      </w:r>
      <w:r w:rsidR="007C5A63">
        <w:fldChar w:fldCharType="end"/>
      </w:r>
      <w:r w:rsidRPr="00AF0716">
        <w:fldChar w:fldCharType="separate"/>
      </w:r>
      <w:r w:rsidR="007C5A63" w:rsidRPr="007C5A63">
        <w:rPr>
          <w:noProof/>
          <w:vertAlign w:val="superscript"/>
        </w:rPr>
        <w:t>2-4</w:t>
      </w:r>
      <w:r w:rsidRPr="00AF0716">
        <w:fldChar w:fldCharType="end"/>
      </w:r>
      <w:r w:rsidRPr="00AF0716">
        <w:t xml:space="preserve"> </w:t>
      </w:r>
      <w:r>
        <w:t>however if present, controlled analysis declines could have been overestimated</w:t>
      </w:r>
      <w:r w:rsidRPr="00AF0716">
        <w:t>.</w:t>
      </w:r>
    </w:p>
    <w:p w:rsidR="00CB3E60" w:rsidRDefault="00CB3E60" w:rsidP="00CB3E60">
      <w:pPr>
        <w:spacing w:after="0"/>
      </w:pPr>
    </w:p>
    <w:p w:rsidR="00CB3E60" w:rsidRDefault="00CB3E60" w:rsidP="00CB3E60">
      <w:pPr>
        <w:spacing w:after="0"/>
      </w:pPr>
      <w:r>
        <w:t xml:space="preserve">Nutrient-specific SSB tax designs are considered more effective than product-specific </w:t>
      </w:r>
      <w:r w:rsidRPr="00AF0716">
        <w:t>ad v</w:t>
      </w:r>
      <w:r>
        <w:t>alorem or volumetric tax designs,</w:t>
      </w:r>
      <w:r w:rsidRPr="00AF0716">
        <w:fldChar w:fldCharType="begin"/>
      </w:r>
      <w:r w:rsidR="007C5A63">
        <w:instrText xml:space="preserve"> ADDIN EN.CITE &lt;EndNote&gt;&lt;Cite&gt;&lt;Author&gt;Grummon&lt;/Author&gt;&lt;Year&gt;2019&lt;/Year&gt;&lt;RecNum&gt;1528&lt;/RecNum&gt;&lt;DisplayText&gt;&lt;style face="superscript"&gt;6&lt;/style&gt;&lt;/DisplayText&gt;&lt;record&gt;&lt;rec-number&gt;1528&lt;/rec-number&gt;&lt;foreign-keys&gt;&lt;key app="EN" db-id="srtews2r90f0aqe2s9r5da54ptadf0ztv5vs" timestamp="1569188729"&gt;1528&lt;/key&gt;&lt;/foreign-keys&gt;&lt;ref-type name="Journal Article"&gt;17&lt;/ref-type&gt;&lt;contributors&gt;&lt;authors&gt;&lt;author&gt;Anna H. Grummon&lt;/author&gt;&lt;author&gt;Benjamin B. Lockwood&lt;/author&gt;&lt;author&gt;Dmitry Taubinsky&lt;/author&gt;&lt;author&gt;Hunt Allcott&lt;/author&gt;&lt;/authors&gt;&lt;/contributors&gt;&lt;titles&gt;&lt;title&gt;Designing better sugary drink taxes: Tax the sugar, not the liquid&lt;/title&gt;&lt;secondary-title&gt;Science&lt;/secondary-title&gt;&lt;/titles&gt;&lt;periodical&gt;&lt;full-title&gt;Science&lt;/full-title&gt;&lt;/periodical&gt;&lt;pages&gt;989-990&lt;/pages&gt;&lt;volume&gt;365&lt;/volume&gt;&lt;number&gt;6457&lt;/number&gt;&lt;dates&gt;&lt;year&gt;2019&lt;/year&gt;&lt;/dates&gt;&lt;urls&gt;&lt;/urls&gt;&lt;/record&gt;&lt;/Cite&gt;&lt;/EndNote&gt;</w:instrText>
      </w:r>
      <w:r w:rsidRPr="00AF0716">
        <w:fldChar w:fldCharType="separate"/>
      </w:r>
      <w:r w:rsidR="007C5A63" w:rsidRPr="007C5A63">
        <w:rPr>
          <w:noProof/>
          <w:vertAlign w:val="superscript"/>
        </w:rPr>
        <w:t>6</w:t>
      </w:r>
      <w:r w:rsidRPr="00AF0716">
        <w:fldChar w:fldCharType="end"/>
      </w:r>
      <w:r>
        <w:t xml:space="preserve"> however we could not evaluate this directly in the Cook Islands due to the associated decline in tax rates when the nutrient-specific tax was introduced in 2014</w:t>
      </w:r>
      <w:r w:rsidRPr="00AF0716">
        <w:t xml:space="preserve">. </w:t>
      </w:r>
    </w:p>
    <w:p w:rsidR="00CB3E60" w:rsidRDefault="00CB3E60" w:rsidP="00CB3E60">
      <w:pPr>
        <w:spacing w:after="0"/>
      </w:pPr>
    </w:p>
    <w:p w:rsidR="00CB3E60" w:rsidRDefault="00CB3E60" w:rsidP="00CB3E60">
      <w:pPr>
        <w:spacing w:after="0"/>
      </w:pPr>
      <w:r>
        <w:t>At the same time as the 2014 excise change there was a small</w:t>
      </w:r>
      <w:r w:rsidRPr="00AF0716">
        <w:t xml:space="preserve"> </w:t>
      </w:r>
      <w:r>
        <w:t>increase in consumption tax (VAT) which could have an opposite effect to the other tax review changes.</w:t>
      </w:r>
      <w:r w:rsidRPr="00AF0716">
        <w:fldChar w:fldCharType="begin"/>
      </w:r>
      <w:r w:rsidR="007C5A63">
        <w:instrText xml:space="preserve"> ADDIN EN.CITE &lt;EndNote&gt;&lt;Cite&gt;&lt;Author&gt;Cook Islands Government&lt;/Author&gt;&lt;Year&gt;2013&lt;/Year&gt;&lt;RecNum&gt;537&lt;/RecNum&gt;&lt;DisplayText&gt;&lt;style face="superscript"&gt;7&lt;/style&gt;&lt;/DisplayText&gt;&lt;record&gt;&lt;rec-number&gt;537&lt;/rec-number&gt;&lt;foreign-keys&gt;&lt;key app="EN" db-id="srtews2r90f0aqe2s9r5da54ptadf0ztv5vs" timestamp="1500433802"&gt;537&lt;/key&gt;&lt;/foreign-keys&gt;&lt;ref-type name="Report"&gt;27&lt;/ref-type&gt;&lt;contributors&gt;&lt;authors&gt;&lt;author&gt;Cook Islands Government,&lt;/author&gt;&lt;/authors&gt;&lt;secondary-authors&gt;&lt;author&gt;Ministry of Finance and Economic Management,&lt;/author&gt;&lt;/secondary-authors&gt;&lt;/contributors&gt;&lt;titles&gt;&lt;title&gt;Cook Islands Government 2013 Tax Review&lt;/title&gt;&lt;/titles&gt;&lt;pages&gt;1-85&lt;/pages&gt;&lt;dates&gt;&lt;year&gt;2013&lt;/year&gt;&lt;pub-dates&gt;&lt;date&gt;September&lt;/date&gt;&lt;/pub-dates&gt;&lt;/dates&gt;&lt;urls&gt;&lt;/urls&gt;&lt;/record&gt;&lt;/Cite&gt;&lt;/EndNote&gt;</w:instrText>
      </w:r>
      <w:r w:rsidRPr="00AF0716">
        <w:fldChar w:fldCharType="separate"/>
      </w:r>
      <w:r w:rsidR="007C5A63" w:rsidRPr="007C5A63">
        <w:rPr>
          <w:noProof/>
          <w:vertAlign w:val="superscript"/>
        </w:rPr>
        <w:t>7</w:t>
      </w:r>
      <w:r w:rsidRPr="00AF0716">
        <w:fldChar w:fldCharType="end"/>
      </w:r>
    </w:p>
    <w:p w:rsidR="00CB3E60" w:rsidRPr="00AF0716" w:rsidRDefault="00CB3E60" w:rsidP="00CB3E60">
      <w:pPr>
        <w:spacing w:after="0"/>
      </w:pPr>
    </w:p>
    <w:p w:rsidR="00CB3E60" w:rsidRPr="00AF0716" w:rsidRDefault="00CB3E60" w:rsidP="00CB3E60">
      <w:pPr>
        <w:pStyle w:val="Heading3"/>
      </w:pPr>
      <w:r w:rsidRPr="00AF0716">
        <w:t>Untaxed beverages</w:t>
      </w:r>
    </w:p>
    <w:p w:rsidR="00CB3E60" w:rsidRDefault="00CB3E60" w:rsidP="00CB3E60">
      <w:pPr>
        <w:spacing w:after="0"/>
      </w:pPr>
      <w:r w:rsidRPr="00AF0716">
        <w:t xml:space="preserve">Untaxed beverage </w:t>
      </w:r>
      <w:r>
        <w:t>import findings</w:t>
      </w:r>
      <w:r w:rsidRPr="00F50A07">
        <w:t xml:space="preserve"> </w:t>
      </w:r>
      <w:r w:rsidRPr="00AF0716">
        <w:t xml:space="preserve">were mixed in response to SSB </w:t>
      </w:r>
      <w:r>
        <w:t>tariff increases</w:t>
      </w:r>
      <w:r w:rsidRPr="00AF0716">
        <w:t xml:space="preserve"> and changes were frequently small. Milk imports decreased sligh</w:t>
      </w:r>
      <w:r>
        <w:t>tly after the 2008 tariff (-1%)</w:t>
      </w:r>
      <w:r w:rsidRPr="00AF0716">
        <w:t xml:space="preserve"> and increased slightly after the 2012 tariff (4%), whereas juice decreased significantly after the 2008 tariff (-12%) and </w:t>
      </w:r>
      <w:r>
        <w:t xml:space="preserve">decreased </w:t>
      </w:r>
      <w:r w:rsidRPr="00AF0716">
        <w:t>slightly after the 2012 tariff (-3%)</w:t>
      </w:r>
      <w:r>
        <w:t>. This change in milk and juice was</w:t>
      </w:r>
      <w:r w:rsidRPr="00AF0716">
        <w:t xml:space="preserve"> similar to </w:t>
      </w:r>
      <w:r>
        <w:t xml:space="preserve">changes in </w:t>
      </w:r>
      <w:r w:rsidRPr="00AF0716">
        <w:t>sweetened beverages</w:t>
      </w:r>
      <w:r>
        <w:t>,</w:t>
      </w:r>
      <w:r w:rsidRPr="00AF0716">
        <w:t xml:space="preserve"> although </w:t>
      </w:r>
      <w:r>
        <w:t xml:space="preserve">the former two </w:t>
      </w:r>
      <w:r w:rsidRPr="00AF0716">
        <w:t>were not taxed. Bottled water imports were not examined here in detail given the low market share but import volumes (</w:t>
      </w:r>
      <w:r>
        <w:t xml:space="preserve">Figure </w:t>
      </w:r>
      <w:r w:rsidR="009121FC">
        <w:t>S</w:t>
      </w:r>
      <w:r>
        <w:t>4</w:t>
      </w:r>
      <w:r w:rsidRPr="00AF0716">
        <w:t>) appeared to incre</w:t>
      </w:r>
      <w:r>
        <w:t>ase after both tariff increases</w:t>
      </w:r>
      <w:r w:rsidRPr="00AF0716">
        <w:t xml:space="preserve"> and decrease after the SSB excise decrease in 2014. Sales of bottled water (local and imported) at the major grocery chain decreased (-21%) after the SSB excise introduction when the level of SSB tax decreased. Bottled water results therefore appeared to be consistent with previous studies that have shown substitution to bottled water with increased SSB tax</w:t>
      </w:r>
      <w:r>
        <w:t>,</w:t>
      </w:r>
      <w:r>
        <w:fldChar w:fldCharType="begin"/>
      </w:r>
      <w:r w:rsidR="007C5A63">
        <w:instrText xml:space="preserve"> ADDIN EN.CITE &lt;EndNote&gt;&lt;Cite&gt;&lt;Author&gt;Teng&lt;/Author&gt;&lt;Year&gt;2019&lt;/Year&gt;&lt;RecNum&gt;1527&lt;/RecNum&gt;&lt;DisplayText&gt;&lt;style face="superscript"&gt;8&lt;/style&gt;&lt;/DisplayText&gt;&lt;record&gt;&lt;rec-number&gt;1527&lt;/rec-number&gt;&lt;foreign-keys&gt;&lt;key app="EN" db-id="srtews2r90f0aqe2s9r5da54ptadf0ztv5vs" timestamp="1568928943"&gt;1527&lt;/key&gt;&lt;/foreign-keys&gt;&lt;ref-type name="Journal Article"&gt;17&lt;/ref-type&gt;&lt;contributors&gt;&lt;authors&gt;&lt;author&gt;Teng, A. M.&lt;/author&gt;&lt;author&gt;Jones, A. C.&lt;/author&gt;&lt;author&gt;Mizdrak, A.&lt;/author&gt;&lt;author&gt;Signal, L.&lt;/author&gt;&lt;author&gt;Genc, M.&lt;/author&gt;&lt;author&gt;Wilson, N.&lt;/author&gt;&lt;/authors&gt;&lt;/contributors&gt;&lt;auth-address&gt;Department of Public Health, University of Otago, Wellington, New Zealand.&amp;#xD;Department of Economics, University of Otago, Dunedin, New Zealand.&lt;/auth-address&gt;&lt;titles&gt;&lt;title&gt;Impact of sugar-sweetened beverage taxes on purchases and dietary intake: Systematic review and meta-analysis&lt;/title&gt;&lt;secondary-title&gt;Obes Rev&lt;/secondary-title&gt;&lt;/titles&gt;&lt;pages&gt;1187-1204&lt;/pages&gt;&lt;volume&gt;20&lt;/volume&gt;&lt;number&gt;9&lt;/number&gt;&lt;edition&gt;2019/06/21&lt;/edition&gt;&lt;keywords&gt;&lt;keyword&gt;evaluation&lt;/keyword&gt;&lt;keyword&gt;excise&lt;/keyword&gt;&lt;keyword&gt;meta-analysis&lt;/keyword&gt;&lt;keyword&gt;natural experiment&lt;/keyword&gt;&lt;keyword&gt;soft drinks&lt;/keyword&gt;&lt;keyword&gt;tax&lt;/keyword&gt;&lt;/keywords&gt;&lt;dates&gt;&lt;year&gt;2019&lt;/year&gt;&lt;pub-dates&gt;&lt;date&gt;Sep&lt;/date&gt;&lt;/pub-dates&gt;&lt;/dates&gt;&lt;isbn&gt;1467-789X (Electronic)&amp;#xD;1467-7881 (Linking)&lt;/isbn&gt;&lt;accession-num&gt;31218808&lt;/accession-num&gt;&lt;urls&gt;&lt;related-urls&gt;&lt;url&gt;&lt;style face="underline" font="default" size="100%"&gt;https://www.ncbi.nlm.nih.gov/pubmed/31218808&lt;/style&gt;&lt;/url&gt;&lt;/related-urls&gt;&lt;/urls&gt;&lt;electronic-resource-num&gt;10.1111/obr.12868&lt;/electronic-resource-num&gt;&lt;/record&gt;&lt;/Cite&gt;&lt;/EndNote&gt;</w:instrText>
      </w:r>
      <w:r>
        <w:fldChar w:fldCharType="separate"/>
      </w:r>
      <w:r w:rsidR="007C5A63" w:rsidRPr="007C5A63">
        <w:rPr>
          <w:noProof/>
          <w:vertAlign w:val="superscript"/>
        </w:rPr>
        <w:t>8</w:t>
      </w:r>
      <w:r>
        <w:fldChar w:fldCharType="end"/>
      </w:r>
      <w:r w:rsidRPr="00AF0716">
        <w:t xml:space="preserve"> with the opposite affect for a tax </w:t>
      </w:r>
      <w:r>
        <w:t>de</w:t>
      </w:r>
      <w:r w:rsidRPr="00AF0716">
        <w:t>crease. Sales of ASBs also began to increase in the second year after the SSB excise introduction,</w:t>
      </w:r>
      <w:r>
        <w:t xml:space="preserve"> while</w:t>
      </w:r>
      <w:r w:rsidRPr="00AF0716">
        <w:t xml:space="preserve"> </w:t>
      </w:r>
      <w:r>
        <w:t>less hazardous</w:t>
      </w:r>
      <w:r w:rsidRPr="00AF0716">
        <w:t xml:space="preserve"> than </w:t>
      </w:r>
      <w:r>
        <w:t>full-sugar</w:t>
      </w:r>
      <w:r w:rsidRPr="00AF0716">
        <w:t xml:space="preserve"> varieties</w:t>
      </w:r>
      <w:r>
        <w:t>,</w:t>
      </w:r>
      <w:r w:rsidRPr="00AF0716">
        <w:t xml:space="preserve"> </w:t>
      </w:r>
      <w:r>
        <w:t>ASBs are</w:t>
      </w:r>
      <w:r w:rsidRPr="00AF0716">
        <w:t xml:space="preserve"> not as preferable as water</w:t>
      </w:r>
      <w:r>
        <w:t xml:space="preserve"> from a health perspective.</w:t>
      </w:r>
      <w:r w:rsidRPr="00AF0716">
        <w:fldChar w:fldCharType="begin">
          <w:fldData xml:space="preserve">PEVuZE5vdGU+PENpdGU+PEF1dGhvcj5NYW5kcmlvbGk8L0F1dGhvcj48WWVhcj4yMDE2PC9ZZWFy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</w:fldData>
        </w:fldChar>
      </w:r>
      <w:r w:rsidR="007C5A63">
        <w:instrText xml:space="preserve"> ADDIN EN.CITE </w:instrText>
      </w:r>
      <w:r w:rsidR="007C5A63">
        <w:fldChar w:fldCharType="begin">
          <w:fldData xml:space="preserve">PEVuZE5vdGU+PENpdGU+PEF1dGhvcj5NYW5kcmlvbGk8L0F1dGhvcj48WWVhcj4yMDE2PC9ZZWFy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</w:fldData>
        </w:fldChar>
      </w:r>
      <w:r w:rsidR="007C5A63">
        <w:instrText xml:space="preserve"> ADDIN EN.CITE.DATA </w:instrText>
      </w:r>
      <w:r w:rsidR="007C5A63">
        <w:fldChar w:fldCharType="end"/>
      </w:r>
      <w:r w:rsidRPr="00AF0716">
        <w:fldChar w:fldCharType="separate"/>
      </w:r>
      <w:r w:rsidR="007C5A63" w:rsidRPr="007C5A63">
        <w:rPr>
          <w:noProof/>
          <w:vertAlign w:val="superscript"/>
        </w:rPr>
        <w:t>9</w:t>
      </w:r>
      <w:r w:rsidRPr="00AF0716">
        <w:fldChar w:fldCharType="end"/>
      </w:r>
      <w:r w:rsidRPr="00AF0716">
        <w:t xml:space="preserve"> There was no evidence of substituti</w:t>
      </w:r>
      <w:r>
        <w:t>on to imports of milk or juice.</w:t>
      </w:r>
    </w:p>
    <w:p w:rsidR="00CB3E60" w:rsidRDefault="00CB3E60" w:rsidP="00CB3E60">
      <w:pPr>
        <w:spacing w:after="0"/>
      </w:pPr>
    </w:p>
    <w:p w:rsidR="00CB3E60" w:rsidRDefault="00CB3E60" w:rsidP="00CB3E60">
      <w:pPr>
        <w:pStyle w:val="Heading3"/>
      </w:pPr>
      <w:r>
        <w:lastRenderedPageBreak/>
        <w:t>Strengths and limitations</w:t>
      </w:r>
    </w:p>
    <w:p w:rsidR="00CB3E60" w:rsidRDefault="00CB3E60" w:rsidP="00CB3E60">
      <w:pPr>
        <w:spacing w:after="0"/>
      </w:pPr>
      <w:r w:rsidRPr="00AF0716">
        <w:t xml:space="preserve">Other factors may also have affected results such as changes in weather and temperature patterns, price promotions, advertising and sponsorship, shelf space and availability of taxed and untaxed beverages. The import and price models adjusted for the impact of population change, season, large increases in </w:t>
      </w:r>
      <w:r>
        <w:t>international visitor</w:t>
      </w:r>
      <w:r w:rsidRPr="00AF0716">
        <w:t xml:space="preserve"> numbers and GDP</w:t>
      </w:r>
      <w:r>
        <w:t xml:space="preserve"> per capita</w:t>
      </w:r>
      <w:r w:rsidRPr="00AF0716">
        <w:t xml:space="preserve"> on increased sweetened beverage imports, but residual confounding may also have remained</w:t>
      </w:r>
      <w:r>
        <w:t>,</w:t>
      </w:r>
      <w:r w:rsidRPr="00AF0716">
        <w:t xml:space="preserve"> especially for sales data. The global financial crisis effects are somewhat accounted for in GDP adjustments, but may have had broader impacts that we </w:t>
      </w:r>
      <w:r>
        <w:t>could</w:t>
      </w:r>
      <w:r w:rsidRPr="00AF0716">
        <w:t xml:space="preserve"> not measure.</w:t>
      </w:r>
    </w:p>
    <w:p w:rsidR="00CB3E60" w:rsidRDefault="00CB3E60" w:rsidP="00CB3E60">
      <w:pPr>
        <w:spacing w:after="0"/>
      </w:pPr>
    </w:p>
    <w:p w:rsidR="00CB3E60" w:rsidRPr="00AF0716" w:rsidRDefault="00CB3E60" w:rsidP="00CB3E60">
      <w:pPr>
        <w:pStyle w:val="Heading3"/>
      </w:pPr>
      <w:r>
        <w:t>Further potential i</w:t>
      </w:r>
      <w:r w:rsidRPr="00AF0716">
        <w:t xml:space="preserve">mplications </w:t>
      </w:r>
    </w:p>
    <w:p w:rsidR="002B7A37" w:rsidRDefault="00CB3E60" w:rsidP="00CB3E60">
      <w:pPr>
        <w:spacing w:after="0"/>
      </w:pPr>
      <w:r w:rsidRPr="00AF0716">
        <w:t xml:space="preserve">There are several </w:t>
      </w:r>
      <w:r>
        <w:t>lessons</w:t>
      </w:r>
      <w:r w:rsidRPr="00AF0716">
        <w:t xml:space="preserve"> </w:t>
      </w:r>
      <w:r>
        <w:t xml:space="preserve">from the Cook Islands analysis </w:t>
      </w:r>
      <w:r w:rsidRPr="00AF0716">
        <w:t xml:space="preserve">that could be </w:t>
      </w:r>
      <w:r>
        <w:t xml:space="preserve">used to </w:t>
      </w:r>
      <w:r w:rsidRPr="00AF0716">
        <w:t xml:space="preserve">strengthen the potential diet and health impacts of </w:t>
      </w:r>
      <w:r>
        <w:t xml:space="preserve">other </w:t>
      </w:r>
      <w:r w:rsidRPr="00AF0716">
        <w:t xml:space="preserve">SSB </w:t>
      </w:r>
      <w:r>
        <w:t>taxes. The WHO recommends at least 20% SSB tax increases for positive behavioural change, which is larger than the Cook Islands excise change</w:t>
      </w:r>
      <w:r w:rsidRPr="00AF0716">
        <w:t xml:space="preserve">. </w:t>
      </w:r>
      <w:r>
        <w:t>Taxes on l</w:t>
      </w:r>
      <w:r w:rsidRPr="00AF0716">
        <w:t>ocally</w:t>
      </w:r>
      <w:r>
        <w:t>-</w:t>
      </w:r>
      <w:r w:rsidRPr="00AF0716">
        <w:t xml:space="preserve">manufactured </w:t>
      </w:r>
      <w:r>
        <w:t xml:space="preserve">sweetened </w:t>
      </w:r>
      <w:r w:rsidRPr="00AF0716">
        <w:t>beverage</w:t>
      </w:r>
      <w:r>
        <w:t>s</w:t>
      </w:r>
      <w:r w:rsidRPr="00AF0716">
        <w:t xml:space="preserve"> </w:t>
      </w:r>
      <w:r>
        <w:t xml:space="preserve">may require additional resources to implement to ensure that these products are </w:t>
      </w:r>
      <w:r w:rsidRPr="00AF0716">
        <w:t xml:space="preserve">taxed at the same level </w:t>
      </w:r>
      <w:r>
        <w:t>as imported beverages and to avoid</w:t>
      </w:r>
      <w:r w:rsidRPr="00AF0716">
        <w:t xml:space="preserve"> </w:t>
      </w:r>
      <w:r>
        <w:t>substitution</w:t>
      </w:r>
      <w:r w:rsidRPr="00AF0716">
        <w:t xml:space="preserve"> to cheaper locally produced soft drinks. Similarly, </w:t>
      </w:r>
      <w:r>
        <w:t>SSB taxes should</w:t>
      </w:r>
      <w:r w:rsidRPr="00AF0716">
        <w:t xml:space="preserve"> include </w:t>
      </w:r>
      <w:r>
        <w:t>all</w:t>
      </w:r>
      <w:r w:rsidRPr="00AF0716">
        <w:t xml:space="preserve"> SSBs such as flavoured milk, powdered drink sachets, fruit juices and soft drinks made from syrups</w:t>
      </w:r>
      <w:r w:rsidRPr="005B5E6B">
        <w:t xml:space="preserve"> </w:t>
      </w:r>
      <w:r w:rsidRPr="00AF0716">
        <w:t xml:space="preserve">to avoid substitution to </w:t>
      </w:r>
      <w:r>
        <w:t>these</w:t>
      </w:r>
      <w:r w:rsidRPr="00AF0716">
        <w:t xml:space="preserve"> products. SSB tax changes </w:t>
      </w:r>
      <w:r>
        <w:t>can be used as</w:t>
      </w:r>
      <w:r w:rsidRPr="00AF0716">
        <w:t xml:space="preserve"> an opportunity to increase population awareness about the harms of SSB consumption. For greater public acceptability </w:t>
      </w:r>
      <w:r>
        <w:t>and improved health and equity outcomes</w:t>
      </w:r>
      <w:r w:rsidRPr="00AF0716">
        <w:t xml:space="preserve">, SSB tax revenue can be earmarked and invested </w:t>
      </w:r>
      <w:r>
        <w:t>for</w:t>
      </w:r>
      <w:r w:rsidRPr="00AF0716">
        <w:t xml:space="preserve"> </w:t>
      </w:r>
      <w:r>
        <w:t>safe drinking water access</w:t>
      </w:r>
      <w:r w:rsidRPr="00AF0716">
        <w:t>, obesity</w:t>
      </w:r>
      <w:r w:rsidRPr="005B5E6B">
        <w:t xml:space="preserve"> </w:t>
      </w:r>
      <w:r w:rsidRPr="00AF0716">
        <w:t>prevent</w:t>
      </w:r>
      <w:r>
        <w:t>ion</w:t>
      </w:r>
      <w:r w:rsidRPr="00AF0716">
        <w:t xml:space="preserve">, health system capacity </w:t>
      </w:r>
      <w:r>
        <w:t xml:space="preserve">and other interventions that </w:t>
      </w:r>
      <w:r w:rsidRPr="00AF0716">
        <w:t xml:space="preserve">benefit low income households and communities. Healthy substitution could be promoted by providing safe </w:t>
      </w:r>
      <w:r>
        <w:t xml:space="preserve">public </w:t>
      </w:r>
      <w:r w:rsidRPr="00AF0716">
        <w:t xml:space="preserve">drinking water fountains and water only policies in schools; increasing availability of </w:t>
      </w:r>
      <w:r>
        <w:t xml:space="preserve">healthier beverages such as </w:t>
      </w:r>
      <w:r w:rsidRPr="00AF0716">
        <w:t>coconut water for sale such as in small dairies/shops, beaches and public areas; fluoridation</w:t>
      </w:r>
      <w:r w:rsidRPr="007E69F7">
        <w:t xml:space="preserve"> </w:t>
      </w:r>
      <w:r>
        <w:t>to reduce tooth decay</w:t>
      </w:r>
      <w:r w:rsidRPr="00AF0716">
        <w:t>, testing and treatment of reticulated water in towns to make it safe for drinking</w:t>
      </w:r>
      <w:r>
        <w:t xml:space="preserve"> </w:t>
      </w:r>
      <w:r w:rsidRPr="00AF0716">
        <w:t xml:space="preserve">and improved access to safe drinking water in </w:t>
      </w:r>
      <w:r>
        <w:t>remote areas</w:t>
      </w:r>
      <w:r w:rsidRPr="00AF0716">
        <w:t>. Bans could also be considered on SSB sports sponsorship and marketing to children</w:t>
      </w:r>
      <w:r>
        <w:t xml:space="preserve">. </w:t>
      </w:r>
      <w:r w:rsidRPr="00AF0716">
        <w:t>Greater collaboration with nutrition, health and agriculture experts is likely to contribute to improved SSB tax design</w:t>
      </w:r>
      <w:r>
        <w:t>.</w:t>
      </w:r>
      <w:r>
        <w:fldChar w:fldCharType="begin"/>
      </w:r>
      <w:r w:rsidR="007C5A63">
        <w:instrText xml:space="preserve"> ADDIN EN.CITE &lt;EndNote&gt;&lt;Cite&gt;&lt;Author&gt;Thow&lt;/Author&gt;&lt;Year&gt;2011&lt;/Year&gt;&lt;RecNum&gt;244&lt;/RecNum&gt;&lt;DisplayText&gt;&lt;style face="superscript"&gt;10&lt;/style&gt;&lt;/DisplayText&gt;&lt;record&gt;&lt;rec-number&gt;244&lt;/rec-number&gt;&lt;foreign-keys&gt;&lt;key app="EN" db-id="srtews2r90f0aqe2s9r5da54ptadf0ztv5vs" timestamp="1499129921"&gt;244&lt;/key&gt;&lt;/foreign-keys&gt;&lt;ref-type name="Journal Article"&gt;17&lt;/ref-type&gt;&lt;contributors&gt;&lt;authors&gt;&lt;author&gt;Thow, Anne Marie&lt;/author&gt;&lt;author&gt;Quested, Christine&lt;/author&gt;&lt;author&gt;Juventin, Lisa&lt;/author&gt;&lt;author&gt;Kun, Russ&lt;/author&gt;&lt;author&gt;Khan, A Nisha&lt;/author&gt;&lt;author&gt;Swinburn, Boyd&lt;/author&gt;&lt;/authors&gt;&lt;/contributors&gt;&lt;titles&gt;&lt;title&gt;Taxing soft drinks in the Pacific: implementation lessons for improving health&lt;/title&gt;&lt;secondary-title&gt;Health Promot Int&lt;/secondary-title&gt;&lt;/titles&gt;&lt;pages&gt;55-64&lt;/pages&gt;&lt;volume&gt;26&lt;/volume&gt;&lt;number&gt;1&lt;/number&gt;&lt;dates&gt;&lt;year&gt;2011&lt;/year&gt;&lt;/dates&gt;&lt;isbn&gt;0957-4824&lt;/isbn&gt;&lt;urls&gt;&lt;/urls&gt;&lt;/record&gt;&lt;/Cite&gt;&lt;/EndNote&gt;</w:instrText>
      </w:r>
      <w:r>
        <w:fldChar w:fldCharType="separate"/>
      </w:r>
      <w:r w:rsidR="007C5A63" w:rsidRPr="007C5A63">
        <w:rPr>
          <w:noProof/>
          <w:vertAlign w:val="superscript"/>
        </w:rPr>
        <w:t>10</w:t>
      </w:r>
      <w:r>
        <w:fldChar w:fldCharType="end"/>
      </w:r>
      <w:r>
        <w:t xml:space="preserve"> Ongoing</w:t>
      </w:r>
      <w:r w:rsidRPr="00AF0716">
        <w:t xml:space="preserve"> monitoring </w:t>
      </w:r>
      <w:r>
        <w:t>of SSB tax implementation and impact (eg,</w:t>
      </w:r>
      <w:r w:rsidRPr="00AF0716">
        <w:t xml:space="preserve"> beverage imports, local manufacturing and revenue</w:t>
      </w:r>
      <w:r>
        <w:t>) can</w:t>
      </w:r>
      <w:r w:rsidRPr="00AF0716">
        <w:t xml:space="preserve"> </w:t>
      </w:r>
      <w:r>
        <w:t>i</w:t>
      </w:r>
      <w:r w:rsidRPr="00AF0716">
        <w:t>nform further SSB tax policy</w:t>
      </w:r>
      <w:r>
        <w:t xml:space="preserve"> improvements</w:t>
      </w:r>
      <w:r w:rsidRPr="00AF0716">
        <w:t xml:space="preserve">. </w:t>
      </w:r>
      <w:bookmarkStart w:id="0" w:name="_GoBack"/>
      <w:bookmarkEnd w:id="0"/>
      <w:r w:rsidRPr="00AF0716">
        <w:t xml:space="preserve"> </w:t>
      </w:r>
    </w:p>
    <w:p w:rsidR="007C5A63" w:rsidRDefault="007C5A63" w:rsidP="0059065F">
      <w:pPr>
        <w:pStyle w:val="Heading1"/>
        <w:spacing w:after="240"/>
      </w:pPr>
      <w:r>
        <w:t>References</w:t>
      </w:r>
    </w:p>
    <w:p w:rsidR="007C5A63" w:rsidRPr="007C5A63" w:rsidRDefault="007C5A63" w:rsidP="0059065F">
      <w:pPr>
        <w:pStyle w:val="EndNoteBibliography"/>
        <w:numPr>
          <w:ilvl w:val="0"/>
          <w:numId w:val="0"/>
        </w:numPr>
        <w:spacing w:after="0"/>
        <w:ind w:left="720" w:hanging="720"/>
      </w:pPr>
      <w:r>
        <w:fldChar w:fldCharType="begin"/>
      </w:r>
      <w:r w:rsidRPr="007C5A63">
        <w:instrText xml:space="preserve"> ADDIN EN.REFLIST </w:instrText>
      </w:r>
      <w:r>
        <w:fldChar w:fldCharType="separate"/>
      </w:r>
      <w:r w:rsidRPr="007C5A63">
        <w:t>1.</w:t>
      </w:r>
      <w:r w:rsidRPr="007C5A63">
        <w:tab/>
        <w:t>Smith SDA, Banister K, Fraser N, Edgar RJ. Tracing the source of marine debris on the beaches of northern New South Wales, Australia: The Bottles on Beaches program. Mar Pollut Bull 2018;126:304-307.</w:t>
      </w:r>
    </w:p>
    <w:p w:rsidR="007C5A63" w:rsidRPr="007C5A63" w:rsidRDefault="007C5A63" w:rsidP="0059065F">
      <w:pPr>
        <w:pStyle w:val="EndNoteBibliography"/>
        <w:numPr>
          <w:ilvl w:val="0"/>
          <w:numId w:val="0"/>
        </w:numPr>
        <w:spacing w:after="0"/>
        <w:ind w:left="720" w:hanging="720"/>
      </w:pPr>
      <w:r w:rsidRPr="007C5A63">
        <w:t>2.</w:t>
      </w:r>
      <w:r w:rsidRPr="007C5A63">
        <w:tab/>
        <w:t>Finkelstein EA, Zhen C, Bilger M, Nonnemaker J, Farooqui AM, Todd JE. Implications of a sugar-sweetened beverage (SSB) tax when substitutions to non-beverage items are considered. J Health Econ 2013;32(1):219-39.</w:t>
      </w:r>
    </w:p>
    <w:p w:rsidR="007C5A63" w:rsidRPr="007C5A63" w:rsidRDefault="007C5A63" w:rsidP="0059065F">
      <w:pPr>
        <w:pStyle w:val="EndNoteBibliography"/>
        <w:numPr>
          <w:ilvl w:val="0"/>
          <w:numId w:val="0"/>
        </w:numPr>
        <w:spacing w:after="0"/>
        <w:ind w:left="720" w:hanging="720"/>
      </w:pPr>
      <w:r w:rsidRPr="007C5A63">
        <w:t>3.</w:t>
      </w:r>
      <w:r w:rsidRPr="007C5A63">
        <w:tab/>
        <w:t>Waterlander WE, Ni Mhurchu C, Steenhuis IH. Effects of a price increase on purchases of sugar sweetened beverages. Results from a randomized controlled trial. Appetite 2014;78:32-39.</w:t>
      </w:r>
    </w:p>
    <w:p w:rsidR="007C5A63" w:rsidRPr="007C5A63" w:rsidRDefault="007C5A63" w:rsidP="0059065F">
      <w:pPr>
        <w:pStyle w:val="EndNoteBibliography"/>
        <w:numPr>
          <w:ilvl w:val="0"/>
          <w:numId w:val="0"/>
        </w:numPr>
        <w:spacing w:after="0"/>
        <w:ind w:left="720" w:hanging="720"/>
      </w:pPr>
      <w:r w:rsidRPr="007C5A63">
        <w:lastRenderedPageBreak/>
        <w:t>4.</w:t>
      </w:r>
      <w:r w:rsidRPr="007C5A63">
        <w:tab/>
        <w:t>Guerrero-Lopez CM, Unar-Munguia M, Colchero MA. Price elasticity of the demand for soft drinks, other sugar-sweetened beverages and energy dense food in Chile. BMC Public Health 2017;17(1):180.</w:t>
      </w:r>
    </w:p>
    <w:p w:rsidR="007C5A63" w:rsidRPr="007C5A63" w:rsidRDefault="007C5A63" w:rsidP="0059065F">
      <w:pPr>
        <w:pStyle w:val="EndNoteBibliography"/>
        <w:numPr>
          <w:ilvl w:val="0"/>
          <w:numId w:val="0"/>
        </w:numPr>
        <w:spacing w:after="0"/>
        <w:ind w:left="720" w:hanging="720"/>
      </w:pPr>
      <w:r w:rsidRPr="007C5A63">
        <w:t>5.</w:t>
      </w:r>
      <w:r w:rsidRPr="007C5A63">
        <w:tab/>
        <w:t>Lopez Bernal J, Cummins S, Gasparrini A. Interrupted time series regression for the evaluation of public health interventions: a tutorial. Int J Epidemiol 2017;46(1):348-355.</w:t>
      </w:r>
    </w:p>
    <w:p w:rsidR="007C5A63" w:rsidRPr="007C5A63" w:rsidRDefault="007C5A63" w:rsidP="0059065F">
      <w:pPr>
        <w:pStyle w:val="EndNoteBibliography"/>
        <w:numPr>
          <w:ilvl w:val="0"/>
          <w:numId w:val="0"/>
        </w:numPr>
        <w:spacing w:after="0"/>
        <w:ind w:left="720" w:hanging="720"/>
      </w:pPr>
      <w:r w:rsidRPr="007C5A63">
        <w:t>6.</w:t>
      </w:r>
      <w:r w:rsidRPr="007C5A63">
        <w:tab/>
        <w:t>Grummon AH, Lockwood BB, Taubinsky D, Allcott H. Designing better sugary drink taxes: Tax the sugar, not the liquid. Science 2019;365(6457):989-990.</w:t>
      </w:r>
    </w:p>
    <w:p w:rsidR="007C5A63" w:rsidRPr="007C5A63" w:rsidRDefault="007C5A63" w:rsidP="0059065F">
      <w:pPr>
        <w:pStyle w:val="EndNoteBibliography"/>
        <w:numPr>
          <w:ilvl w:val="0"/>
          <w:numId w:val="0"/>
        </w:numPr>
        <w:spacing w:after="0"/>
        <w:ind w:left="720" w:hanging="720"/>
      </w:pPr>
      <w:r w:rsidRPr="007C5A63">
        <w:t>7.</w:t>
      </w:r>
      <w:r w:rsidRPr="007C5A63">
        <w:tab/>
        <w:t>Cook Islands Government. Cook Islands Government 2013 Tax Review; 2013 September.</w:t>
      </w:r>
    </w:p>
    <w:p w:rsidR="007C5A63" w:rsidRPr="007C5A63" w:rsidRDefault="007C5A63" w:rsidP="0059065F">
      <w:pPr>
        <w:pStyle w:val="EndNoteBibliography"/>
        <w:numPr>
          <w:ilvl w:val="0"/>
          <w:numId w:val="0"/>
        </w:numPr>
        <w:spacing w:after="0"/>
        <w:ind w:left="720" w:hanging="720"/>
      </w:pPr>
      <w:r w:rsidRPr="007C5A63">
        <w:t>8.</w:t>
      </w:r>
      <w:r w:rsidRPr="007C5A63">
        <w:tab/>
        <w:t>Teng AM, Jones AC, Mizdrak A, Signal L, Genc M, Wilson N. Impact of sugar-sweetened beverage taxes on purchases and dietary intake: Systematic review and meta-analysis. Obes Rev 2019;20(9):1187-1204.</w:t>
      </w:r>
    </w:p>
    <w:p w:rsidR="007C5A63" w:rsidRPr="007C5A63" w:rsidRDefault="007C5A63" w:rsidP="0059065F">
      <w:pPr>
        <w:pStyle w:val="EndNoteBibliography"/>
        <w:numPr>
          <w:ilvl w:val="0"/>
          <w:numId w:val="0"/>
        </w:numPr>
        <w:spacing w:after="0"/>
        <w:ind w:left="720" w:hanging="720"/>
      </w:pPr>
      <w:r w:rsidRPr="007C5A63">
        <w:t>9.</w:t>
      </w:r>
      <w:r w:rsidRPr="007C5A63">
        <w:tab/>
        <w:t>Mandrioli D, Kearns CE, Bero LA. Relationship between Research Outcomes and Risk of Bias, Study Sponsorship, and Author Financial Conflicts of Interest in Reviews of the Effects of Artificially Sweetened Beverages on Weight Outcomes: A Systematic Review of Reviews. PLoS One 2016;11(9):e0162198.</w:t>
      </w:r>
    </w:p>
    <w:p w:rsidR="007C5A63" w:rsidRPr="007C5A63" w:rsidRDefault="007C5A63" w:rsidP="0059065F">
      <w:pPr>
        <w:pStyle w:val="EndNoteBibliography"/>
        <w:numPr>
          <w:ilvl w:val="0"/>
          <w:numId w:val="0"/>
        </w:numPr>
        <w:ind w:left="720" w:hanging="720"/>
      </w:pPr>
      <w:r w:rsidRPr="007C5A63">
        <w:t>10.</w:t>
      </w:r>
      <w:r w:rsidRPr="007C5A63">
        <w:tab/>
        <w:t>Thow AM, Quested C, Juventin L, Kun R, Khan AN, Swinburn B. Taxing soft drinks in the Pacific: implementation lessons for improving health. Health Promot Int 2011;26(1):55-64.</w:t>
      </w:r>
    </w:p>
    <w:p w:rsidR="007C5A63" w:rsidRPr="007C5A63" w:rsidRDefault="007C5A63" w:rsidP="0059065F">
      <w:pPr>
        <w:ind w:left="720" w:hanging="720"/>
      </w:pPr>
      <w:r>
        <w:fldChar w:fldCharType="end"/>
      </w:r>
    </w:p>
    <w:sectPr w:rsidR="007C5A63" w:rsidRPr="007C5A63">
      <w:footerReference w:type="even"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DC" w:rsidRDefault="005F5ADC">
      <w:pPr>
        <w:spacing w:after="0" w:line="240" w:lineRule="auto"/>
      </w:pPr>
      <w:r>
        <w:separator/>
      </w:r>
    </w:p>
  </w:endnote>
  <w:endnote w:type="continuationSeparator" w:id="0">
    <w:p w:rsidR="005F5ADC" w:rsidRDefault="005F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A7" w:rsidRDefault="00757210" w:rsidP="003E1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08A7" w:rsidRDefault="005F5ADC" w:rsidP="003E1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A7" w:rsidRDefault="005F5ADC" w:rsidP="003E1C5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A7" w:rsidRDefault="00757210" w:rsidP="003E1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08A7" w:rsidRDefault="005F5ADC" w:rsidP="003E1C54">
    <w:pPr>
      <w:pStyle w:val="Footer"/>
      <w:ind w:right="360"/>
    </w:pPr>
  </w:p>
  <w:p w:rsidR="004D08A7" w:rsidRDefault="005F5ADC"/>
  <w:p w:rsidR="004D08A7" w:rsidRDefault="005F5AD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A7" w:rsidRDefault="00757210" w:rsidP="003E1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065F">
      <w:rPr>
        <w:rStyle w:val="PageNumber"/>
        <w:noProof/>
      </w:rPr>
      <w:t>16</w:t>
    </w:r>
    <w:r>
      <w:rPr>
        <w:rStyle w:val="PageNumber"/>
      </w:rPr>
      <w:fldChar w:fldCharType="end"/>
    </w:r>
  </w:p>
  <w:p w:rsidR="004D08A7" w:rsidRDefault="005F5ADC" w:rsidP="003E1C54">
    <w:pPr>
      <w:pStyle w:val="Footer"/>
      <w:ind w:right="360"/>
    </w:pPr>
  </w:p>
  <w:p w:rsidR="004D08A7" w:rsidRDefault="005F5ADC"/>
  <w:p w:rsidR="004D08A7" w:rsidRDefault="005F5A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DC" w:rsidRDefault="005F5ADC">
      <w:pPr>
        <w:spacing w:after="0" w:line="240" w:lineRule="auto"/>
      </w:pPr>
      <w:r>
        <w:separator/>
      </w:r>
    </w:p>
  </w:footnote>
  <w:footnote w:type="continuationSeparator" w:id="0">
    <w:p w:rsidR="005F5ADC" w:rsidRDefault="005F5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086539"/>
      <w:docPartObj>
        <w:docPartGallery w:val="Page Numbers (Top of Page)"/>
        <w:docPartUnique/>
      </w:docPartObj>
    </w:sdtPr>
    <w:sdtEndPr>
      <w:rPr>
        <w:noProof/>
      </w:rPr>
    </w:sdtEndPr>
    <w:sdtContent>
      <w:p w:rsidR="004D08A7" w:rsidRDefault="00757210">
        <w:pPr>
          <w:pStyle w:val="Header"/>
          <w:jc w:val="right"/>
        </w:pPr>
        <w:r>
          <w:fldChar w:fldCharType="begin"/>
        </w:r>
        <w:r>
          <w:instrText xml:space="preserve"> PAGE   \* MERGEFORMAT </w:instrText>
        </w:r>
        <w:r>
          <w:fldChar w:fldCharType="separate"/>
        </w:r>
        <w:r w:rsidR="0059065F">
          <w:rPr>
            <w:noProof/>
          </w:rPr>
          <w:t>16</w:t>
        </w:r>
        <w:r>
          <w:rPr>
            <w:noProof/>
          </w:rPr>
          <w:fldChar w:fldCharType="end"/>
        </w:r>
      </w:p>
    </w:sdtContent>
  </w:sdt>
  <w:p w:rsidR="004D08A7" w:rsidRDefault="005F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36D"/>
    <w:multiLevelType w:val="hybridMultilevel"/>
    <w:tmpl w:val="AD948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6EA8"/>
    <w:multiLevelType w:val="hybridMultilevel"/>
    <w:tmpl w:val="E0943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02B99"/>
    <w:multiLevelType w:val="hybridMultilevel"/>
    <w:tmpl w:val="7AD268D0"/>
    <w:lvl w:ilvl="0" w:tplc="3876791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74D7D"/>
    <w:multiLevelType w:val="multilevel"/>
    <w:tmpl w:val="59187088"/>
    <w:styleLink w:val="Fig1"/>
    <w:lvl w:ilvl="0">
      <w:start w:val="1"/>
      <w:numFmt w:val="non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 w15:restartNumberingAfterBreak="0">
    <w:nsid w:val="0E697F32"/>
    <w:multiLevelType w:val="hybridMultilevel"/>
    <w:tmpl w:val="D072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30FE2"/>
    <w:multiLevelType w:val="hybridMultilevel"/>
    <w:tmpl w:val="E8E66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627A8"/>
    <w:multiLevelType w:val="hybridMultilevel"/>
    <w:tmpl w:val="33220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83A64"/>
    <w:multiLevelType w:val="hybridMultilevel"/>
    <w:tmpl w:val="A222972A"/>
    <w:lvl w:ilvl="0" w:tplc="493023EC">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412A9"/>
    <w:multiLevelType w:val="hybridMultilevel"/>
    <w:tmpl w:val="BD7268BC"/>
    <w:lvl w:ilvl="0" w:tplc="600657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C3A5B"/>
    <w:multiLevelType w:val="hybridMultilevel"/>
    <w:tmpl w:val="5950E890"/>
    <w:lvl w:ilvl="0" w:tplc="8910C2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D7108"/>
    <w:multiLevelType w:val="hybridMultilevel"/>
    <w:tmpl w:val="0C70A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E7767"/>
    <w:multiLevelType w:val="hybridMultilevel"/>
    <w:tmpl w:val="D4A8B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4CB4"/>
    <w:multiLevelType w:val="multilevel"/>
    <w:tmpl w:val="59187088"/>
    <w:lvl w:ilvl="0">
      <w:numFmt w:val="decimal"/>
      <w:pStyle w:val="Figur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11A20"/>
    <w:multiLevelType w:val="hybridMultilevel"/>
    <w:tmpl w:val="81704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0562B"/>
    <w:multiLevelType w:val="hybridMultilevel"/>
    <w:tmpl w:val="28325752"/>
    <w:lvl w:ilvl="0" w:tplc="9B220A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A4F6E"/>
    <w:multiLevelType w:val="hybridMultilevel"/>
    <w:tmpl w:val="DBB67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66224"/>
    <w:multiLevelType w:val="hybridMultilevel"/>
    <w:tmpl w:val="A7247FA6"/>
    <w:lvl w:ilvl="0" w:tplc="5B02C706">
      <w:start w:val="2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254C3"/>
    <w:multiLevelType w:val="hybridMultilevel"/>
    <w:tmpl w:val="1A381C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7E0F4A"/>
    <w:multiLevelType w:val="hybridMultilevel"/>
    <w:tmpl w:val="542A25AE"/>
    <w:lvl w:ilvl="0" w:tplc="1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44EDA"/>
    <w:multiLevelType w:val="hybridMultilevel"/>
    <w:tmpl w:val="EFF29618"/>
    <w:lvl w:ilvl="0" w:tplc="3A9E3E64">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25EDB"/>
    <w:multiLevelType w:val="hybridMultilevel"/>
    <w:tmpl w:val="FB4AD444"/>
    <w:lvl w:ilvl="0" w:tplc="F4A29716">
      <w:start w:val="1"/>
      <w:numFmt w:val="decimal"/>
      <w:pStyle w:val="EndNoteBibliography"/>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22105"/>
    <w:multiLevelType w:val="hybridMultilevel"/>
    <w:tmpl w:val="0302A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A7685A"/>
    <w:multiLevelType w:val="hybridMultilevel"/>
    <w:tmpl w:val="B6EE7A84"/>
    <w:lvl w:ilvl="0" w:tplc="E5F0A4B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B1D01"/>
    <w:multiLevelType w:val="hybridMultilevel"/>
    <w:tmpl w:val="EB70A4E8"/>
    <w:lvl w:ilvl="0" w:tplc="1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9"/>
  </w:num>
  <w:num w:numId="4">
    <w:abstractNumId w:val="8"/>
  </w:num>
  <w:num w:numId="5">
    <w:abstractNumId w:val="1"/>
  </w:num>
  <w:num w:numId="6">
    <w:abstractNumId w:val="7"/>
  </w:num>
  <w:num w:numId="7">
    <w:abstractNumId w:val="20"/>
  </w:num>
  <w:num w:numId="8">
    <w:abstractNumId w:val="3"/>
  </w:num>
  <w:num w:numId="9">
    <w:abstractNumId w:val="12"/>
  </w:num>
  <w:num w:numId="10">
    <w:abstractNumId w:val="0"/>
  </w:num>
  <w:num w:numId="11">
    <w:abstractNumId w:val="6"/>
  </w:num>
  <w:num w:numId="12">
    <w:abstractNumId w:val="15"/>
  </w:num>
  <w:num w:numId="13">
    <w:abstractNumId w:val="17"/>
  </w:num>
  <w:num w:numId="14">
    <w:abstractNumId w:val="2"/>
  </w:num>
  <w:num w:numId="15">
    <w:abstractNumId w:val="23"/>
  </w:num>
  <w:num w:numId="16">
    <w:abstractNumId w:val="18"/>
  </w:num>
  <w:num w:numId="17">
    <w:abstractNumId w:val="16"/>
  </w:num>
  <w:num w:numId="18">
    <w:abstractNumId w:val="11"/>
  </w:num>
  <w:num w:numId="19">
    <w:abstractNumId w:val="22"/>
  </w:num>
  <w:num w:numId="20">
    <w:abstractNumId w:val="21"/>
  </w:num>
  <w:num w:numId="21">
    <w:abstractNumId w:val="10"/>
  </w:num>
  <w:num w:numId="22">
    <w:abstractNumId w:val="5"/>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mer J Prev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B3E60"/>
    <w:rsid w:val="00116E52"/>
    <w:rsid w:val="002B7A37"/>
    <w:rsid w:val="0059065F"/>
    <w:rsid w:val="005F5ADC"/>
    <w:rsid w:val="00757210"/>
    <w:rsid w:val="007C5A63"/>
    <w:rsid w:val="009121FC"/>
    <w:rsid w:val="00A9235A"/>
    <w:rsid w:val="00CB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AC12"/>
  <w15:docId w15:val="{9FA0420A-6D92-4DF0-9D61-43D8E498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E60"/>
    <w:pPr>
      <w:spacing w:after="120"/>
    </w:pPr>
    <w:rPr>
      <w:lang w:val="en-NZ"/>
    </w:rPr>
  </w:style>
  <w:style w:type="paragraph" w:styleId="Heading1">
    <w:name w:val="heading 1"/>
    <w:basedOn w:val="Normal"/>
    <w:next w:val="Normal"/>
    <w:link w:val="Heading1Char"/>
    <w:uiPriority w:val="9"/>
    <w:qFormat/>
    <w:rsid w:val="00CB3E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3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3E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3E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3E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3E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E60"/>
    <w:rPr>
      <w:rFonts w:asciiTheme="majorHAnsi" w:eastAsiaTheme="majorEastAsia" w:hAnsiTheme="majorHAnsi" w:cstheme="majorBidi"/>
      <w:b/>
      <w:bCs/>
      <w:color w:val="365F91" w:themeColor="accent1" w:themeShade="BF"/>
      <w:sz w:val="28"/>
      <w:szCs w:val="28"/>
      <w:lang w:val="en-NZ"/>
    </w:rPr>
  </w:style>
  <w:style w:type="character" w:customStyle="1" w:styleId="Heading2Char">
    <w:name w:val="Heading 2 Char"/>
    <w:basedOn w:val="DefaultParagraphFont"/>
    <w:link w:val="Heading2"/>
    <w:uiPriority w:val="9"/>
    <w:rsid w:val="00CB3E60"/>
    <w:rPr>
      <w:rFonts w:asciiTheme="majorHAnsi" w:eastAsiaTheme="majorEastAsia" w:hAnsiTheme="majorHAnsi" w:cstheme="majorBidi"/>
      <w:b/>
      <w:bCs/>
      <w:color w:val="4F81BD" w:themeColor="accent1"/>
      <w:sz w:val="26"/>
      <w:szCs w:val="26"/>
      <w:lang w:val="en-NZ"/>
    </w:rPr>
  </w:style>
  <w:style w:type="character" w:customStyle="1" w:styleId="Heading3Char">
    <w:name w:val="Heading 3 Char"/>
    <w:basedOn w:val="DefaultParagraphFont"/>
    <w:link w:val="Heading3"/>
    <w:uiPriority w:val="9"/>
    <w:rsid w:val="00CB3E60"/>
    <w:rPr>
      <w:rFonts w:asciiTheme="majorHAnsi" w:eastAsiaTheme="majorEastAsia" w:hAnsiTheme="majorHAnsi" w:cstheme="majorBidi"/>
      <w:b/>
      <w:bCs/>
      <w:color w:val="4F81BD" w:themeColor="accent1"/>
      <w:sz w:val="24"/>
      <w:lang w:val="en-NZ"/>
    </w:rPr>
  </w:style>
  <w:style w:type="character" w:customStyle="1" w:styleId="Heading4Char">
    <w:name w:val="Heading 4 Char"/>
    <w:basedOn w:val="DefaultParagraphFont"/>
    <w:link w:val="Heading4"/>
    <w:uiPriority w:val="9"/>
    <w:rsid w:val="00CB3E60"/>
    <w:rPr>
      <w:rFonts w:asciiTheme="majorHAnsi" w:eastAsiaTheme="majorEastAsia" w:hAnsiTheme="majorHAnsi" w:cstheme="majorBidi"/>
      <w:b/>
      <w:bCs/>
      <w:i/>
      <w:iCs/>
      <w:color w:val="4F81BD" w:themeColor="accent1"/>
      <w:sz w:val="24"/>
      <w:lang w:val="en-NZ"/>
    </w:rPr>
  </w:style>
  <w:style w:type="character" w:customStyle="1" w:styleId="Heading5Char">
    <w:name w:val="Heading 5 Char"/>
    <w:basedOn w:val="DefaultParagraphFont"/>
    <w:link w:val="Heading5"/>
    <w:uiPriority w:val="9"/>
    <w:rsid w:val="00CB3E60"/>
    <w:rPr>
      <w:rFonts w:asciiTheme="majorHAnsi" w:eastAsiaTheme="majorEastAsia" w:hAnsiTheme="majorHAnsi" w:cstheme="majorBidi"/>
      <w:color w:val="243F60" w:themeColor="accent1" w:themeShade="7F"/>
      <w:sz w:val="24"/>
      <w:lang w:val="en-NZ"/>
    </w:rPr>
  </w:style>
  <w:style w:type="character" w:customStyle="1" w:styleId="Heading6Char">
    <w:name w:val="Heading 6 Char"/>
    <w:basedOn w:val="DefaultParagraphFont"/>
    <w:link w:val="Heading6"/>
    <w:uiPriority w:val="9"/>
    <w:rsid w:val="00CB3E60"/>
    <w:rPr>
      <w:rFonts w:asciiTheme="majorHAnsi" w:eastAsiaTheme="majorEastAsia" w:hAnsiTheme="majorHAnsi" w:cstheme="majorBidi"/>
      <w:i/>
      <w:iCs/>
      <w:color w:val="243F60" w:themeColor="accent1" w:themeShade="7F"/>
      <w:sz w:val="24"/>
      <w:lang w:val="en-NZ"/>
    </w:rPr>
  </w:style>
  <w:style w:type="paragraph" w:styleId="ListParagraph">
    <w:name w:val="List Paragraph"/>
    <w:basedOn w:val="Normal"/>
    <w:link w:val="ListParagraphChar"/>
    <w:uiPriority w:val="34"/>
    <w:qFormat/>
    <w:rsid w:val="00CB3E60"/>
    <w:pPr>
      <w:ind w:left="720"/>
      <w:contextualSpacing/>
    </w:pPr>
  </w:style>
  <w:style w:type="paragraph" w:styleId="Title">
    <w:name w:val="Title"/>
    <w:basedOn w:val="Normal"/>
    <w:next w:val="Normal"/>
    <w:link w:val="TitleChar"/>
    <w:uiPriority w:val="10"/>
    <w:qFormat/>
    <w:rsid w:val="00CB3E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3E60"/>
    <w:rPr>
      <w:rFonts w:asciiTheme="majorHAnsi" w:eastAsiaTheme="majorEastAsia" w:hAnsiTheme="majorHAnsi" w:cstheme="majorBidi"/>
      <w:color w:val="17365D" w:themeColor="text2" w:themeShade="BF"/>
      <w:spacing w:val="5"/>
      <w:kern w:val="28"/>
      <w:sz w:val="52"/>
      <w:szCs w:val="52"/>
      <w:lang w:val="en-NZ"/>
    </w:rPr>
  </w:style>
  <w:style w:type="table" w:styleId="TableGrid">
    <w:name w:val="Table Grid"/>
    <w:basedOn w:val="TableNormal"/>
    <w:uiPriority w:val="59"/>
    <w:rsid w:val="00CB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B3E6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B3E60"/>
    <w:rPr>
      <w:rFonts w:ascii="Calibri" w:hAnsi="Calibri"/>
      <w:noProof/>
    </w:rPr>
  </w:style>
  <w:style w:type="paragraph" w:customStyle="1" w:styleId="EndNoteBibliography">
    <w:name w:val="EndNote Bibliography"/>
    <w:basedOn w:val="Normal"/>
    <w:link w:val="EndNoteBibliographyChar"/>
    <w:rsid w:val="00CB3E60"/>
    <w:pPr>
      <w:numPr>
        <w:numId w:val="7"/>
      </w:num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B3E60"/>
    <w:rPr>
      <w:rFonts w:ascii="Calibri" w:hAnsi="Calibri"/>
      <w:noProof/>
    </w:rPr>
  </w:style>
  <w:style w:type="character" w:styleId="CommentReference">
    <w:name w:val="annotation reference"/>
    <w:basedOn w:val="DefaultParagraphFont"/>
    <w:uiPriority w:val="99"/>
    <w:semiHidden/>
    <w:unhideWhenUsed/>
    <w:rsid w:val="00CB3E60"/>
    <w:rPr>
      <w:sz w:val="16"/>
      <w:szCs w:val="16"/>
    </w:rPr>
  </w:style>
  <w:style w:type="paragraph" w:styleId="CommentText">
    <w:name w:val="annotation text"/>
    <w:basedOn w:val="Normal"/>
    <w:link w:val="CommentTextChar"/>
    <w:uiPriority w:val="99"/>
    <w:unhideWhenUsed/>
    <w:rsid w:val="00CB3E60"/>
    <w:pPr>
      <w:spacing w:line="240" w:lineRule="auto"/>
    </w:pPr>
    <w:rPr>
      <w:sz w:val="20"/>
      <w:szCs w:val="20"/>
    </w:rPr>
  </w:style>
  <w:style w:type="character" w:customStyle="1" w:styleId="CommentTextChar">
    <w:name w:val="Comment Text Char"/>
    <w:basedOn w:val="DefaultParagraphFont"/>
    <w:link w:val="CommentText"/>
    <w:uiPriority w:val="99"/>
    <w:rsid w:val="00CB3E60"/>
    <w:rPr>
      <w:rFonts w:ascii="Times New Roman" w:hAnsi="Times New Roman"/>
      <w:sz w:val="20"/>
      <w:szCs w:val="20"/>
      <w:lang w:val="en-NZ"/>
    </w:rPr>
  </w:style>
  <w:style w:type="paragraph" w:styleId="CommentSubject">
    <w:name w:val="annotation subject"/>
    <w:basedOn w:val="CommentText"/>
    <w:next w:val="CommentText"/>
    <w:link w:val="CommentSubjectChar"/>
    <w:uiPriority w:val="99"/>
    <w:semiHidden/>
    <w:unhideWhenUsed/>
    <w:rsid w:val="00CB3E60"/>
    <w:rPr>
      <w:b/>
      <w:bCs/>
    </w:rPr>
  </w:style>
  <w:style w:type="character" w:customStyle="1" w:styleId="CommentSubjectChar">
    <w:name w:val="Comment Subject Char"/>
    <w:basedOn w:val="CommentTextChar"/>
    <w:link w:val="CommentSubject"/>
    <w:uiPriority w:val="99"/>
    <w:semiHidden/>
    <w:rsid w:val="00CB3E60"/>
    <w:rPr>
      <w:rFonts w:ascii="Times New Roman" w:hAnsi="Times New Roman"/>
      <w:b/>
      <w:bCs/>
      <w:sz w:val="20"/>
      <w:szCs w:val="20"/>
      <w:lang w:val="en-NZ"/>
    </w:rPr>
  </w:style>
  <w:style w:type="paragraph" w:styleId="BalloonText">
    <w:name w:val="Balloon Text"/>
    <w:basedOn w:val="Normal"/>
    <w:link w:val="BalloonTextChar"/>
    <w:uiPriority w:val="99"/>
    <w:semiHidden/>
    <w:unhideWhenUsed/>
    <w:rsid w:val="00CB3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60"/>
    <w:rPr>
      <w:rFonts w:ascii="Tahoma" w:hAnsi="Tahoma" w:cs="Tahoma"/>
      <w:sz w:val="16"/>
      <w:szCs w:val="16"/>
      <w:lang w:val="en-NZ"/>
    </w:rPr>
  </w:style>
  <w:style w:type="paragraph" w:styleId="Caption">
    <w:name w:val="caption"/>
    <w:basedOn w:val="Normal"/>
    <w:next w:val="Normal"/>
    <w:link w:val="CaptionChar"/>
    <w:uiPriority w:val="35"/>
    <w:unhideWhenUsed/>
    <w:qFormat/>
    <w:rsid w:val="00CB3E60"/>
    <w:pPr>
      <w:spacing w:line="240" w:lineRule="auto"/>
    </w:pPr>
    <w:rPr>
      <w:b/>
      <w:bCs/>
      <w:color w:val="4F81BD" w:themeColor="accent1"/>
      <w:sz w:val="18"/>
      <w:szCs w:val="18"/>
      <w:lang w:val="en-US"/>
    </w:rPr>
  </w:style>
  <w:style w:type="paragraph" w:styleId="Footer">
    <w:name w:val="footer"/>
    <w:basedOn w:val="Normal"/>
    <w:link w:val="FooterChar"/>
    <w:uiPriority w:val="99"/>
    <w:rsid w:val="00CB3E60"/>
    <w:pPr>
      <w:tabs>
        <w:tab w:val="center" w:pos="4153"/>
        <w:tab w:val="right" w:pos="8306"/>
      </w:tabs>
      <w:spacing w:after="0" w:line="240" w:lineRule="auto"/>
    </w:pPr>
    <w:rPr>
      <w:rFonts w:ascii="Arial" w:eastAsia="Times New Roman" w:hAnsi="Arial" w:cs="Times New Roman"/>
      <w:sz w:val="20"/>
      <w:szCs w:val="20"/>
      <w:lang w:val="x-none"/>
    </w:rPr>
  </w:style>
  <w:style w:type="character" w:customStyle="1" w:styleId="FooterChar">
    <w:name w:val="Footer Char"/>
    <w:basedOn w:val="DefaultParagraphFont"/>
    <w:link w:val="Footer"/>
    <w:uiPriority w:val="99"/>
    <w:rsid w:val="00CB3E60"/>
    <w:rPr>
      <w:rFonts w:ascii="Arial" w:eastAsia="Times New Roman" w:hAnsi="Arial" w:cs="Times New Roman"/>
      <w:sz w:val="20"/>
      <w:szCs w:val="20"/>
      <w:lang w:val="x-none"/>
    </w:rPr>
  </w:style>
  <w:style w:type="character" w:styleId="PageNumber">
    <w:name w:val="page number"/>
    <w:basedOn w:val="DefaultParagraphFont"/>
    <w:rsid w:val="00CB3E60"/>
  </w:style>
  <w:style w:type="character" w:styleId="PlaceholderText">
    <w:name w:val="Placeholder Text"/>
    <w:basedOn w:val="DefaultParagraphFont"/>
    <w:uiPriority w:val="99"/>
    <w:semiHidden/>
    <w:rsid w:val="00CB3E60"/>
    <w:rPr>
      <w:color w:val="808080"/>
    </w:rPr>
  </w:style>
  <w:style w:type="character" w:styleId="Hyperlink">
    <w:name w:val="Hyperlink"/>
    <w:basedOn w:val="DefaultParagraphFont"/>
    <w:uiPriority w:val="99"/>
    <w:unhideWhenUsed/>
    <w:rsid w:val="00CB3E60"/>
    <w:rPr>
      <w:color w:val="0000FF" w:themeColor="hyperlink"/>
      <w:u w:val="single"/>
    </w:rPr>
  </w:style>
  <w:style w:type="paragraph" w:customStyle="1" w:styleId="Figure">
    <w:name w:val="Figure"/>
    <w:basedOn w:val="Normal"/>
    <w:rsid w:val="00CB3E60"/>
    <w:pPr>
      <w:numPr>
        <w:numId w:val="9"/>
      </w:numPr>
      <w:tabs>
        <w:tab w:val="left" w:pos="720"/>
      </w:tabs>
      <w:spacing w:after="0" w:line="300" w:lineRule="exact"/>
    </w:pPr>
    <w:rPr>
      <w:rFonts w:eastAsia="Times New Roman" w:cs="Times New Roman"/>
      <w:b/>
      <w:szCs w:val="20"/>
      <w:lang w:val="en-GB"/>
    </w:rPr>
  </w:style>
  <w:style w:type="numbering" w:customStyle="1" w:styleId="Fig">
    <w:name w:val="Fig"/>
    <w:rsid w:val="00CB3E60"/>
  </w:style>
  <w:style w:type="character" w:customStyle="1" w:styleId="journal-charges-divider">
    <w:name w:val="journal-charges-divider"/>
    <w:basedOn w:val="DefaultParagraphFont"/>
    <w:rsid w:val="00CB3E60"/>
  </w:style>
  <w:style w:type="paragraph" w:styleId="NormalWeb">
    <w:name w:val="Normal (Web)"/>
    <w:basedOn w:val="Normal"/>
    <w:uiPriority w:val="99"/>
    <w:unhideWhenUsed/>
    <w:rsid w:val="00CB3E60"/>
    <w:pPr>
      <w:spacing w:before="100" w:beforeAutospacing="1" w:after="100" w:afterAutospacing="1" w:line="240" w:lineRule="auto"/>
    </w:pPr>
    <w:rPr>
      <w:rFonts w:eastAsia="Times New Roman" w:cs="Times New Roman"/>
      <w:szCs w:val="24"/>
      <w:lang w:val="en-US"/>
    </w:rPr>
  </w:style>
  <w:style w:type="character" w:styleId="FollowedHyperlink">
    <w:name w:val="FollowedHyperlink"/>
    <w:basedOn w:val="DefaultParagraphFont"/>
    <w:uiPriority w:val="99"/>
    <w:semiHidden/>
    <w:unhideWhenUsed/>
    <w:rsid w:val="00CB3E60"/>
    <w:rPr>
      <w:color w:val="800080" w:themeColor="followedHyperlink"/>
      <w:u w:val="single"/>
    </w:rPr>
  </w:style>
  <w:style w:type="character" w:customStyle="1" w:styleId="ListParagraphChar">
    <w:name w:val="List Paragraph Char"/>
    <w:basedOn w:val="DefaultParagraphFont"/>
    <w:link w:val="ListParagraph"/>
    <w:uiPriority w:val="34"/>
    <w:rsid w:val="00CB3E60"/>
    <w:rPr>
      <w:rFonts w:ascii="Times New Roman" w:hAnsi="Times New Roman"/>
      <w:sz w:val="24"/>
      <w:lang w:val="en-NZ"/>
    </w:rPr>
  </w:style>
  <w:style w:type="numbering" w:customStyle="1" w:styleId="NoList1">
    <w:name w:val="No List1"/>
    <w:next w:val="NoList"/>
    <w:uiPriority w:val="99"/>
    <w:semiHidden/>
    <w:unhideWhenUsed/>
    <w:rsid w:val="00CB3E60"/>
  </w:style>
  <w:style w:type="table" w:customStyle="1" w:styleId="TableGrid1">
    <w:name w:val="Table Grid1"/>
    <w:basedOn w:val="TableNormal"/>
    <w:next w:val="TableGrid"/>
    <w:uiPriority w:val="59"/>
    <w:rsid w:val="00CB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1">
    <w:name w:val="Fig1"/>
    <w:rsid w:val="00CB3E60"/>
    <w:pPr>
      <w:numPr>
        <w:numId w:val="8"/>
      </w:numPr>
    </w:pPr>
  </w:style>
  <w:style w:type="paragraph" w:customStyle="1" w:styleId="para">
    <w:name w:val="para"/>
    <w:basedOn w:val="Normal"/>
    <w:rsid w:val="00CB3E60"/>
    <w:pPr>
      <w:spacing w:before="100" w:beforeAutospacing="1" w:after="100" w:afterAutospacing="1" w:line="240" w:lineRule="auto"/>
    </w:pPr>
    <w:rPr>
      <w:rFonts w:eastAsia="Times New Roman" w:cs="Times New Roman"/>
      <w:szCs w:val="24"/>
      <w:lang w:val="en-US"/>
    </w:rPr>
  </w:style>
  <w:style w:type="character" w:styleId="Emphasis">
    <w:name w:val="Emphasis"/>
    <w:basedOn w:val="DefaultParagraphFont"/>
    <w:uiPriority w:val="20"/>
    <w:qFormat/>
    <w:rsid w:val="00CB3E60"/>
    <w:rPr>
      <w:i/>
      <w:iCs/>
    </w:rPr>
  </w:style>
  <w:style w:type="character" w:customStyle="1" w:styleId="u-visually-hidden">
    <w:name w:val="u-visually-hidden"/>
    <w:basedOn w:val="DefaultParagraphFont"/>
    <w:rsid w:val="00CB3E60"/>
  </w:style>
  <w:style w:type="character" w:styleId="Strong">
    <w:name w:val="Strong"/>
    <w:basedOn w:val="DefaultParagraphFont"/>
    <w:uiPriority w:val="22"/>
    <w:qFormat/>
    <w:rsid w:val="00CB3E60"/>
    <w:rPr>
      <w:b/>
      <w:bCs/>
    </w:rPr>
  </w:style>
  <w:style w:type="paragraph" w:styleId="Revision">
    <w:name w:val="Revision"/>
    <w:hidden/>
    <w:uiPriority w:val="99"/>
    <w:semiHidden/>
    <w:rsid w:val="00CB3E60"/>
    <w:pPr>
      <w:spacing w:after="0" w:line="240" w:lineRule="auto"/>
    </w:pPr>
    <w:rPr>
      <w:lang w:val="en-NZ"/>
    </w:rPr>
  </w:style>
  <w:style w:type="paragraph" w:styleId="PlainText">
    <w:name w:val="Plain Text"/>
    <w:basedOn w:val="Normal"/>
    <w:link w:val="PlainTextChar"/>
    <w:uiPriority w:val="99"/>
    <w:unhideWhenUsed/>
    <w:rsid w:val="00CB3E60"/>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B3E60"/>
    <w:rPr>
      <w:rFonts w:ascii="Calibri" w:hAnsi="Calibri"/>
      <w:sz w:val="24"/>
      <w:szCs w:val="21"/>
    </w:rPr>
  </w:style>
  <w:style w:type="character" w:customStyle="1" w:styleId="CaptionChar">
    <w:name w:val="Caption Char"/>
    <w:basedOn w:val="DefaultParagraphFont"/>
    <w:link w:val="Caption"/>
    <w:uiPriority w:val="35"/>
    <w:rsid w:val="00CB3E60"/>
    <w:rPr>
      <w:rFonts w:ascii="Times New Roman" w:hAnsi="Times New Roman"/>
      <w:b/>
      <w:bCs/>
      <w:color w:val="4F81BD" w:themeColor="accent1"/>
      <w:sz w:val="18"/>
      <w:szCs w:val="18"/>
    </w:rPr>
  </w:style>
  <w:style w:type="paragraph" w:customStyle="1" w:styleId="Default">
    <w:name w:val="Default"/>
    <w:rsid w:val="00CB3E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B3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E60"/>
    <w:rPr>
      <w:rFonts w:ascii="Times New Roman" w:hAnsi="Times New Roman"/>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hyperlink" Target="http://www.cookislandsnews.com/national/local/item/50105-finding-a-new-landfill/50105-finding-a-new-landfill?tmpl=component&amp;print=1"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mcdon\Documents\SSBtax\Data\Litter%20survey\Rarotonga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97462817147858"/>
          <c:y val="5.0266085632231443E-2"/>
          <c:w val="0.64685914260717414"/>
          <c:h val="0.83631384415310328"/>
        </c:manualLayout>
      </c:layout>
      <c:barChart>
        <c:barDir val="col"/>
        <c:grouping val="stacked"/>
        <c:varyColors val="0"/>
        <c:ser>
          <c:idx val="0"/>
          <c:order val="0"/>
          <c:tx>
            <c:strRef>
              <c:f>Analysis!$AG$48</c:f>
              <c:strCache>
                <c:ptCount val="1"/>
                <c:pt idx="0">
                  <c:v>SSB</c:v>
                </c:pt>
              </c:strCache>
            </c:strRef>
          </c:tx>
          <c:spPr>
            <a:solidFill>
              <a:schemeClr val="accent4">
                <a:lumMod val="50000"/>
              </a:schemeClr>
            </a:solidFill>
          </c:spPr>
          <c:invertIfNegative val="0"/>
          <c:cat>
            <c:strRef>
              <c:f>Analysis!$AH$39:$AM$39</c:f>
              <c:strCache>
                <c:ptCount val="6"/>
                <c:pt idx="0">
                  <c:v>B. Beach</c:v>
                </c:pt>
                <c:pt idx="1">
                  <c:v>D. Beach</c:v>
                </c:pt>
                <c:pt idx="2">
                  <c:v>F. Beach</c:v>
                </c:pt>
                <c:pt idx="3">
                  <c:v>A. Street</c:v>
                </c:pt>
                <c:pt idx="4">
                  <c:v>C. Street</c:v>
                </c:pt>
                <c:pt idx="5">
                  <c:v>E. Street</c:v>
                </c:pt>
              </c:strCache>
            </c:strRef>
          </c:cat>
          <c:val>
            <c:numRef>
              <c:f>Analysis!$AH$48:$AM$48</c:f>
              <c:numCache>
                <c:formatCode>0</c:formatCode>
                <c:ptCount val="6"/>
                <c:pt idx="0">
                  <c:v>62</c:v>
                </c:pt>
                <c:pt idx="1">
                  <c:v>12.72264631043257</c:v>
                </c:pt>
                <c:pt idx="2">
                  <c:v>12.345679012345679</c:v>
                </c:pt>
                <c:pt idx="3">
                  <c:v>60.526315789473685</c:v>
                </c:pt>
                <c:pt idx="4">
                  <c:v>20.533880903490758</c:v>
                </c:pt>
                <c:pt idx="5">
                  <c:v>48.342541436464089</c:v>
                </c:pt>
              </c:numCache>
            </c:numRef>
          </c:val>
          <c:extLst>
            <c:ext xmlns:c16="http://schemas.microsoft.com/office/drawing/2014/chart" uri="{C3380CC4-5D6E-409C-BE32-E72D297353CC}">
              <c16:uniqueId val="{00000000-7A9E-4B53-9437-B76C3A68E89B}"/>
            </c:ext>
          </c:extLst>
        </c:ser>
        <c:ser>
          <c:idx val="1"/>
          <c:order val="1"/>
          <c:tx>
            <c:strRef>
              <c:f>Analysis!$AG$49</c:f>
              <c:strCache>
                <c:ptCount val="1"/>
                <c:pt idx="0">
                  <c:v>ASB</c:v>
                </c:pt>
              </c:strCache>
            </c:strRef>
          </c:tx>
          <c:spPr>
            <a:solidFill>
              <a:schemeClr val="accent4"/>
            </a:solidFill>
          </c:spPr>
          <c:invertIfNegative val="0"/>
          <c:cat>
            <c:strRef>
              <c:f>Analysis!$AH$39:$AM$39</c:f>
              <c:strCache>
                <c:ptCount val="6"/>
                <c:pt idx="0">
                  <c:v>B. Beach</c:v>
                </c:pt>
                <c:pt idx="1">
                  <c:v>D. Beach</c:v>
                </c:pt>
                <c:pt idx="2">
                  <c:v>F. Beach</c:v>
                </c:pt>
                <c:pt idx="3">
                  <c:v>A. Street</c:v>
                </c:pt>
                <c:pt idx="4">
                  <c:v>C. Street</c:v>
                </c:pt>
                <c:pt idx="5">
                  <c:v>E. Street</c:v>
                </c:pt>
              </c:strCache>
            </c:strRef>
          </c:cat>
          <c:val>
            <c:numRef>
              <c:f>Analysis!$AH$49:$AM$49</c:f>
              <c:numCache>
                <c:formatCode>General</c:formatCode>
                <c:ptCount val="6"/>
                <c:pt idx="4" formatCode="0">
                  <c:v>4.1067761806981524</c:v>
                </c:pt>
              </c:numCache>
            </c:numRef>
          </c:val>
          <c:extLst>
            <c:ext xmlns:c16="http://schemas.microsoft.com/office/drawing/2014/chart" uri="{C3380CC4-5D6E-409C-BE32-E72D297353CC}">
              <c16:uniqueId val="{00000001-7A9E-4B53-9437-B76C3A68E89B}"/>
            </c:ext>
          </c:extLst>
        </c:ser>
        <c:ser>
          <c:idx val="2"/>
          <c:order val="2"/>
          <c:tx>
            <c:strRef>
              <c:f>Analysis!$AG$50</c:f>
              <c:strCache>
                <c:ptCount val="1"/>
                <c:pt idx="0">
                  <c:v>Juice</c:v>
                </c:pt>
              </c:strCache>
            </c:strRef>
          </c:tx>
          <c:spPr>
            <a:solidFill>
              <a:schemeClr val="accent6">
                <a:lumMod val="75000"/>
              </a:schemeClr>
            </a:solidFill>
          </c:spPr>
          <c:invertIfNegative val="0"/>
          <c:cat>
            <c:strRef>
              <c:f>Analysis!$AH$39:$AM$39</c:f>
              <c:strCache>
                <c:ptCount val="6"/>
                <c:pt idx="0">
                  <c:v>B. Beach</c:v>
                </c:pt>
                <c:pt idx="1">
                  <c:v>D. Beach</c:v>
                </c:pt>
                <c:pt idx="2">
                  <c:v>F. Beach</c:v>
                </c:pt>
                <c:pt idx="3">
                  <c:v>A. Street</c:v>
                </c:pt>
                <c:pt idx="4">
                  <c:v>C. Street</c:v>
                </c:pt>
                <c:pt idx="5">
                  <c:v>E. Street</c:v>
                </c:pt>
              </c:strCache>
            </c:strRef>
          </c:cat>
          <c:val>
            <c:numRef>
              <c:f>Analysis!$AH$50:$AM$50</c:f>
              <c:numCache>
                <c:formatCode>0</c:formatCode>
                <c:ptCount val="6"/>
                <c:pt idx="0">
                  <c:v>16</c:v>
                </c:pt>
                <c:pt idx="1">
                  <c:v>2.5445292620865141</c:v>
                </c:pt>
                <c:pt idx="2">
                  <c:v>3.5273368606701938</c:v>
                </c:pt>
                <c:pt idx="3">
                  <c:v>0</c:v>
                </c:pt>
                <c:pt idx="4">
                  <c:v>2.0533880903490762</c:v>
                </c:pt>
                <c:pt idx="5">
                  <c:v>2.7624309392265194</c:v>
                </c:pt>
              </c:numCache>
            </c:numRef>
          </c:val>
          <c:extLst>
            <c:ext xmlns:c16="http://schemas.microsoft.com/office/drawing/2014/chart" uri="{C3380CC4-5D6E-409C-BE32-E72D297353CC}">
              <c16:uniqueId val="{00000002-7A9E-4B53-9437-B76C3A68E89B}"/>
            </c:ext>
          </c:extLst>
        </c:ser>
        <c:ser>
          <c:idx val="3"/>
          <c:order val="3"/>
          <c:tx>
            <c:strRef>
              <c:f>Analysis!$AG$51</c:f>
              <c:strCache>
                <c:ptCount val="1"/>
                <c:pt idx="0">
                  <c:v>Water</c:v>
                </c:pt>
              </c:strCache>
            </c:strRef>
          </c:tx>
          <c:spPr>
            <a:solidFill>
              <a:srgbClr val="0070C0"/>
            </a:solidFill>
          </c:spPr>
          <c:invertIfNegative val="0"/>
          <c:cat>
            <c:strRef>
              <c:f>Analysis!$AH$39:$AM$39</c:f>
              <c:strCache>
                <c:ptCount val="6"/>
                <c:pt idx="0">
                  <c:v>B. Beach</c:v>
                </c:pt>
                <c:pt idx="1">
                  <c:v>D. Beach</c:v>
                </c:pt>
                <c:pt idx="2">
                  <c:v>F. Beach</c:v>
                </c:pt>
                <c:pt idx="3">
                  <c:v>A. Street</c:v>
                </c:pt>
                <c:pt idx="4">
                  <c:v>C. Street</c:v>
                </c:pt>
                <c:pt idx="5">
                  <c:v>E. Street</c:v>
                </c:pt>
              </c:strCache>
            </c:strRef>
          </c:cat>
          <c:val>
            <c:numRef>
              <c:f>Analysis!$AH$51:$AM$51</c:f>
              <c:numCache>
                <c:formatCode>0</c:formatCode>
                <c:ptCount val="6"/>
                <c:pt idx="0">
                  <c:v>14</c:v>
                </c:pt>
                <c:pt idx="1">
                  <c:v>0</c:v>
                </c:pt>
                <c:pt idx="2">
                  <c:v>1.7636684303350969</c:v>
                </c:pt>
                <c:pt idx="3">
                  <c:v>13.157894736842104</c:v>
                </c:pt>
                <c:pt idx="4">
                  <c:v>12.320328542094456</c:v>
                </c:pt>
                <c:pt idx="5">
                  <c:v>13.812154696132596</c:v>
                </c:pt>
              </c:numCache>
            </c:numRef>
          </c:val>
          <c:extLst>
            <c:ext xmlns:c16="http://schemas.microsoft.com/office/drawing/2014/chart" uri="{C3380CC4-5D6E-409C-BE32-E72D297353CC}">
              <c16:uniqueId val="{00000003-7A9E-4B53-9437-B76C3A68E89B}"/>
            </c:ext>
          </c:extLst>
        </c:ser>
        <c:ser>
          <c:idx val="4"/>
          <c:order val="4"/>
          <c:tx>
            <c:strRef>
              <c:f>Analysis!$AG$52</c:f>
              <c:strCache>
                <c:ptCount val="1"/>
                <c:pt idx="0">
                  <c:v>Alcohol</c:v>
                </c:pt>
              </c:strCache>
            </c:strRef>
          </c:tx>
          <c:spPr>
            <a:solidFill>
              <a:schemeClr val="accent3"/>
            </a:solidFill>
          </c:spPr>
          <c:invertIfNegative val="0"/>
          <c:cat>
            <c:strRef>
              <c:f>Analysis!$AH$39:$AM$39</c:f>
              <c:strCache>
                <c:ptCount val="6"/>
                <c:pt idx="0">
                  <c:v>B. Beach</c:v>
                </c:pt>
                <c:pt idx="1">
                  <c:v>D. Beach</c:v>
                </c:pt>
                <c:pt idx="2">
                  <c:v>F. Beach</c:v>
                </c:pt>
                <c:pt idx="3">
                  <c:v>A. Street</c:v>
                </c:pt>
                <c:pt idx="4">
                  <c:v>C. Street</c:v>
                </c:pt>
                <c:pt idx="5">
                  <c:v>E. Street</c:v>
                </c:pt>
              </c:strCache>
            </c:strRef>
          </c:cat>
          <c:val>
            <c:numRef>
              <c:f>Analysis!$AH$52:$AM$52</c:f>
              <c:numCache>
                <c:formatCode>0</c:formatCode>
                <c:ptCount val="6"/>
                <c:pt idx="0">
                  <c:v>36</c:v>
                </c:pt>
                <c:pt idx="1">
                  <c:v>96.69211195928753</c:v>
                </c:pt>
                <c:pt idx="2">
                  <c:v>3.5273368606701938</c:v>
                </c:pt>
                <c:pt idx="3">
                  <c:v>31.578947368421055</c:v>
                </c:pt>
                <c:pt idx="4">
                  <c:v>12.320328542094456</c:v>
                </c:pt>
                <c:pt idx="5">
                  <c:v>31.767955801104975</c:v>
                </c:pt>
              </c:numCache>
            </c:numRef>
          </c:val>
          <c:extLst>
            <c:ext xmlns:c16="http://schemas.microsoft.com/office/drawing/2014/chart" uri="{C3380CC4-5D6E-409C-BE32-E72D297353CC}">
              <c16:uniqueId val="{00000004-7A9E-4B53-9437-B76C3A68E89B}"/>
            </c:ext>
          </c:extLst>
        </c:ser>
        <c:ser>
          <c:idx val="5"/>
          <c:order val="5"/>
          <c:tx>
            <c:strRef>
              <c:f>Analysis!$AG$53</c:f>
              <c:strCache>
                <c:ptCount val="1"/>
                <c:pt idx="0">
                  <c:v>Unknown</c:v>
                </c:pt>
              </c:strCache>
            </c:strRef>
          </c:tx>
          <c:spPr>
            <a:solidFill>
              <a:schemeClr val="bg1">
                <a:lumMod val="85000"/>
              </a:schemeClr>
            </a:solidFill>
          </c:spPr>
          <c:invertIfNegative val="0"/>
          <c:cat>
            <c:strRef>
              <c:f>Analysis!$AH$39:$AM$39</c:f>
              <c:strCache>
                <c:ptCount val="6"/>
                <c:pt idx="0">
                  <c:v>B. Beach</c:v>
                </c:pt>
                <c:pt idx="1">
                  <c:v>D. Beach</c:v>
                </c:pt>
                <c:pt idx="2">
                  <c:v>F. Beach</c:v>
                </c:pt>
                <c:pt idx="3">
                  <c:v>A. Street</c:v>
                </c:pt>
                <c:pt idx="4">
                  <c:v>C. Street</c:v>
                </c:pt>
                <c:pt idx="5">
                  <c:v>E. Street</c:v>
                </c:pt>
              </c:strCache>
            </c:strRef>
          </c:cat>
          <c:val>
            <c:numRef>
              <c:f>Analysis!$AH$53:$AM$53</c:f>
              <c:numCache>
                <c:formatCode>0</c:formatCode>
                <c:ptCount val="6"/>
                <c:pt idx="0">
                  <c:v>4</c:v>
                </c:pt>
                <c:pt idx="1">
                  <c:v>17.811704834605596</c:v>
                </c:pt>
                <c:pt idx="2">
                  <c:v>0</c:v>
                </c:pt>
                <c:pt idx="3">
                  <c:v>10.526315789473683</c:v>
                </c:pt>
                <c:pt idx="4">
                  <c:v>24.640657084188913</c:v>
                </c:pt>
                <c:pt idx="5">
                  <c:v>5.5248618784530388</c:v>
                </c:pt>
              </c:numCache>
            </c:numRef>
          </c:val>
          <c:extLst>
            <c:ext xmlns:c16="http://schemas.microsoft.com/office/drawing/2014/chart" uri="{C3380CC4-5D6E-409C-BE32-E72D297353CC}">
              <c16:uniqueId val="{00000005-7A9E-4B53-9437-B76C3A68E89B}"/>
            </c:ext>
          </c:extLst>
        </c:ser>
        <c:dLbls>
          <c:showLegendKey val="0"/>
          <c:showVal val="0"/>
          <c:showCatName val="0"/>
          <c:showSerName val="0"/>
          <c:showPercent val="0"/>
          <c:showBubbleSize val="0"/>
        </c:dLbls>
        <c:gapWidth val="150"/>
        <c:overlap val="100"/>
        <c:axId val="219172224"/>
        <c:axId val="177898624"/>
      </c:barChart>
      <c:catAx>
        <c:axId val="219172224"/>
        <c:scaling>
          <c:orientation val="minMax"/>
        </c:scaling>
        <c:delete val="0"/>
        <c:axPos val="b"/>
        <c:numFmt formatCode="General" sourceLinked="1"/>
        <c:majorTickMark val="out"/>
        <c:minorTickMark val="none"/>
        <c:tickLblPos val="nextTo"/>
        <c:crossAx val="177898624"/>
        <c:crosses val="autoZero"/>
        <c:auto val="1"/>
        <c:lblAlgn val="ctr"/>
        <c:lblOffset val="100"/>
        <c:noMultiLvlLbl val="0"/>
      </c:catAx>
      <c:valAx>
        <c:axId val="177898624"/>
        <c:scaling>
          <c:orientation val="minMax"/>
        </c:scaling>
        <c:delete val="0"/>
        <c:axPos val="l"/>
        <c:title>
          <c:tx>
            <c:rich>
              <a:bodyPr rot="-5400000" vert="horz"/>
              <a:lstStyle/>
              <a:p>
                <a:pPr>
                  <a:defRPr/>
                </a:pPr>
                <a:r>
                  <a:rPr lang="en-US"/>
                  <a:t>Containers per kilometre</a:t>
                </a:r>
              </a:p>
            </c:rich>
          </c:tx>
          <c:overlay val="0"/>
        </c:title>
        <c:numFmt formatCode="0" sourceLinked="1"/>
        <c:majorTickMark val="out"/>
        <c:minorTickMark val="none"/>
        <c:tickLblPos val="nextTo"/>
        <c:crossAx val="219172224"/>
        <c:crosses val="autoZero"/>
        <c:crossBetween val="between"/>
      </c:valAx>
    </c:plotArea>
    <c:legend>
      <c:legendPos val="r"/>
      <c:layout>
        <c:manualLayout>
          <c:xMode val="edge"/>
          <c:yMode val="edge"/>
          <c:x val="0.81961154855643048"/>
          <c:y val="0.22269948579593257"/>
          <c:w val="0.16372178477690288"/>
          <c:h val="0.5908206160752226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6188</Words>
  <Characters>35275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41381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Teng</dc:creator>
  <cp:lastModifiedBy>Nick Wilson</cp:lastModifiedBy>
  <cp:revision>6</cp:revision>
  <dcterms:created xsi:type="dcterms:W3CDTF">2020-02-19T03:41:00Z</dcterms:created>
  <dcterms:modified xsi:type="dcterms:W3CDTF">2020-05-29T21:06:00Z</dcterms:modified>
</cp:coreProperties>
</file>