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1330D2">
          <w:rPr>
            <w:rFonts w:eastAsia="Times New Roman" w:cs="Arial"/>
            <w:color w:val="000000" w:themeColor="text1"/>
            <w:sz w:val="20"/>
            <w:szCs w:val="20"/>
          </w:rPr>
          <w:t>http://dx.doi.org/10.1371/journal.pmed.1002036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2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94"/>
        <w:gridCol w:w="785"/>
        <w:gridCol w:w="4418"/>
        <w:gridCol w:w="4299"/>
        <w:gridCol w:w="2064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2C461411" w:rsidR="005473B6" w:rsidRPr="006754BE" w:rsidRDefault="00D1724D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  </w:t>
            </w:r>
            <w:r w:rsidR="002E5BC3">
              <w:rPr>
                <w:rFonts w:eastAsia="Times New Roman"/>
                <w:b/>
                <w:color w:val="000000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23BA3B88" w:rsidR="005473B6" w:rsidRPr="006754BE" w:rsidRDefault="002E5BC3" w:rsidP="00292170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2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3A8AA407" w:rsidR="005473B6" w:rsidRPr="006754BE" w:rsidRDefault="002E5BC3" w:rsidP="0029217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73C36F4A" w:rsidR="005473B6" w:rsidRPr="006754BE" w:rsidRDefault="00CD0FCE" w:rsidP="00AC31E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2E5BC3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 xml:space="preserve">         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7C6A96E9" w:rsidR="005473B6" w:rsidRPr="006754BE" w:rsidRDefault="00CD0FCE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</w:t>
            </w:r>
            <w:r w:rsidR="002E5BC3">
              <w:rPr>
                <w:rFonts w:eastAsia="Times New Roman"/>
                <w:b/>
                <w:color w:val="000000"/>
                <w:lang w:val="en-US"/>
              </w:rPr>
              <w:t>3-4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      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693B8A4A" w:rsidR="005473B6" w:rsidRPr="006754BE" w:rsidRDefault="002E5BC3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3-4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3A8D2C5A" w:rsidR="005473B6" w:rsidRPr="006754BE" w:rsidRDefault="00615B25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  <w:r w:rsidR="002E5BC3">
              <w:rPr>
                <w:b/>
                <w:color w:val="000000"/>
                <w:lang w:val="en-US"/>
              </w:rPr>
              <w:t>-6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</w:t>
            </w:r>
            <w:r w:rsidR="001D5035">
              <w:rPr>
                <w:rFonts w:eastAsia="Times New Roman"/>
                <w:color w:val="000000"/>
                <w:lang w:val="en-US"/>
              </w:rPr>
              <w:lastRenderedPageBreak/>
              <w:t>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171CEAC8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</w:t>
            </w:r>
            <w:r w:rsidR="00615B25">
              <w:rPr>
                <w:b/>
                <w:color w:val="000000"/>
                <w:lang w:val="en-US"/>
              </w:rPr>
              <w:t>5</w:t>
            </w:r>
            <w:r w:rsidR="002E5BC3">
              <w:rPr>
                <w:b/>
                <w:color w:val="000000"/>
                <w:lang w:val="en-US"/>
              </w:rPr>
              <w:t>-6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78762654" w:rsidR="005473B6" w:rsidRPr="006754BE" w:rsidRDefault="007D2D6C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</w:t>
            </w:r>
            <w:r w:rsidR="002E5BC3">
              <w:rPr>
                <w:b/>
                <w:color w:val="000000"/>
                <w:lang w:val="en-US"/>
              </w:rPr>
              <w:t>12</w:t>
            </w:r>
            <w:r>
              <w:rPr>
                <w:b/>
                <w:color w:val="000000"/>
                <w:lang w:val="en-US"/>
              </w:rPr>
              <w:t xml:space="preserve">    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43E50F7C" w:rsidR="005473B6" w:rsidRPr="007D2D6C" w:rsidRDefault="007D2D6C" w:rsidP="00AC31EB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</w:t>
            </w:r>
            <w:r w:rsidR="002E5BC3">
              <w:rPr>
                <w:color w:val="000000"/>
                <w:sz w:val="22"/>
                <w:szCs w:val="22"/>
                <w:lang w:val="en-US"/>
              </w:rPr>
              <w:t>N/A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nonconsumers) and </w:t>
            </w:r>
            <w:r w:rsidRPr="006754BE">
              <w:rPr>
                <w:color w:val="000000"/>
                <w:lang w:val="en-US"/>
              </w:rPr>
              <w:lastRenderedPageBreak/>
              <w:t>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1AF6F392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      </w:t>
            </w:r>
            <w:r w:rsidR="00615B25">
              <w:rPr>
                <w:b/>
                <w:color w:val="000000"/>
                <w:lang w:val="en-US"/>
              </w:rPr>
              <w:t>5</w:t>
            </w:r>
            <w:r w:rsidR="002E5BC3">
              <w:rPr>
                <w:b/>
                <w:color w:val="000000"/>
                <w:lang w:val="en-US"/>
              </w:rPr>
              <w:t>-7</w:t>
            </w:r>
            <w:r>
              <w:rPr>
                <w:b/>
                <w:color w:val="000000"/>
                <w:lang w:val="en-US"/>
              </w:rPr>
              <w:t xml:space="preserve">     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i.e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71069A6F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    </w:t>
            </w:r>
            <w:r w:rsidR="002E5BC3">
              <w:rPr>
                <w:rFonts w:eastAsia="Times New Roman"/>
                <w:b/>
                <w:color w:val="000000"/>
                <w:lang w:val="en-US"/>
              </w:rPr>
              <w:t>7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  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7C166F37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</w:t>
            </w:r>
            <w:r w:rsidR="002E5BC3">
              <w:rPr>
                <w:b/>
                <w:color w:val="000000"/>
                <w:lang w:val="en-US"/>
              </w:rPr>
              <w:t>N/A</w:t>
            </w:r>
            <w:r>
              <w:rPr>
                <w:b/>
                <w:color w:val="000000"/>
                <w:lang w:val="en-US"/>
              </w:rPr>
              <w:t xml:space="preserve"> 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3F5C0C17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</w:t>
            </w:r>
            <w:r w:rsidR="002E5BC3">
              <w:rPr>
                <w:b/>
                <w:color w:val="000000"/>
                <w:lang w:val="en-US"/>
              </w:rPr>
              <w:t>7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2132630D" w:rsidR="005473B6" w:rsidRPr="003C5A7F" w:rsidRDefault="002E5BC3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4DC48877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2E5BC3">
              <w:rPr>
                <w:rFonts w:eastAsia="Times New Roman"/>
                <w:b/>
                <w:color w:val="000000"/>
                <w:lang w:val="en-US"/>
              </w:rPr>
              <w:t>8-</w:t>
            </w:r>
            <w:r w:rsidR="00980662">
              <w:rPr>
                <w:rFonts w:eastAsia="Times New Roman"/>
                <w:b/>
                <w:color w:val="000000"/>
                <w:lang w:val="en-US"/>
              </w:rPr>
              <w:t>10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00C4AFA5" w:rsidR="005473B6" w:rsidRPr="006754BE" w:rsidRDefault="00980662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10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5E32D52C" w:rsidR="005473B6" w:rsidRPr="003C5A7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F96375">
              <w:rPr>
                <w:color w:val="000000"/>
                <w:lang w:val="en-US"/>
              </w:rPr>
              <w:t>10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2DD25243" w:rsidR="005473B6" w:rsidRPr="006754BE" w:rsidRDefault="002E5BC3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12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1A45AF0C" w:rsidR="005473B6" w:rsidRPr="006754BE" w:rsidRDefault="00E662D1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10-11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5F1D9B14" w:rsidR="005473B6" w:rsidRPr="005D3A31" w:rsidRDefault="003122A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N/A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02A59B93" w:rsidR="005473B6" w:rsidRPr="006754BE" w:rsidRDefault="00E662D1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5CA367F1" w:rsidR="005473B6" w:rsidRPr="006754BE" w:rsidRDefault="00E662D1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lastRenderedPageBreak/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37F8ACEE" w:rsidR="005473B6" w:rsidRPr="006754BE" w:rsidRDefault="00F05409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Supplementary material</w:t>
            </w:r>
            <w:r w:rsidR="00F96375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4399" w14:textId="77777777" w:rsidR="00096C41" w:rsidRDefault="00096C41" w:rsidP="001330D2">
      <w:pPr>
        <w:spacing w:after="0" w:line="240" w:lineRule="auto"/>
      </w:pPr>
      <w:r>
        <w:separator/>
      </w:r>
    </w:p>
  </w:endnote>
  <w:endnote w:type="continuationSeparator" w:id="0">
    <w:p w14:paraId="7A2A4B7C" w14:textId="77777777" w:rsidR="00096C41" w:rsidRDefault="00096C41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B87A" w14:textId="77777777" w:rsidR="00096C41" w:rsidRDefault="00096C41" w:rsidP="001330D2">
      <w:pPr>
        <w:spacing w:after="0" w:line="240" w:lineRule="auto"/>
      </w:pPr>
      <w:r>
        <w:separator/>
      </w:r>
    </w:p>
  </w:footnote>
  <w:footnote w:type="continuationSeparator" w:id="0">
    <w:p w14:paraId="2F64B5F2" w14:textId="77777777" w:rsidR="00096C41" w:rsidRDefault="00096C41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96C41"/>
    <w:rsid w:val="001330D2"/>
    <w:rsid w:val="00136D75"/>
    <w:rsid w:val="001B552B"/>
    <w:rsid w:val="001D292C"/>
    <w:rsid w:val="001D5035"/>
    <w:rsid w:val="002904AC"/>
    <w:rsid w:val="00292170"/>
    <w:rsid w:val="002E5BC3"/>
    <w:rsid w:val="003122A6"/>
    <w:rsid w:val="00384B71"/>
    <w:rsid w:val="003C5A7F"/>
    <w:rsid w:val="004C08C0"/>
    <w:rsid w:val="004D6AE6"/>
    <w:rsid w:val="004F2B21"/>
    <w:rsid w:val="005473B6"/>
    <w:rsid w:val="005B3B4D"/>
    <w:rsid w:val="005D3A31"/>
    <w:rsid w:val="00615B25"/>
    <w:rsid w:val="006A5F1B"/>
    <w:rsid w:val="006B6BF3"/>
    <w:rsid w:val="007D2D6C"/>
    <w:rsid w:val="007E78A6"/>
    <w:rsid w:val="007F5AE2"/>
    <w:rsid w:val="00967969"/>
    <w:rsid w:val="00980662"/>
    <w:rsid w:val="00AC31EB"/>
    <w:rsid w:val="00CD0FCE"/>
    <w:rsid w:val="00D1724D"/>
    <w:rsid w:val="00D52612"/>
    <w:rsid w:val="00D540EA"/>
    <w:rsid w:val="00D549CD"/>
    <w:rsid w:val="00E662D1"/>
    <w:rsid w:val="00F05409"/>
    <w:rsid w:val="00F96375"/>
    <w:rsid w:val="00FA28B8"/>
    <w:rsid w:val="00FB705A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Kase, Bezawit</cp:lastModifiedBy>
  <cp:revision>6</cp:revision>
  <dcterms:created xsi:type="dcterms:W3CDTF">2020-07-09T14:09:00Z</dcterms:created>
  <dcterms:modified xsi:type="dcterms:W3CDTF">2022-04-01T19:26:00Z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