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16A88" w14:textId="78C3D456" w:rsidR="00100968" w:rsidRDefault="00100968">
      <w:pPr>
        <w:rPr>
          <w:b/>
          <w:bCs/>
          <w:noProof/>
        </w:rPr>
      </w:pPr>
      <w:r>
        <w:rPr>
          <w:b/>
          <w:bCs/>
          <w:noProof/>
        </w:rPr>
        <w:t>Supplmental Materials</w:t>
      </w:r>
    </w:p>
    <w:p w14:paraId="642B3C72" w14:textId="1A46262D" w:rsidR="00100968" w:rsidRPr="00314D75" w:rsidRDefault="00100968" w:rsidP="00100968">
      <w:r>
        <w:t xml:space="preserve">Given documented sex differences in aspects of cognition and behavior following TBI </w:t>
      </w:r>
      <w:r>
        <w:fldChar w:fldCharType="begin"/>
      </w:r>
      <w:r>
        <w:instrText>ADDIN F1000_CSL_CITATION&lt;~#@#~&gt;[{"DOI":"10.3389/fneur.2020.00059","First":false,"Last":false,"PMCID":"PMC7010954","PMID":"32117021","abstract":"A growing body of literature has examined sex differences in a variety of outcomes from moderate-severe traumatic brain injury (TBI), including outcomes for social functioning. Social functioning is an area in which adults with TBI have significant long-term challenges (1-4), and a better understanding of sex and gender differences in this domain may have a significant clinical impact. This paper presents a brief narrative review of current evidence regarding sex differences in one aspect of social functioning in adults with TBI: social cognition, specifically affect recognition and Theory of Mind (ToM). Data from typical adults and adults with TBI are considered in the broader context of common stereotypes about social skills and behaviors in men vs. women. We then discuss considerations for future research on sex- and gender-based differences in social cognition in TBI, and in adults more generally.&lt;br&gt;&lt;br&gt;Copyright © 2020 Turkstra, Mutlu, Ryan, Despins Stafslien, Richmond, Hosokawa and Duff.","author":[{"family":"Turkstra","given":"Lyn S"},{"family":"Mutlu","given":"Bilge"},{"family":"Ryan","given":"Caitlin W"},{"family":"Despins Stafslien","given":"Emily H"},{"family":"Richmond","given":"Erica K"},{"family":"Hosokawa","given":"Emily"},{"family":"Duff","given":"Melissa C"}],"authorYearDisplayFormat":false,"citation-label":"10804124","container-title":"Frontiers in neurology","container-title-short":"Front. Neurol.","id":"10804124","invisible":false,"issued":{"date-parts":[["2020","2","4"]]},"journalAbbreviation":"Front. Neurol.","page":"59","suppress-author":false,"title":"Sex and gender differences in emotion recognition and theory of mind after TBI: A narrative review and directions for future research.","type":"article-journal","volume":"11"}]</w:instrText>
      </w:r>
      <w:r>
        <w:fldChar w:fldCharType="separate"/>
      </w:r>
      <w:r w:rsidRPr="000C7450">
        <w:rPr>
          <w:noProof/>
        </w:rPr>
        <w:t>(Turkstra et al., 2020)</w:t>
      </w:r>
      <w:r>
        <w:fldChar w:fldCharType="end"/>
      </w:r>
      <w:r>
        <w:t xml:space="preserve">, we disaggregated our data by sex. We did so in line with strategies offered by </w:t>
      </w:r>
      <w:r>
        <w:fldChar w:fldCharType="begin"/>
      </w:r>
      <w:r>
        <w:instrText>ADDIN F1000_CSL_CITATION&lt;~#@#~&gt;[{"DOI":"10.1038/s41593-021-00806-8","First":false,"Last":false,"PMID":"33649507","abstract":"For over half a century, male rodents have been the default model organism in preclinical neuroscience research, a convention that has likely contributed to higher rates of misdiagnosis and adverse side effects from drug treatment in women. Studying both sexes could help to rectify these public health problems, but incentive structures in publishing and career advancement deter many researchers from doing so. Moreover, funding agency directives to include male and female animals and human participants in grant proposals lack mechanisms to hold recipients accountable. In this Perspective, we highlight areas of behavioral, cellular and systems neuroscience in which fundamental sex differences have been identified, demonstrating that truly rigorous science must include males and females. We call for a cultural and structural change in how we conduct research and evaluate scientific progress, realigning our professional reward systems and experimental standards to produce a more equitable, representative and therefore translational body of knowledge.","author":[{"family":"Shansky","given":"Rebecca M"},{"family":"Murphy","given":"Anne Z"}],"authorYearDisplayFormat":false,"citation-label":"10574944","container-title":"Nature Neuroscience","container-title-short":"Nat. Neurosci.","id":"10574944","invisible":false,"issued":{"date-parts":[["2021","3","1"]]},"journalAbbreviation":"Nat. Neurosci.","suppress-author":false,"title":"Considering sex as a biological variable will require a global shift in science culture.","type":"article-journal"}]</w:instrText>
      </w:r>
      <w:r>
        <w:fldChar w:fldCharType="separate"/>
      </w:r>
      <w:r w:rsidRPr="000C7450">
        <w:rPr>
          <w:noProof/>
        </w:rPr>
        <w:t>(Shansky &amp; Murphy, 2021)</w:t>
      </w:r>
      <w:r>
        <w:fldChar w:fldCharType="end"/>
      </w:r>
      <w:r>
        <w:t xml:space="preserve"> to formulate assumptions and develop future hypotheses regarding the effect of sex on experimental outcomes. Because there are no reports of sex differences in moral decision-making and because we had no hypothesis regarding sex differences at the outset, we did not conduct statistical analyses for such a hypothesis here. </w:t>
      </w:r>
    </w:p>
    <w:p w14:paraId="72F60BAF" w14:textId="77777777" w:rsidR="00100968" w:rsidRDefault="00100968">
      <w:pPr>
        <w:rPr>
          <w:b/>
          <w:bCs/>
          <w:noProof/>
        </w:rPr>
      </w:pPr>
    </w:p>
    <w:p w14:paraId="50279A5F" w14:textId="072586C0" w:rsidR="00EE7ECD" w:rsidRDefault="009E44BD">
      <w:pPr>
        <w:rPr>
          <w:noProof/>
        </w:rPr>
      </w:pPr>
      <w:r>
        <w:rPr>
          <w:b/>
          <w:bCs/>
          <w:noProof/>
        </w:rPr>
        <w:t>Supplmental</w:t>
      </w:r>
      <w:r w:rsidR="006E22A5">
        <w:rPr>
          <w:b/>
          <w:bCs/>
          <w:noProof/>
        </w:rPr>
        <w:t xml:space="preserve"> Table 1| </w:t>
      </w:r>
      <w:r w:rsidR="006E22A5">
        <w:t>Mean proportion of utilitarian responses for each dilemma type disaggregate by sex and group (NC/TBI).</w:t>
      </w:r>
    </w:p>
    <w:tbl>
      <w:tblPr>
        <w:tblStyle w:val="TableGrid"/>
        <w:tblW w:w="0" w:type="auto"/>
        <w:tblLook w:val="04A0" w:firstRow="1" w:lastRow="0" w:firstColumn="1" w:lastColumn="0" w:noHBand="0" w:noVBand="1"/>
      </w:tblPr>
      <w:tblGrid>
        <w:gridCol w:w="1855"/>
        <w:gridCol w:w="1777"/>
        <w:gridCol w:w="1839"/>
        <w:gridCol w:w="1973"/>
        <w:gridCol w:w="1906"/>
      </w:tblGrid>
      <w:tr w:rsidR="00EE7ECD" w14:paraId="592327F2" w14:textId="77777777" w:rsidTr="009B7EC6">
        <w:tc>
          <w:tcPr>
            <w:tcW w:w="2158" w:type="dxa"/>
          </w:tcPr>
          <w:p w14:paraId="1A5A1311" w14:textId="77777777" w:rsidR="00EE7ECD" w:rsidRPr="00BD6937" w:rsidRDefault="00EE7ECD" w:rsidP="009B7EC6">
            <w:pPr>
              <w:rPr>
                <w:b/>
                <w:bCs/>
              </w:rPr>
            </w:pPr>
            <w:r w:rsidRPr="00BD6937">
              <w:rPr>
                <w:b/>
                <w:bCs/>
              </w:rPr>
              <w:t xml:space="preserve">Group </w:t>
            </w:r>
          </w:p>
        </w:tc>
        <w:tc>
          <w:tcPr>
            <w:tcW w:w="2158" w:type="dxa"/>
          </w:tcPr>
          <w:p w14:paraId="0C9A43E1" w14:textId="77777777" w:rsidR="00EE7ECD" w:rsidRPr="00BD6937" w:rsidRDefault="00EE7ECD" w:rsidP="009B7EC6">
            <w:pPr>
              <w:rPr>
                <w:b/>
                <w:bCs/>
              </w:rPr>
            </w:pPr>
            <w:r w:rsidRPr="00BD6937">
              <w:rPr>
                <w:b/>
                <w:bCs/>
              </w:rPr>
              <w:t>Sex</w:t>
            </w:r>
          </w:p>
        </w:tc>
        <w:tc>
          <w:tcPr>
            <w:tcW w:w="2158" w:type="dxa"/>
          </w:tcPr>
          <w:p w14:paraId="152AB3E8" w14:textId="77777777" w:rsidR="00EE7ECD" w:rsidRPr="00BD6937" w:rsidRDefault="00EE7ECD" w:rsidP="009B7EC6">
            <w:pPr>
              <w:rPr>
                <w:b/>
                <w:bCs/>
              </w:rPr>
            </w:pPr>
            <w:r w:rsidRPr="00BD6937">
              <w:rPr>
                <w:b/>
                <w:bCs/>
              </w:rPr>
              <w:t xml:space="preserve">Non-moral </w:t>
            </w:r>
          </w:p>
        </w:tc>
        <w:tc>
          <w:tcPr>
            <w:tcW w:w="2158" w:type="dxa"/>
          </w:tcPr>
          <w:p w14:paraId="2244825B" w14:textId="77777777" w:rsidR="00EE7ECD" w:rsidRPr="00BD6937" w:rsidRDefault="00EE7ECD" w:rsidP="009B7EC6">
            <w:pPr>
              <w:rPr>
                <w:b/>
                <w:bCs/>
              </w:rPr>
            </w:pPr>
            <w:r w:rsidRPr="00BD6937">
              <w:rPr>
                <w:b/>
                <w:bCs/>
              </w:rPr>
              <w:t xml:space="preserve">Impersonal </w:t>
            </w:r>
          </w:p>
        </w:tc>
        <w:tc>
          <w:tcPr>
            <w:tcW w:w="2158" w:type="dxa"/>
          </w:tcPr>
          <w:p w14:paraId="3949A3F1" w14:textId="77777777" w:rsidR="00EE7ECD" w:rsidRPr="00BD6937" w:rsidRDefault="00EE7ECD" w:rsidP="009B7EC6">
            <w:pPr>
              <w:rPr>
                <w:b/>
                <w:bCs/>
              </w:rPr>
            </w:pPr>
            <w:r w:rsidRPr="00BD6937">
              <w:rPr>
                <w:b/>
                <w:bCs/>
              </w:rPr>
              <w:t>Personal</w:t>
            </w:r>
          </w:p>
        </w:tc>
      </w:tr>
      <w:tr w:rsidR="00EE7ECD" w14:paraId="66EF42BA" w14:textId="77777777" w:rsidTr="009B7EC6">
        <w:tc>
          <w:tcPr>
            <w:tcW w:w="2158" w:type="dxa"/>
            <w:vMerge w:val="restart"/>
          </w:tcPr>
          <w:p w14:paraId="34C04F1F" w14:textId="77777777" w:rsidR="00EE7ECD" w:rsidRDefault="00EE7ECD" w:rsidP="009B7EC6">
            <w:r>
              <w:t>NC</w:t>
            </w:r>
          </w:p>
        </w:tc>
        <w:tc>
          <w:tcPr>
            <w:tcW w:w="2158" w:type="dxa"/>
          </w:tcPr>
          <w:p w14:paraId="50A83ACB" w14:textId="77777777" w:rsidR="00EE7ECD" w:rsidRDefault="00EE7ECD" w:rsidP="009B7EC6">
            <w:r>
              <w:t>F</w:t>
            </w:r>
          </w:p>
        </w:tc>
        <w:tc>
          <w:tcPr>
            <w:tcW w:w="2158" w:type="dxa"/>
          </w:tcPr>
          <w:p w14:paraId="60E4521D" w14:textId="77777777" w:rsidR="00EE7ECD" w:rsidRDefault="00EE7ECD" w:rsidP="009B7EC6">
            <w:r>
              <w:t>0.56</w:t>
            </w:r>
          </w:p>
        </w:tc>
        <w:tc>
          <w:tcPr>
            <w:tcW w:w="2158" w:type="dxa"/>
          </w:tcPr>
          <w:p w14:paraId="322F109B" w14:textId="77777777" w:rsidR="00EE7ECD" w:rsidRDefault="00EE7ECD" w:rsidP="009B7EC6">
            <w:r>
              <w:t>0.47</w:t>
            </w:r>
          </w:p>
        </w:tc>
        <w:tc>
          <w:tcPr>
            <w:tcW w:w="2158" w:type="dxa"/>
          </w:tcPr>
          <w:p w14:paraId="529CDDA1" w14:textId="77777777" w:rsidR="00EE7ECD" w:rsidRDefault="00EE7ECD" w:rsidP="009B7EC6">
            <w:r>
              <w:t>0.31</w:t>
            </w:r>
          </w:p>
        </w:tc>
      </w:tr>
      <w:tr w:rsidR="00EE7ECD" w14:paraId="31E2DA37" w14:textId="77777777" w:rsidTr="009B7EC6">
        <w:tc>
          <w:tcPr>
            <w:tcW w:w="2158" w:type="dxa"/>
            <w:vMerge/>
          </w:tcPr>
          <w:p w14:paraId="03DFC03A" w14:textId="77777777" w:rsidR="00EE7ECD" w:rsidRDefault="00EE7ECD" w:rsidP="009B7EC6"/>
        </w:tc>
        <w:tc>
          <w:tcPr>
            <w:tcW w:w="2158" w:type="dxa"/>
          </w:tcPr>
          <w:p w14:paraId="39DE1EB4" w14:textId="77777777" w:rsidR="00EE7ECD" w:rsidRDefault="00EE7ECD" w:rsidP="009B7EC6">
            <w:r>
              <w:t>M</w:t>
            </w:r>
          </w:p>
        </w:tc>
        <w:tc>
          <w:tcPr>
            <w:tcW w:w="2158" w:type="dxa"/>
          </w:tcPr>
          <w:p w14:paraId="194CAA9F" w14:textId="77777777" w:rsidR="00EE7ECD" w:rsidRDefault="00EE7ECD" w:rsidP="009B7EC6">
            <w:r>
              <w:t>0.58</w:t>
            </w:r>
          </w:p>
        </w:tc>
        <w:tc>
          <w:tcPr>
            <w:tcW w:w="2158" w:type="dxa"/>
          </w:tcPr>
          <w:p w14:paraId="2D3A5753" w14:textId="77777777" w:rsidR="00EE7ECD" w:rsidRDefault="00EE7ECD" w:rsidP="009B7EC6">
            <w:r>
              <w:t>0.47</w:t>
            </w:r>
          </w:p>
        </w:tc>
        <w:tc>
          <w:tcPr>
            <w:tcW w:w="2158" w:type="dxa"/>
          </w:tcPr>
          <w:p w14:paraId="3234E285" w14:textId="77777777" w:rsidR="00EE7ECD" w:rsidRDefault="00EE7ECD" w:rsidP="009B7EC6">
            <w:r>
              <w:t>0.29</w:t>
            </w:r>
          </w:p>
        </w:tc>
      </w:tr>
      <w:tr w:rsidR="00EE7ECD" w14:paraId="4AEEEDBA" w14:textId="77777777" w:rsidTr="009B7EC6">
        <w:tc>
          <w:tcPr>
            <w:tcW w:w="2158" w:type="dxa"/>
            <w:vMerge w:val="restart"/>
          </w:tcPr>
          <w:p w14:paraId="66DA37E9" w14:textId="77777777" w:rsidR="00EE7ECD" w:rsidRDefault="00EE7ECD" w:rsidP="009B7EC6">
            <w:r>
              <w:t>TBI</w:t>
            </w:r>
          </w:p>
        </w:tc>
        <w:tc>
          <w:tcPr>
            <w:tcW w:w="2158" w:type="dxa"/>
          </w:tcPr>
          <w:p w14:paraId="5C9FCDDE" w14:textId="77777777" w:rsidR="00EE7ECD" w:rsidRDefault="00EE7ECD" w:rsidP="009B7EC6">
            <w:r>
              <w:t>F</w:t>
            </w:r>
          </w:p>
        </w:tc>
        <w:tc>
          <w:tcPr>
            <w:tcW w:w="2158" w:type="dxa"/>
          </w:tcPr>
          <w:p w14:paraId="79A9B0E3" w14:textId="77777777" w:rsidR="00EE7ECD" w:rsidRDefault="00EE7ECD" w:rsidP="009B7EC6">
            <w:r>
              <w:t>0.56</w:t>
            </w:r>
          </w:p>
        </w:tc>
        <w:tc>
          <w:tcPr>
            <w:tcW w:w="2158" w:type="dxa"/>
          </w:tcPr>
          <w:p w14:paraId="7DF3DC3D" w14:textId="77777777" w:rsidR="00EE7ECD" w:rsidRDefault="00EE7ECD" w:rsidP="009B7EC6">
            <w:r>
              <w:t>0.48</w:t>
            </w:r>
          </w:p>
        </w:tc>
        <w:tc>
          <w:tcPr>
            <w:tcW w:w="2158" w:type="dxa"/>
          </w:tcPr>
          <w:p w14:paraId="0F550008" w14:textId="77777777" w:rsidR="00EE7ECD" w:rsidRDefault="00EE7ECD" w:rsidP="009B7EC6">
            <w:r>
              <w:t>0.23</w:t>
            </w:r>
          </w:p>
        </w:tc>
      </w:tr>
      <w:tr w:rsidR="00EE7ECD" w14:paraId="7F32B6F3" w14:textId="77777777" w:rsidTr="009B7EC6">
        <w:tc>
          <w:tcPr>
            <w:tcW w:w="2158" w:type="dxa"/>
            <w:vMerge/>
          </w:tcPr>
          <w:p w14:paraId="4B22C299" w14:textId="77777777" w:rsidR="00EE7ECD" w:rsidRDefault="00EE7ECD" w:rsidP="009B7EC6"/>
        </w:tc>
        <w:tc>
          <w:tcPr>
            <w:tcW w:w="2158" w:type="dxa"/>
          </w:tcPr>
          <w:p w14:paraId="0F90531B" w14:textId="77777777" w:rsidR="00EE7ECD" w:rsidRDefault="00EE7ECD" w:rsidP="009B7EC6">
            <w:r>
              <w:t>M</w:t>
            </w:r>
          </w:p>
        </w:tc>
        <w:tc>
          <w:tcPr>
            <w:tcW w:w="2158" w:type="dxa"/>
          </w:tcPr>
          <w:p w14:paraId="2ED0FF63" w14:textId="77777777" w:rsidR="00EE7ECD" w:rsidRDefault="00EE7ECD" w:rsidP="009B7EC6">
            <w:r>
              <w:t>0.61</w:t>
            </w:r>
          </w:p>
        </w:tc>
        <w:tc>
          <w:tcPr>
            <w:tcW w:w="2158" w:type="dxa"/>
          </w:tcPr>
          <w:p w14:paraId="22E244DF" w14:textId="77777777" w:rsidR="00EE7ECD" w:rsidRDefault="00EE7ECD" w:rsidP="009B7EC6">
            <w:r>
              <w:t>0.57</w:t>
            </w:r>
          </w:p>
        </w:tc>
        <w:tc>
          <w:tcPr>
            <w:tcW w:w="2158" w:type="dxa"/>
          </w:tcPr>
          <w:p w14:paraId="5D78D290" w14:textId="77777777" w:rsidR="00EE7ECD" w:rsidRDefault="00EE7ECD" w:rsidP="009B7EC6">
            <w:r>
              <w:t>0.27</w:t>
            </w:r>
          </w:p>
        </w:tc>
      </w:tr>
    </w:tbl>
    <w:p w14:paraId="22823519" w14:textId="669E8F77" w:rsidR="00DB6393" w:rsidRDefault="00DB6393">
      <w:pPr>
        <w:rPr>
          <w:noProof/>
        </w:rPr>
      </w:pPr>
    </w:p>
    <w:p w14:paraId="6BF2AE0E" w14:textId="580C4985" w:rsidR="006E22A5" w:rsidRDefault="006E22A5">
      <w:pPr>
        <w:rPr>
          <w:noProof/>
        </w:rPr>
      </w:pPr>
    </w:p>
    <w:p w14:paraId="6A6D45A9" w14:textId="6B866D7B" w:rsidR="006E22A5" w:rsidRPr="00DB6393" w:rsidRDefault="009E44BD">
      <w:pPr>
        <w:rPr>
          <w:noProof/>
        </w:rPr>
      </w:pPr>
      <w:r>
        <w:rPr>
          <w:b/>
          <w:bCs/>
          <w:noProof/>
        </w:rPr>
        <w:t>Supplmental</w:t>
      </w:r>
      <w:r w:rsidR="006E22A5">
        <w:rPr>
          <w:b/>
          <w:bCs/>
        </w:rPr>
        <w:t xml:space="preserve"> Figure 1| </w:t>
      </w:r>
      <w:r w:rsidR="006E22A5">
        <w:t>Boxplot of group and individual performance, disaggregate by sex, for A) non-moral dilemmas, B) impersonal dilemmas, and C) personal dilemmas. Points represent individual participants.</w:t>
      </w:r>
    </w:p>
    <w:p w14:paraId="33D0C653" w14:textId="783BC47D" w:rsidR="00132B8A" w:rsidRDefault="00DB6393" w:rsidP="00132B8A">
      <w:r w:rsidRPr="00140AE6">
        <w:rPr>
          <w:noProof/>
        </w:rPr>
        <w:drawing>
          <wp:inline distT="0" distB="0" distL="0" distR="0" wp14:anchorId="1ABA76BF" wp14:editId="7E6A4E4E">
            <wp:extent cx="4470400" cy="2971800"/>
            <wp:effectExtent l="0" t="0" r="0" b="0"/>
            <wp:docPr id="8" name="Picture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ox and whisker chart&#10;&#10;Description automatically generated"/>
                    <pic:cNvPicPr/>
                  </pic:nvPicPr>
                  <pic:blipFill>
                    <a:blip r:embed="rId4"/>
                    <a:stretch>
                      <a:fillRect/>
                    </a:stretch>
                  </pic:blipFill>
                  <pic:spPr>
                    <a:xfrm>
                      <a:off x="0" y="0"/>
                      <a:ext cx="4470400" cy="2971800"/>
                    </a:xfrm>
                    <a:prstGeom prst="rect">
                      <a:avLst/>
                    </a:prstGeom>
                  </pic:spPr>
                </pic:pic>
              </a:graphicData>
            </a:graphic>
          </wp:inline>
        </w:drawing>
      </w:r>
    </w:p>
    <w:p w14:paraId="6C108907" w14:textId="5CF34C36" w:rsidR="00132B8A" w:rsidRPr="00DB6393" w:rsidRDefault="00132B8A" w:rsidP="00DB6393"/>
    <w:p w14:paraId="4912AACF" w14:textId="48B30F7E" w:rsidR="00132B8A" w:rsidRPr="00113423" w:rsidRDefault="00132B8A" w:rsidP="00132B8A">
      <w:r>
        <w:t xml:space="preserve"> </w:t>
      </w:r>
    </w:p>
    <w:p w14:paraId="58A600C5" w14:textId="77777777" w:rsidR="00132B8A" w:rsidRPr="00132B8A" w:rsidRDefault="00132B8A" w:rsidP="00132B8A">
      <w:pPr>
        <w:tabs>
          <w:tab w:val="left" w:pos="5860"/>
        </w:tabs>
      </w:pPr>
    </w:p>
    <w:sectPr w:rsidR="00132B8A" w:rsidRPr="00132B8A" w:rsidSect="004F7D7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0BD"/>
    <w:rsid w:val="00082539"/>
    <w:rsid w:val="00100968"/>
    <w:rsid w:val="00132B8A"/>
    <w:rsid w:val="0017799A"/>
    <w:rsid w:val="00185E9A"/>
    <w:rsid w:val="00247774"/>
    <w:rsid w:val="002E3BD5"/>
    <w:rsid w:val="00354E6C"/>
    <w:rsid w:val="004F7D75"/>
    <w:rsid w:val="006E22A5"/>
    <w:rsid w:val="00941E49"/>
    <w:rsid w:val="009E44BD"/>
    <w:rsid w:val="00A010BD"/>
    <w:rsid w:val="00A362AF"/>
    <w:rsid w:val="00A56E66"/>
    <w:rsid w:val="00B368C1"/>
    <w:rsid w:val="00B5232E"/>
    <w:rsid w:val="00CB088C"/>
    <w:rsid w:val="00CC672E"/>
    <w:rsid w:val="00DB6393"/>
    <w:rsid w:val="00E5088F"/>
    <w:rsid w:val="00EE7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6FBA37"/>
  <w15:chartTrackingRefBased/>
  <w15:docId w15:val="{2DFDB851-4ADE-E144-A528-28CE2BCAE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EC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7E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692</Words>
  <Characters>3946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Edwards</dc:creator>
  <cp:keywords/>
  <dc:description/>
  <cp:lastModifiedBy>Malcolm Edwards</cp:lastModifiedBy>
  <cp:revision>2</cp:revision>
  <dcterms:created xsi:type="dcterms:W3CDTF">2022-01-27T20:40:00Z</dcterms:created>
  <dcterms:modified xsi:type="dcterms:W3CDTF">2022-01-27T20:40:00Z</dcterms:modified>
</cp:coreProperties>
</file>