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4D" w:rsidRDefault="000F3A4D" w:rsidP="000F3A4D">
      <w:pPr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ONLINE SUPPLEMENTARY DATA</w:t>
      </w:r>
    </w:p>
    <w:p w:rsidR="000F3A4D" w:rsidRDefault="000F3A4D" w:rsidP="000F3A4D">
      <w:pPr>
        <w:jc w:val="center"/>
        <w:rPr>
          <w:rFonts w:ascii="Times New Roman" w:hAnsi="Times New Roman"/>
          <w:szCs w:val="24"/>
          <w:lang w:val="en-US"/>
        </w:rPr>
      </w:pPr>
    </w:p>
    <w:p w:rsidR="000F3A4D" w:rsidRDefault="000F3A4D" w:rsidP="000F3A4D">
      <w:pPr>
        <w:jc w:val="center"/>
        <w:rPr>
          <w:rFonts w:ascii="Times New Roman" w:hAnsi="Times New Roman"/>
          <w:szCs w:val="24"/>
          <w:lang w:val="en-US"/>
        </w:rPr>
      </w:pPr>
      <w:r w:rsidRPr="00273EB8">
        <w:rPr>
          <w:rFonts w:ascii="Times New Roman" w:hAnsi="Times New Roman"/>
          <w:szCs w:val="24"/>
          <w:lang w:val="en-US"/>
        </w:rPr>
        <w:t>TABLE 1</w:t>
      </w:r>
    </w:p>
    <w:p w:rsidR="000F3A4D" w:rsidRDefault="000F3A4D" w:rsidP="000F3A4D">
      <w:pPr>
        <w:jc w:val="center"/>
        <w:rPr>
          <w:rFonts w:ascii="Times New Roman" w:hAnsi="Times New Roman"/>
          <w:szCs w:val="24"/>
          <w:lang w:val="en-US"/>
        </w:rPr>
      </w:pPr>
      <w:r w:rsidRPr="00273EB8">
        <w:rPr>
          <w:rFonts w:ascii="Times New Roman" w:hAnsi="Times New Roman"/>
          <w:szCs w:val="24"/>
          <w:lang w:val="en-US"/>
        </w:rPr>
        <w:t xml:space="preserve">CONTEXTS AND DESCRIPTIONS OF THE </w:t>
      </w:r>
      <w:r>
        <w:rPr>
          <w:rFonts w:ascii="Times New Roman" w:hAnsi="Times New Roman"/>
          <w:szCs w:val="24"/>
          <w:lang w:val="en-US"/>
        </w:rPr>
        <w:t>‘</w:t>
      </w:r>
      <w:r w:rsidRPr="00273EB8">
        <w:rPr>
          <w:rFonts w:ascii="Times New Roman" w:hAnsi="Times New Roman"/>
          <w:szCs w:val="24"/>
          <w:lang w:val="en-US"/>
        </w:rPr>
        <w:t>MILLEFEUILLE</w:t>
      </w:r>
      <w:r>
        <w:rPr>
          <w:rFonts w:ascii="Times New Roman" w:hAnsi="Times New Roman"/>
          <w:szCs w:val="24"/>
          <w:lang w:val="en-US"/>
        </w:rPr>
        <w:t>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2977"/>
        <w:gridCol w:w="4961"/>
        <w:gridCol w:w="3119"/>
      </w:tblGrid>
      <w:tr w:rsidR="000F3A4D" w:rsidRPr="00B97120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F3A4D" w:rsidRPr="001845DF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b/>
                <w:sz w:val="15"/>
                <w:szCs w:val="15"/>
                <w:lang w:val="en-GB"/>
              </w:rPr>
              <w:t>Contexts (2005)</w:t>
            </w:r>
          </w:p>
        </w:tc>
        <w:tc>
          <w:tcPr>
            <w:tcW w:w="992" w:type="dxa"/>
          </w:tcPr>
          <w:p w:rsidR="000F3A4D" w:rsidRPr="001845DF" w:rsidRDefault="000F3A4D" w:rsidP="00816AA0">
            <w:pPr>
              <w:pStyle w:val="Heading1"/>
              <w:spacing w:before="0" w:after="0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Contexts (2006)</w:t>
            </w:r>
          </w:p>
        </w:tc>
        <w:tc>
          <w:tcPr>
            <w:tcW w:w="2977" w:type="dxa"/>
          </w:tcPr>
          <w:p w:rsidR="000F3A4D" w:rsidRPr="001845DF" w:rsidRDefault="000F3A4D" w:rsidP="00816AA0">
            <w:pPr>
              <w:pStyle w:val="Heading1"/>
              <w:spacing w:before="0" w:after="0"/>
              <w:rPr>
                <w:rFonts w:ascii="Arial" w:hAnsi="Arial" w:cs="Arial"/>
                <w:b w:val="0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Field description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proofErr w:type="spellStart"/>
            <w:r w:rsidRPr="001845DF">
              <w:rPr>
                <w:rFonts w:ascii="Arial" w:hAnsi="Arial" w:cs="Arial"/>
                <w:b/>
                <w:sz w:val="15"/>
                <w:szCs w:val="15"/>
                <w:lang w:val="en-GB"/>
              </w:rPr>
              <w:t>Micromorphological</w:t>
            </w:r>
            <w:proofErr w:type="spellEnd"/>
            <w:r w:rsidRPr="001845DF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 description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pStyle w:val="Heading1"/>
              <w:spacing w:before="0" w:after="0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Interpretation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1053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Below plough sediment (~ 3 cm). Hard compacted red clay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P5 (uppermost layer)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Grey-brown carbonate sandy-loam sediment. Pottery sherd, some scattered red aggregates. Some limestone fragments are burnt, but a small proportion are not. The sediment mixes materials from different origins (deposited in bulk)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Fill belonging to the Final MN occupation of Area C. To be associated with 1709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B97120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1009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Below 1053. (~ 10 cm). Had a laminated structure with thin reddish layers alternating with thin greenish layers. In general the reddish layers were less dense and more crumbly than the others and bore traces of a plant binder of large size (roughly chopped straw)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P5 (almost </w:t>
            </w:r>
            <w:r w:rsidRPr="001845DF">
              <w:rPr>
                <w:rFonts w:ascii="Arial" w:hAnsi="Arial" w:cs="Arial"/>
                <w:b/>
                <w:sz w:val="15"/>
                <w:szCs w:val="15"/>
                <w:lang w:val="en-GB"/>
              </w:rPr>
              <w:t>the whole</w:t>
            </w: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 thin</w:t>
            </w:r>
            <w:r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 </w:t>
            </w: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section) and P6 (upper third)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Red sediment composed entirely of sandy loam aggregates burnt to varying degrees (different colours), with some aggregates reaching 2–3 cm average diameter, showing some traces of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phytoliths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, and kneaded. Some of the surfaces are planar. Presence of ash.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Idem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1816</w:t>
            </w: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= 1053 + 1009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Deposit of very compacted, highly oxidised clay (~ 13 cm)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Idem</w:t>
            </w:r>
          </w:p>
        </w:tc>
      </w:tr>
      <w:tr w:rsidR="000F3A4D" w:rsidRPr="00B97120" w:rsidTr="00816AA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1020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Greyish-white very thin level (~ 0.5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P5 (lowest section) and P6  (below the upper third)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Grey-whitish, silty and carbonate sediment, poor porosity, which contains small red aggregates and some charcoal flecks introduced through walking. The small chips of limestone are generally burnt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Walking surface.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To be associated with the walking surface of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floor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1753/1754 in the western part of the courtyard (1753/54A) 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1021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Purple layer (~ 8 cm). Thin light-coloured deposit at the bottom. A fragment sampled in 1021 bore the impression of wood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P6 (lower two</w:t>
            </w:r>
            <w:r w:rsidRPr="001845DF">
              <w:rPr>
                <w:rFonts w:ascii="Arial" w:hAnsi="Arial" w:cs="Arial"/>
                <w:b/>
                <w:sz w:val="15"/>
                <w:szCs w:val="15"/>
                <w:lang w:val="en-GB"/>
              </w:rPr>
              <w:t xml:space="preserve"> </w:t>
            </w: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thirds)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Red sediment made up exclusively of sandy loam aggregates burnt to varying degrees (different colours) with aggregates which could reach 1–2 cm average diameter showing some traces of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phytoliths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, and kneaded. Some of the surfaces are planar.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Remains of the mantle from the firing area used to raise the floor of the courtyard.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To be associated with the preparation of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floor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1753/1754B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1861</w:t>
            </w: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= 1021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Purple fibrous deposit (~ 8 cm) 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Idem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1028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Deposit of orange and whitish silt below 1021 (~ 0.5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P7 (top)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Grey-whitish, silty and carbonate sediment, trampled, with tiny red aggregates introduced through walking. Poor porosity, horizontal. Numerous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micritic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crystallisations and rare tiny limestone fragments which are burnt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Walking surface.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To be associated with the walking surface of floor 1756 in the western part of the courtyard (1756A)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B97120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1035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Thin orange layer below 1028 with a fine texture and very few inclusions (~ 2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P7 (1.5 cm)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Red sediment made up of sandy loam micro-aggregates, burnt to varying degrees (colour differences), too small to discern traces of plant matter.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Remains of the mantle from the firing area used to raise the floor of the courtyard. To be associated with making the floor (1756B)</w:t>
            </w:r>
          </w:p>
        </w:tc>
      </w:tr>
      <w:tr w:rsidR="000F3A4D" w:rsidRPr="00B97120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1036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Orange layer below 1035 (~ 1.5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tabs>
                <w:tab w:val="left" w:pos="252"/>
                <w:tab w:val="center" w:pos="2410"/>
              </w:tabs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P7 (1.5 cm)</w:t>
            </w:r>
          </w:p>
          <w:p w:rsidR="000F3A4D" w:rsidRPr="001845DF" w:rsidRDefault="000F3A4D" w:rsidP="00816AA0">
            <w:pPr>
              <w:tabs>
                <w:tab w:val="left" w:pos="252"/>
                <w:tab w:val="center" w:pos="2410"/>
              </w:tabs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Red sediment made up of sandy loam aggregates, burnt to varying degrees (colour differences). Within the larger </w:t>
            </w:r>
            <w:proofErr w:type="gram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components(</w:t>
            </w:r>
            <w:proofErr w:type="gram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1 cm),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phytoliths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observed. Some micro-fragments of charcoal.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Idem</w:t>
            </w:r>
          </w:p>
        </w:tc>
      </w:tr>
      <w:tr w:rsidR="000F3A4D" w:rsidRPr="00B97120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?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?</w:t>
            </w: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4961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Lens of carbonate matter (lime?, no burnt micro-fragments to confirm this)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?</w:t>
            </w:r>
          </w:p>
        </w:tc>
      </w:tr>
      <w:tr w:rsidR="000F3A4D" w:rsidRPr="00B97120" w:rsidTr="00816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1038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Violet layer below 1036 (~ 1.5 cm)</w:t>
            </w:r>
          </w:p>
        </w:tc>
        <w:tc>
          <w:tcPr>
            <w:tcW w:w="4961" w:type="dxa"/>
            <w:vMerge w:val="restart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P7 (3.5 cm)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No difference between 1038, 1044 and 1060.</w:t>
            </w:r>
          </w:p>
          <w:p w:rsidR="000F3A4D" w:rsidRPr="001845DF" w:rsidRDefault="000F3A4D" w:rsidP="00816AA0">
            <w:pPr>
              <w:tabs>
                <w:tab w:val="left" w:pos="252"/>
                <w:tab w:val="center" w:pos="2410"/>
              </w:tabs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Red sediment composed of sandy loam aggregates burnt to varying </w:t>
            </w: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lastRenderedPageBreak/>
              <w:t xml:space="preserve">degrees (colour differences). Within the larger components (1 cm),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phytoliths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observed. Some micro-fragments of charcoal.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lastRenderedPageBreak/>
              <w:t>Idem</w:t>
            </w:r>
          </w:p>
        </w:tc>
      </w:tr>
      <w:tr w:rsidR="000F3A4D" w:rsidRPr="00100975" w:rsidTr="00816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1044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Very powdery layer partly orange, partly red, partly violet below 1038 (~ 1 cm)</w:t>
            </w:r>
          </w:p>
        </w:tc>
        <w:tc>
          <w:tcPr>
            <w:tcW w:w="4961" w:type="dxa"/>
            <w:vMerge/>
          </w:tcPr>
          <w:p w:rsidR="000F3A4D" w:rsidRPr="003A2B3C" w:rsidRDefault="000F3A4D" w:rsidP="00816AA0">
            <w:pPr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Idem</w:t>
            </w:r>
          </w:p>
        </w:tc>
      </w:tr>
      <w:tr w:rsidR="000F3A4D" w:rsidRPr="00100975" w:rsidTr="00816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lastRenderedPageBreak/>
              <w:t>1060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Yellowish layer with charcoal inclusions (~ 1 cm)</w:t>
            </w:r>
          </w:p>
        </w:tc>
        <w:tc>
          <w:tcPr>
            <w:tcW w:w="4961" w:type="dxa"/>
            <w:vMerge/>
          </w:tcPr>
          <w:p w:rsidR="000F3A4D" w:rsidRPr="003A2B3C" w:rsidRDefault="000F3A4D" w:rsidP="00816AA0">
            <w:pPr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Idem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1862</w:t>
            </w: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= 1035 + 1036 + 1038 + 1044 + 1060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Mixed deposit of oxidised clay wall rendering with occasional rounded angular pebble inclusion (~ 9 cm)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pStyle w:val="CommentText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Idem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1061A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Sooty layer with much charcoal (~ 1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P7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Grey-whitish, silty and carbonate sediment, trampled, with tiny red aggregates and micro-fragments of charcoal introduced through walking. Poor porosity, element in horizontal orientation. Numerous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micritic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crystallisations and the limestone fragments are burnt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Ultimately to be associated with context 1773 of the sounding in the courtyard to the south of wall 1710. 1773 is a clear thin layer on the surface of 1774, and could be the surface of a floor. At the same time similar, perhaps identical, material covered the pottery firing area, intended for walking on top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1848</w:t>
            </w: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= 1061A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Deposit of grey light brown, charcoal-rich ashy clay (~ 2 cm)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1061B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1863</w:t>
            </w: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Layer of compacted oxidised clay (2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P7, 2 cm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highlight w:val="yellow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Red sediment composed of sandy loam aggregates burnt to varying degrees (colour differences). Within the larger components (1 cm)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phytoliths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observed.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Remains of the mantle. 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Ultimately to be associated with context 1774 (reddish layer) used to raise the floor of the courtyard (possibly remains of the mantle of the clamp)</w:t>
            </w:r>
          </w:p>
        </w:tc>
      </w:tr>
      <w:tr w:rsidR="000F3A4D" w:rsidRPr="00100975" w:rsidTr="00816AA0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921" w:type="dxa"/>
            <w:vMerge w:val="restart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1065</w:t>
            </w:r>
          </w:p>
        </w:tc>
        <w:tc>
          <w:tcPr>
            <w:tcW w:w="992" w:type="dxa"/>
            <w:vMerge w:val="restart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  <w:vMerge w:val="restart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Whitish-greyish layer below 1061 (4 cm)</w:t>
            </w:r>
          </w:p>
        </w:tc>
        <w:tc>
          <w:tcPr>
            <w:tcW w:w="4961" w:type="dxa"/>
            <w:vMerge w:val="restart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P7 (base) and P8 (uppermost), 4 cm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At the bottom (2 cm): whitish, silty and carbonate sediment (numerous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micritic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crystallisations), incorporating red aggregates (one of which perhaps from the base of a hearth) and some charcoal (a few mm in length). Compacted sediment. The micro-fragments of limestone are not consistently burnt. Heated and non-heated materials are mixed in the sediment. 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On top (2 cm): whitish, silty and carbonate sediment, with a few red aggregates and a few charcoal micro-fragments. Sediment less compacted than the base (deposit at the top not beaten). Nearly all the fragments of limestone have been heated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At the bottom, trampled lime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Walking surface (1065B)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.</w:t>
            </w:r>
          </w:p>
        </w:tc>
      </w:tr>
      <w:tr w:rsidR="000F3A4D" w:rsidRPr="00100975" w:rsidTr="00816AA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21" w:type="dxa"/>
            <w:vMerge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  <w:vMerge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4961" w:type="dxa"/>
            <w:vMerge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On top, lime: possibly the remains of the heating of stones acting as a support for the charge to be fired left in place (1065A)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1860</w:t>
            </w:r>
          </w:p>
        </w:tc>
        <w:tc>
          <w:tcPr>
            <w:tcW w:w="2977" w:type="dxa"/>
          </w:tcPr>
          <w:p w:rsidR="000F3A4D" w:rsidRPr="003A2B3C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Bottom of 2006 sounding. Not excavated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1067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Dark violet layer with many white mineral inclusions below 1065 (~ 3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P8, 2 cm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Red sediment composed of sandy loam micro-aggregates, burnt to varying degrees (different colours), frequently too small (a few mm) to detect traces of plant remains.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Remains of mantle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921" w:type="dxa"/>
            <w:vMerge w:val="restart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1069</w:t>
            </w:r>
          </w:p>
        </w:tc>
        <w:tc>
          <w:tcPr>
            <w:tcW w:w="992" w:type="dxa"/>
            <w:vMerge w:val="restart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  <w:vMerge w:val="restart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Greyish layer with many charcoal inclusions below 1067 (~ 4 cm)</w:t>
            </w:r>
          </w:p>
        </w:tc>
        <w:tc>
          <w:tcPr>
            <w:tcW w:w="4961" w:type="dxa"/>
            <w:vMerge w:val="restart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P8, 4</w:t>
            </w:r>
            <w:r w:rsidRPr="001845DF">
              <w:rPr>
                <w:rFonts w:ascii="Arial" w:hAnsi="Arial" w:cs="Arial"/>
                <w:b/>
                <w:sz w:val="15"/>
                <w:szCs w:val="15"/>
                <w:lang w:val="en-GB"/>
              </w:rPr>
              <w:t>–</w:t>
            </w: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5 cm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At the bottom (2 cm): whitish, silty and carbonate sediment (numerous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micritic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crystallisations), incorporating red aggregates and charcoal fragments (a few mm in length). Compacted sediment. The limestone micro-fragments are not consistently burnt. Heated and non-heated materials are mixed in the sediment.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On top (2 cm): whitish, silty and carbonate sediment, incorporating larger red aggregates (sometimes 1 cm in length) and a few charcoal fragments. Mixed sediment but less compacted than the bottom, especially on the surface (no beaten surface on top). Nearly all the fragments of limestone have been heated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On the bottom, layer of compacted lime: walking surface (1069B)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21" w:type="dxa"/>
            <w:vMerge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  <w:vMerge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4961" w:type="dxa"/>
            <w:vMerge/>
          </w:tcPr>
          <w:p w:rsidR="000F3A4D" w:rsidRPr="001845DF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</w:p>
        </w:tc>
        <w:tc>
          <w:tcPr>
            <w:tcW w:w="3119" w:type="dxa"/>
          </w:tcPr>
          <w:p w:rsidR="000F3A4D" w:rsidRPr="003A2B3C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On top, possibly the remains of limestone stones from the support for the charge to be fired. Lime left in place, but not trampled (1067 rests above it, remains of the mantle)</w:t>
            </w:r>
          </w:p>
        </w:tc>
      </w:tr>
      <w:tr w:rsidR="000F3A4D" w:rsidRPr="000978AC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1072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Violet to black layer with mineral inclusions and many traces of vegetal inclusions (~ 4 cm)</w:t>
            </w:r>
          </w:p>
        </w:tc>
        <w:tc>
          <w:tcPr>
            <w:tcW w:w="4961" w:type="dxa"/>
          </w:tcPr>
          <w:p w:rsidR="000F3A4D" w:rsidRPr="003A2B3C" w:rsidRDefault="000F3A4D" w:rsidP="00816AA0">
            <w:pPr>
              <w:rPr>
                <w:rFonts w:ascii="Arial" w:hAnsi="Arial" w:cs="Arial"/>
                <w:b/>
                <w:sz w:val="15"/>
                <w:szCs w:val="15"/>
                <w:lang w:val="en-GB"/>
              </w:rPr>
            </w:pPr>
            <w:r w:rsidRPr="003A2B3C">
              <w:rPr>
                <w:rFonts w:ascii="Arial" w:hAnsi="Arial" w:cs="Arial"/>
                <w:b/>
                <w:sz w:val="15"/>
                <w:szCs w:val="15"/>
                <w:lang w:val="en-GB"/>
              </w:rPr>
              <w:t>P8 (lowest section) 2 cm examined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Brown-red sediment, silty incorporating red, sandy loam aggregates with traces of </w:t>
            </w:r>
            <w:proofErr w:type="spellStart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phytoliths</w:t>
            </w:r>
            <w:proofErr w:type="spellEnd"/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 xml:space="preserve"> and indications of kneading. Bulk deposit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Comparable with the other red layers interpreted above.</w:t>
            </w:r>
          </w:p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100975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1073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Orange layer containing small stones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tabs>
                <w:tab w:val="center" w:pos="1089"/>
              </w:tabs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Not on sample P8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0F3A4D" w:rsidRPr="00100975" w:rsidTr="00816AA0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lastRenderedPageBreak/>
              <w:t>1074</w:t>
            </w:r>
          </w:p>
        </w:tc>
        <w:tc>
          <w:tcPr>
            <w:tcW w:w="992" w:type="dxa"/>
            <w:vAlign w:val="center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  <w:tc>
          <w:tcPr>
            <w:tcW w:w="2977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Bottom of 2005 sounding</w:t>
            </w:r>
          </w:p>
        </w:tc>
        <w:tc>
          <w:tcPr>
            <w:tcW w:w="4961" w:type="dxa"/>
          </w:tcPr>
          <w:p w:rsidR="000F3A4D" w:rsidRPr="001845DF" w:rsidRDefault="000F3A4D" w:rsidP="00816AA0">
            <w:pPr>
              <w:tabs>
                <w:tab w:val="center" w:pos="1089"/>
              </w:tabs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1845DF">
              <w:rPr>
                <w:rFonts w:ascii="Arial" w:hAnsi="Arial" w:cs="Arial"/>
                <w:sz w:val="15"/>
                <w:szCs w:val="15"/>
                <w:lang w:val="en-GB"/>
              </w:rPr>
              <w:t>Not on sample P8</w:t>
            </w:r>
          </w:p>
        </w:tc>
        <w:tc>
          <w:tcPr>
            <w:tcW w:w="3119" w:type="dxa"/>
          </w:tcPr>
          <w:p w:rsidR="000F3A4D" w:rsidRPr="001845DF" w:rsidRDefault="000F3A4D" w:rsidP="00816AA0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</w:tbl>
    <w:p w:rsidR="000F3A4D" w:rsidRPr="003217D4" w:rsidRDefault="000F3A4D" w:rsidP="000F3A4D">
      <w:pPr>
        <w:spacing w:line="480" w:lineRule="auto"/>
        <w:rPr>
          <w:rFonts w:ascii="Times New Roman" w:hAnsi="Times New Roman"/>
          <w:color w:val="808080"/>
          <w:szCs w:val="24"/>
          <w:lang w:val="en-US"/>
        </w:rPr>
      </w:pPr>
    </w:p>
    <w:p w:rsidR="00301EF4" w:rsidRDefault="00301EF4">
      <w:bookmarkStart w:id="0" w:name="_GoBack"/>
      <w:bookmarkEnd w:id="0"/>
    </w:p>
    <w:sectPr w:rsidR="00301EF4" w:rsidSect="000F3A4D">
      <w:pgSz w:w="15840" w:h="12240" w:orient="landscape" w:code="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19"/>
    <w:rsid w:val="000F3A4D"/>
    <w:rsid w:val="00301EF4"/>
    <w:rsid w:val="005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A4D"/>
    <w:rPr>
      <w:rFonts w:ascii="Times" w:eastAsia="Times" w:hAnsi="Times"/>
      <w:sz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A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4D"/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0F3A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A4D"/>
    <w:rPr>
      <w:rFonts w:ascii="Times" w:eastAsia="Times" w:hAnsi="Times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A4D"/>
    <w:rPr>
      <w:rFonts w:ascii="Times" w:eastAsia="Times" w:hAnsi="Times"/>
      <w:sz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A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4D"/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0F3A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A4D"/>
    <w:rPr>
      <w:rFonts w:ascii="Times" w:eastAsia="Times" w:hAnsi="Times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3AA64DD9.dotm</Template>
  <TotalTime>0</TotalTime>
  <Pages>3</Pages>
  <Words>1229</Words>
  <Characters>6495</Characters>
  <Application>Microsoft Office Word</Application>
  <DocSecurity>0</DocSecurity>
  <Lines>54</Lines>
  <Paragraphs>15</Paragraphs>
  <ScaleCrop>false</ScaleCrop>
  <Company>Durham University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skeates</dc:creator>
  <cp:keywords/>
  <dc:description/>
  <cp:lastModifiedBy>skeates</cp:lastModifiedBy>
  <cp:revision>2</cp:revision>
  <dcterms:created xsi:type="dcterms:W3CDTF">2016-06-14T10:42:00Z</dcterms:created>
  <dcterms:modified xsi:type="dcterms:W3CDTF">2016-06-14T10:42:00Z</dcterms:modified>
</cp:coreProperties>
</file>