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718C6" w14:textId="77777777" w:rsidR="000471CA" w:rsidRPr="000471CA" w:rsidRDefault="000471CA" w:rsidP="000471CA">
      <w:pPr>
        <w:spacing w:after="0" w:line="360" w:lineRule="auto"/>
        <w:rPr>
          <w:rFonts w:ascii="Times New Roman" w:hAnsi="Times New Roman" w:cs="Times New Roman"/>
          <w:b/>
          <w:bCs/>
          <w:iCs/>
          <w:sz w:val="24"/>
          <w:szCs w:val="24"/>
        </w:rPr>
      </w:pPr>
      <w:r w:rsidRPr="000471CA">
        <w:rPr>
          <w:rFonts w:ascii="Times New Roman" w:hAnsi="Times New Roman" w:cs="Times New Roman"/>
          <w:b/>
          <w:bCs/>
          <w:iCs/>
          <w:sz w:val="24"/>
          <w:szCs w:val="24"/>
        </w:rPr>
        <w:t xml:space="preserve">An Integrated Bioarchaeological Approach to the Medieval ‘Agricultural Revolution’: A Case Study from Stafford, England, </w:t>
      </w:r>
      <w:r w:rsidRPr="000471CA">
        <w:rPr>
          <w:rFonts w:ascii="Times New Roman" w:hAnsi="Times New Roman" w:cs="Times New Roman"/>
          <w:b/>
          <w:bCs/>
          <w:i/>
          <w:sz w:val="24"/>
          <w:szCs w:val="24"/>
        </w:rPr>
        <w:t>c.</w:t>
      </w:r>
      <w:r w:rsidRPr="000471CA">
        <w:rPr>
          <w:rFonts w:ascii="Times New Roman" w:hAnsi="Times New Roman" w:cs="Times New Roman"/>
          <w:b/>
          <w:bCs/>
          <w:iCs/>
          <w:sz w:val="24"/>
          <w:szCs w:val="24"/>
        </w:rPr>
        <w:t xml:space="preserve"> ad 800–1200</w:t>
      </w:r>
    </w:p>
    <w:p w14:paraId="6BDE2288" w14:textId="77777777" w:rsidR="000471CA" w:rsidRPr="000471CA" w:rsidRDefault="000471CA" w:rsidP="000471CA">
      <w:pPr>
        <w:spacing w:after="0" w:line="360" w:lineRule="auto"/>
        <w:rPr>
          <w:rFonts w:ascii="Times New Roman" w:hAnsi="Times New Roman" w:cs="Times New Roman"/>
          <w:b/>
          <w:bCs/>
          <w:sz w:val="24"/>
          <w:szCs w:val="24"/>
        </w:rPr>
      </w:pPr>
    </w:p>
    <w:p w14:paraId="43DF9F40" w14:textId="35C7C693" w:rsidR="000471CA" w:rsidRPr="00887F33" w:rsidRDefault="000471CA" w:rsidP="000471CA">
      <w:pPr>
        <w:spacing w:after="0" w:line="360" w:lineRule="auto"/>
        <w:rPr>
          <w:rFonts w:ascii="Times New Roman" w:hAnsi="Times New Roman" w:cs="Times New Roman"/>
          <w:b/>
          <w:bCs/>
          <w:smallCaps/>
          <w:sz w:val="24"/>
          <w:szCs w:val="24"/>
        </w:rPr>
      </w:pPr>
      <w:r w:rsidRPr="00887F33">
        <w:rPr>
          <w:rFonts w:ascii="Times New Roman" w:hAnsi="Times New Roman" w:cs="Times New Roman"/>
          <w:b/>
          <w:bCs/>
          <w:smallCaps/>
          <w:sz w:val="24"/>
          <w:szCs w:val="24"/>
        </w:rPr>
        <w:t xml:space="preserve">Helena </w:t>
      </w:r>
      <w:proofErr w:type="spellStart"/>
      <w:r w:rsidRPr="00887F33">
        <w:rPr>
          <w:rFonts w:ascii="Times New Roman" w:hAnsi="Times New Roman" w:cs="Times New Roman"/>
          <w:b/>
          <w:bCs/>
          <w:smallCaps/>
          <w:sz w:val="24"/>
          <w:szCs w:val="24"/>
        </w:rPr>
        <w:t>Hamerow</w:t>
      </w:r>
      <w:proofErr w:type="spellEnd"/>
      <w:r w:rsidRPr="00887F33">
        <w:rPr>
          <w:rFonts w:ascii="Times New Roman" w:hAnsi="Times New Roman" w:cs="Times New Roman"/>
          <w:b/>
          <w:bCs/>
          <w:smallCaps/>
          <w:sz w:val="24"/>
          <w:szCs w:val="24"/>
        </w:rPr>
        <w:t xml:space="preserve">, Amy </w:t>
      </w:r>
      <w:proofErr w:type="spellStart"/>
      <w:r w:rsidRPr="00887F33">
        <w:rPr>
          <w:rFonts w:ascii="Times New Roman" w:hAnsi="Times New Roman" w:cs="Times New Roman"/>
          <w:b/>
          <w:bCs/>
          <w:smallCaps/>
          <w:sz w:val="24"/>
          <w:szCs w:val="24"/>
        </w:rPr>
        <w:t>Bogaard</w:t>
      </w:r>
      <w:proofErr w:type="spellEnd"/>
      <w:r w:rsidRPr="00887F33">
        <w:rPr>
          <w:rFonts w:ascii="Times New Roman" w:hAnsi="Times New Roman" w:cs="Times New Roman"/>
          <w:b/>
          <w:bCs/>
          <w:smallCaps/>
          <w:sz w:val="24"/>
          <w:szCs w:val="24"/>
        </w:rPr>
        <w:t xml:space="preserve">, Michael Charles, Emily Forster, Matilda Holmes, Mark McKerracher, Samantha Neil, Christopher </w:t>
      </w:r>
      <w:proofErr w:type="spellStart"/>
      <w:r w:rsidRPr="00887F33">
        <w:rPr>
          <w:rFonts w:ascii="Times New Roman" w:hAnsi="Times New Roman" w:cs="Times New Roman"/>
          <w:b/>
          <w:bCs/>
          <w:smallCaps/>
          <w:sz w:val="24"/>
          <w:szCs w:val="24"/>
        </w:rPr>
        <w:t>Bronk</w:t>
      </w:r>
      <w:proofErr w:type="spellEnd"/>
      <w:r w:rsidRPr="00887F33">
        <w:rPr>
          <w:rFonts w:ascii="Times New Roman" w:hAnsi="Times New Roman" w:cs="Times New Roman"/>
          <w:b/>
          <w:bCs/>
          <w:smallCaps/>
          <w:sz w:val="24"/>
          <w:szCs w:val="24"/>
        </w:rPr>
        <w:t xml:space="preserve"> Ramsey, Elizabeth Stroud and Richard Thomas</w:t>
      </w:r>
    </w:p>
    <w:p w14:paraId="52FD108B" w14:textId="77777777" w:rsidR="000471CA" w:rsidRDefault="000471CA" w:rsidP="0058342D">
      <w:pPr>
        <w:spacing w:after="0" w:line="360" w:lineRule="auto"/>
        <w:rPr>
          <w:rFonts w:ascii="Times New Roman" w:hAnsi="Times New Roman" w:cs="Times New Roman"/>
          <w:b/>
          <w:bCs/>
          <w:sz w:val="24"/>
          <w:szCs w:val="24"/>
        </w:rPr>
      </w:pPr>
    </w:p>
    <w:p w14:paraId="71491969" w14:textId="4C19C846" w:rsidR="0058342D" w:rsidRDefault="0058342D" w:rsidP="000471CA">
      <w:pPr>
        <w:spacing w:after="0" w:line="360" w:lineRule="auto"/>
        <w:jc w:val="center"/>
        <w:rPr>
          <w:rFonts w:ascii="Times New Roman" w:hAnsi="Times New Roman" w:cs="Times New Roman"/>
          <w:b/>
          <w:bCs/>
          <w:smallCaps/>
          <w:sz w:val="24"/>
          <w:szCs w:val="24"/>
        </w:rPr>
      </w:pPr>
      <w:r w:rsidRPr="000471CA">
        <w:rPr>
          <w:rFonts w:ascii="Times New Roman" w:hAnsi="Times New Roman" w:cs="Times New Roman"/>
          <w:b/>
          <w:bCs/>
          <w:smallCaps/>
          <w:sz w:val="24"/>
          <w:szCs w:val="24"/>
        </w:rPr>
        <w:t>Supplementary Material 4</w:t>
      </w:r>
    </w:p>
    <w:p w14:paraId="1424FB3A" w14:textId="77777777" w:rsidR="000471CA" w:rsidRPr="000471CA" w:rsidRDefault="000471CA" w:rsidP="000471CA">
      <w:pPr>
        <w:spacing w:after="0" w:line="360" w:lineRule="auto"/>
        <w:jc w:val="center"/>
        <w:rPr>
          <w:rFonts w:ascii="Times New Roman" w:hAnsi="Times New Roman" w:cs="Times New Roman"/>
          <w:b/>
          <w:bCs/>
          <w:smallCaps/>
          <w:sz w:val="24"/>
          <w:szCs w:val="24"/>
        </w:rPr>
      </w:pPr>
    </w:p>
    <w:p w14:paraId="1C60D10D" w14:textId="77777777" w:rsidR="0058342D" w:rsidRPr="000471CA" w:rsidRDefault="0058342D" w:rsidP="000471CA">
      <w:pPr>
        <w:pStyle w:val="Title"/>
        <w:spacing w:after="0" w:line="360" w:lineRule="auto"/>
        <w:jc w:val="center"/>
        <w:outlineLvl w:val="9"/>
        <w:rPr>
          <w:rFonts w:ascii="Times New Roman" w:hAnsi="Times New Roman" w:cs="Times New Roman"/>
          <w:smallCaps/>
          <w:sz w:val="24"/>
          <w:szCs w:val="24"/>
          <w:u w:val="none"/>
        </w:rPr>
      </w:pPr>
      <w:r w:rsidRPr="000471CA">
        <w:rPr>
          <w:rFonts w:ascii="Times New Roman" w:hAnsi="Times New Roman" w:cs="Times New Roman"/>
          <w:smallCaps/>
          <w:sz w:val="24"/>
          <w:szCs w:val="24"/>
          <w:u w:val="none"/>
        </w:rPr>
        <w:t>Isotopic Methods</w:t>
      </w:r>
    </w:p>
    <w:p w14:paraId="74518ECA" w14:textId="5324BC15" w:rsidR="00945365" w:rsidRPr="0058342D" w:rsidRDefault="00945365" w:rsidP="000471CA">
      <w:pPr>
        <w:pStyle w:val="Heading1"/>
        <w:spacing w:after="0" w:line="360" w:lineRule="auto"/>
        <w:jc w:val="center"/>
        <w:rPr>
          <w:rFonts w:ascii="Times New Roman" w:hAnsi="Times New Roman" w:cs="Times New Roman"/>
          <w:sz w:val="24"/>
          <w:szCs w:val="24"/>
        </w:rPr>
      </w:pPr>
      <w:r w:rsidRPr="0058342D">
        <w:rPr>
          <w:rFonts w:ascii="Times New Roman" w:hAnsi="Times New Roman" w:cs="Times New Roman"/>
          <w:sz w:val="24"/>
          <w:szCs w:val="24"/>
        </w:rPr>
        <w:t>Sample selection and contamination screening</w:t>
      </w:r>
    </w:p>
    <w:p w14:paraId="77DFCEFE" w14:textId="05C1F758" w:rsidR="00945365" w:rsidRPr="0058342D" w:rsidRDefault="00945365" w:rsidP="0058342D">
      <w:pPr>
        <w:spacing w:after="0" w:line="360" w:lineRule="auto"/>
        <w:rPr>
          <w:rFonts w:ascii="Times New Roman" w:hAnsi="Times New Roman" w:cs="Times New Roman"/>
          <w:sz w:val="24"/>
          <w:szCs w:val="24"/>
        </w:rPr>
      </w:pPr>
      <w:r w:rsidRPr="0058342D">
        <w:rPr>
          <w:rFonts w:ascii="Times New Roman" w:hAnsi="Times New Roman" w:cs="Times New Roman"/>
          <w:sz w:val="24"/>
          <w:szCs w:val="24"/>
        </w:rPr>
        <w:t>The crop remains were selected from ar</w:t>
      </w:r>
      <w:r w:rsidR="00036EC9" w:rsidRPr="0058342D">
        <w:rPr>
          <w:rFonts w:ascii="Times New Roman" w:hAnsi="Times New Roman" w:cs="Times New Roman"/>
          <w:sz w:val="24"/>
          <w:szCs w:val="24"/>
        </w:rPr>
        <w:t>chaeological contexts covering Phases 1, 2</w:t>
      </w:r>
      <w:r w:rsidR="00D0057A">
        <w:rPr>
          <w:rFonts w:ascii="Times New Roman" w:hAnsi="Times New Roman" w:cs="Times New Roman"/>
          <w:sz w:val="24"/>
          <w:szCs w:val="24"/>
        </w:rPr>
        <w:t>,</w:t>
      </w:r>
      <w:r w:rsidRPr="0058342D">
        <w:rPr>
          <w:rFonts w:ascii="Times New Roman" w:hAnsi="Times New Roman" w:cs="Times New Roman"/>
          <w:sz w:val="24"/>
          <w:szCs w:val="24"/>
        </w:rPr>
        <w:t xml:space="preserve"> and 3 and consisted of four cereal crops: rye, free-threshing wheat, barley</w:t>
      </w:r>
      <w:r w:rsidR="00D0057A">
        <w:rPr>
          <w:rFonts w:ascii="Times New Roman" w:hAnsi="Times New Roman" w:cs="Times New Roman"/>
          <w:sz w:val="24"/>
          <w:szCs w:val="24"/>
        </w:rPr>
        <w:t>,</w:t>
      </w:r>
      <w:r w:rsidRPr="0058342D">
        <w:rPr>
          <w:rFonts w:ascii="Times New Roman" w:hAnsi="Times New Roman" w:cs="Times New Roman"/>
          <w:sz w:val="24"/>
          <w:szCs w:val="24"/>
        </w:rPr>
        <w:t xml:space="preserve"> and oats. </w:t>
      </w:r>
      <w:r w:rsidRPr="0058342D">
        <w:rPr>
          <w:rFonts w:ascii="Times New Roman" w:eastAsia="Times New Roman" w:hAnsi="Times New Roman" w:cs="Times New Roman"/>
          <w:color w:val="000000"/>
          <w:sz w:val="24"/>
          <w:szCs w:val="24"/>
        </w:rPr>
        <w:t>Stafford is atypical of the case studies used in FeedSax in that it is not a rural settlement.</w:t>
      </w:r>
      <w:r w:rsidR="00D0057A">
        <w:rPr>
          <w:rFonts w:ascii="Times New Roman" w:eastAsia="Times New Roman" w:hAnsi="Times New Roman" w:cs="Times New Roman"/>
          <w:color w:val="000000"/>
          <w:sz w:val="24"/>
          <w:szCs w:val="24"/>
        </w:rPr>
        <w:t xml:space="preserve"> </w:t>
      </w:r>
      <w:r w:rsidRPr="0058342D">
        <w:rPr>
          <w:rFonts w:ascii="Times New Roman" w:eastAsia="Times New Roman" w:hAnsi="Times New Roman" w:cs="Times New Roman"/>
          <w:color w:val="000000"/>
          <w:sz w:val="24"/>
          <w:szCs w:val="24"/>
        </w:rPr>
        <w:t>Neve</w:t>
      </w:r>
      <w:r w:rsidR="00036EC9" w:rsidRPr="0058342D">
        <w:rPr>
          <w:rFonts w:ascii="Times New Roman" w:eastAsia="Times New Roman" w:hAnsi="Times New Roman" w:cs="Times New Roman"/>
          <w:color w:val="000000"/>
          <w:sz w:val="24"/>
          <w:szCs w:val="24"/>
        </w:rPr>
        <w:t xml:space="preserve">rtheless, the abundance of crop </w:t>
      </w:r>
      <w:r w:rsidRPr="0058342D">
        <w:rPr>
          <w:rFonts w:ascii="Times New Roman" w:eastAsia="Times New Roman" w:hAnsi="Times New Roman" w:cs="Times New Roman"/>
          <w:color w:val="000000"/>
          <w:sz w:val="24"/>
          <w:szCs w:val="24"/>
        </w:rPr>
        <w:t>processing waste from the town indicates that some, probably most, of the cereals consumed in Stafford in this early period were grown in the immediate vicinity.</w:t>
      </w:r>
      <w:r w:rsidR="00D0057A">
        <w:rPr>
          <w:rFonts w:ascii="Times New Roman" w:eastAsia="Times New Roman" w:hAnsi="Times New Roman" w:cs="Times New Roman"/>
          <w:color w:val="000000"/>
          <w:sz w:val="24"/>
          <w:szCs w:val="24"/>
        </w:rPr>
        <w:t xml:space="preserve"> </w:t>
      </w:r>
      <w:r w:rsidRPr="0058342D">
        <w:rPr>
          <w:rFonts w:ascii="Times New Roman" w:eastAsia="Times New Roman" w:hAnsi="Times New Roman" w:cs="Times New Roman"/>
          <w:color w:val="000000"/>
          <w:sz w:val="24"/>
          <w:szCs w:val="24"/>
        </w:rPr>
        <w:t>What the samples analysed represent in terms of harvests</w:t>
      </w:r>
      <w:r w:rsidR="000471CA">
        <w:rPr>
          <w:rFonts w:ascii="Times New Roman" w:eastAsia="Times New Roman" w:hAnsi="Times New Roman" w:cs="Times New Roman"/>
          <w:color w:val="000000"/>
          <w:sz w:val="24"/>
          <w:szCs w:val="24"/>
        </w:rPr>
        <w:t>,</w:t>
      </w:r>
      <w:r w:rsidRPr="0058342D">
        <w:rPr>
          <w:rFonts w:ascii="Times New Roman" w:eastAsia="Times New Roman" w:hAnsi="Times New Roman" w:cs="Times New Roman"/>
          <w:color w:val="000000"/>
          <w:sz w:val="24"/>
          <w:szCs w:val="24"/>
        </w:rPr>
        <w:t xml:space="preserve"> </w:t>
      </w:r>
      <w:r w:rsidR="00D0057A" w:rsidRPr="0058342D">
        <w:rPr>
          <w:rFonts w:ascii="Times New Roman" w:eastAsia="Times New Roman" w:hAnsi="Times New Roman" w:cs="Times New Roman"/>
          <w:color w:val="000000"/>
          <w:sz w:val="24"/>
          <w:szCs w:val="24"/>
        </w:rPr>
        <w:t>however</w:t>
      </w:r>
      <w:r w:rsidR="000471CA">
        <w:rPr>
          <w:rFonts w:ascii="Times New Roman" w:eastAsia="Times New Roman" w:hAnsi="Times New Roman" w:cs="Times New Roman"/>
          <w:color w:val="000000"/>
          <w:sz w:val="24"/>
          <w:szCs w:val="24"/>
        </w:rPr>
        <w:t>,</w:t>
      </w:r>
      <w:r w:rsidR="00D0057A" w:rsidRPr="0058342D">
        <w:rPr>
          <w:rFonts w:ascii="Times New Roman" w:eastAsia="Times New Roman" w:hAnsi="Times New Roman" w:cs="Times New Roman"/>
          <w:color w:val="000000"/>
          <w:sz w:val="24"/>
          <w:szCs w:val="24"/>
        </w:rPr>
        <w:t xml:space="preserve"> </w:t>
      </w:r>
      <w:r w:rsidRPr="0058342D">
        <w:rPr>
          <w:rFonts w:ascii="Times New Roman" w:eastAsia="Times New Roman" w:hAnsi="Times New Roman" w:cs="Times New Roman"/>
          <w:color w:val="000000"/>
          <w:sz w:val="24"/>
          <w:szCs w:val="24"/>
        </w:rPr>
        <w:t>remains uncertain.</w:t>
      </w:r>
      <w:r w:rsidR="00D0057A">
        <w:rPr>
          <w:rFonts w:ascii="Times New Roman" w:eastAsia="Times New Roman" w:hAnsi="Times New Roman" w:cs="Times New Roman"/>
          <w:color w:val="000000"/>
          <w:sz w:val="24"/>
          <w:szCs w:val="24"/>
        </w:rPr>
        <w:t xml:space="preserve"> </w:t>
      </w:r>
      <w:r w:rsidRPr="0058342D">
        <w:rPr>
          <w:rFonts w:ascii="Times New Roman" w:eastAsia="Times New Roman" w:hAnsi="Times New Roman" w:cs="Times New Roman"/>
          <w:color w:val="000000"/>
          <w:sz w:val="24"/>
          <w:szCs w:val="24"/>
        </w:rPr>
        <w:t xml:space="preserve">As noted in the </w:t>
      </w:r>
      <w:r w:rsidR="00D0057A">
        <w:rPr>
          <w:rFonts w:ascii="Times New Roman" w:eastAsia="Times New Roman" w:hAnsi="Times New Roman" w:cs="Times New Roman"/>
          <w:color w:val="000000"/>
          <w:sz w:val="24"/>
          <w:szCs w:val="24"/>
        </w:rPr>
        <w:t>article</w:t>
      </w:r>
      <w:r w:rsidRPr="0058342D">
        <w:rPr>
          <w:rFonts w:ascii="Times New Roman" w:eastAsia="Times New Roman" w:hAnsi="Times New Roman" w:cs="Times New Roman"/>
          <w:color w:val="000000"/>
          <w:sz w:val="24"/>
          <w:szCs w:val="24"/>
        </w:rPr>
        <w:t>, most derive from deposits of charred crop processing waste found in ovens or kilns and others from a timber-lined grain store.</w:t>
      </w:r>
      <w:r w:rsidR="00D0057A">
        <w:rPr>
          <w:rFonts w:ascii="Times New Roman" w:eastAsia="Times New Roman" w:hAnsi="Times New Roman" w:cs="Times New Roman"/>
          <w:color w:val="000000"/>
          <w:sz w:val="24"/>
          <w:szCs w:val="24"/>
        </w:rPr>
        <w:t xml:space="preserve"> </w:t>
      </w:r>
      <w:r w:rsidRPr="0058342D">
        <w:rPr>
          <w:rFonts w:ascii="Times New Roman" w:eastAsia="Times New Roman" w:hAnsi="Times New Roman" w:cs="Times New Roman"/>
          <w:color w:val="000000"/>
          <w:sz w:val="24"/>
          <w:szCs w:val="24"/>
        </w:rPr>
        <w:t>These deposits are likely to represent the combined harvests of several nearby farms.</w:t>
      </w:r>
      <w:r w:rsidRPr="0058342D">
        <w:rPr>
          <w:rFonts w:ascii="Times New Roman" w:eastAsia="Times New Roman" w:hAnsi="Times New Roman" w:cs="Times New Roman"/>
          <w:sz w:val="24"/>
          <w:szCs w:val="24"/>
        </w:rPr>
        <w:t xml:space="preserve"> </w:t>
      </w:r>
      <w:r w:rsidRPr="0058342D">
        <w:rPr>
          <w:rFonts w:ascii="Times New Roman" w:hAnsi="Times New Roman" w:cs="Times New Roman"/>
          <w:sz w:val="24"/>
          <w:szCs w:val="24"/>
        </w:rPr>
        <w:t xml:space="preserve">A target of ten grains per isotope sample was aimed for but not achievable due to limited grains per context, with samples containing on average </w:t>
      </w:r>
      <w:r w:rsidR="000471CA">
        <w:rPr>
          <w:rFonts w:ascii="Times New Roman" w:hAnsi="Times New Roman" w:cs="Times New Roman"/>
          <w:sz w:val="24"/>
          <w:szCs w:val="24"/>
        </w:rPr>
        <w:t>five</w:t>
      </w:r>
      <w:r w:rsidRPr="0058342D">
        <w:rPr>
          <w:rFonts w:ascii="Times New Roman" w:hAnsi="Times New Roman" w:cs="Times New Roman"/>
          <w:sz w:val="24"/>
          <w:szCs w:val="24"/>
        </w:rPr>
        <w:t xml:space="preserve"> seeds. A target of 5</w:t>
      </w:r>
      <w:r w:rsidR="00D0057A">
        <w:rPr>
          <w:rFonts w:ascii="Times New Roman" w:hAnsi="Times New Roman" w:cs="Times New Roman"/>
          <w:sz w:val="24"/>
          <w:szCs w:val="24"/>
        </w:rPr>
        <w:t>–</w:t>
      </w:r>
      <w:r w:rsidRPr="0058342D">
        <w:rPr>
          <w:rFonts w:ascii="Times New Roman" w:hAnsi="Times New Roman" w:cs="Times New Roman"/>
          <w:sz w:val="24"/>
          <w:szCs w:val="24"/>
        </w:rPr>
        <w:t xml:space="preserve">10 seeds per sample was based on research showing that samples of this size provide reasonable estimates of crop growing conditions, </w:t>
      </w:r>
      <w:r w:rsidR="00D0057A">
        <w:rPr>
          <w:rFonts w:ascii="Times New Roman" w:hAnsi="Times New Roman" w:cs="Times New Roman"/>
          <w:sz w:val="24"/>
          <w:szCs w:val="24"/>
        </w:rPr>
        <w:t>founded</w:t>
      </w:r>
      <w:r w:rsidR="00D0057A" w:rsidRPr="0058342D">
        <w:rPr>
          <w:rFonts w:ascii="Times New Roman" w:hAnsi="Times New Roman" w:cs="Times New Roman"/>
          <w:sz w:val="24"/>
          <w:szCs w:val="24"/>
        </w:rPr>
        <w:t xml:space="preserve"> </w:t>
      </w:r>
      <w:r w:rsidRPr="0058342D">
        <w:rPr>
          <w:rFonts w:ascii="Times New Roman" w:hAnsi="Times New Roman" w:cs="Times New Roman"/>
          <w:sz w:val="24"/>
          <w:szCs w:val="24"/>
        </w:rPr>
        <w:t>on analysis of modern grains from single growing contexts</w:t>
      </w:r>
      <w:r w:rsidRPr="0058342D" w:rsidDel="00D47DDD">
        <w:rPr>
          <w:rFonts w:ascii="Times New Roman" w:hAnsi="Times New Roman" w:cs="Times New Roman"/>
          <w:sz w:val="24"/>
          <w:szCs w:val="24"/>
        </w:rPr>
        <w:t xml:space="preserve"> </w:t>
      </w:r>
      <w:r w:rsidRPr="0058342D">
        <w:rPr>
          <w:rFonts w:ascii="Times New Roman" w:hAnsi="Times New Roman" w:cs="Times New Roman"/>
          <w:noProof/>
          <w:sz w:val="24"/>
          <w:szCs w:val="24"/>
        </w:rPr>
        <w:t>(Nitsch et al., 2015)</w:t>
      </w:r>
      <w:r w:rsidRPr="0058342D">
        <w:rPr>
          <w:rFonts w:ascii="Times New Roman" w:hAnsi="Times New Roman" w:cs="Times New Roman"/>
          <w:sz w:val="24"/>
          <w:szCs w:val="24"/>
        </w:rPr>
        <w:t xml:space="preserve">. The samples were examined microscopically to ascertain whether they were charred within the optimal charring window </w:t>
      </w:r>
      <w:r w:rsidRPr="0058342D">
        <w:rPr>
          <w:rFonts w:ascii="Times New Roman" w:hAnsi="Times New Roman" w:cs="Times New Roman"/>
          <w:noProof/>
          <w:sz w:val="24"/>
          <w:szCs w:val="24"/>
        </w:rPr>
        <w:t>(Charles et al., 2015; Nitsch et al., 2015)</w:t>
      </w:r>
      <w:r w:rsidRPr="0058342D">
        <w:rPr>
          <w:rFonts w:ascii="Times New Roman" w:hAnsi="Times New Roman" w:cs="Times New Roman"/>
          <w:sz w:val="24"/>
          <w:szCs w:val="24"/>
        </w:rPr>
        <w:t xml:space="preserve">. The grains were cleaned of adhering soil by gentle scraping. </w:t>
      </w:r>
    </w:p>
    <w:p w14:paraId="1E6D15F7" w14:textId="0046A1B0" w:rsidR="00945365" w:rsidRDefault="00945365" w:rsidP="0058342D">
      <w:pPr>
        <w:spacing w:after="0" w:line="360" w:lineRule="auto"/>
        <w:ind w:firstLine="720"/>
        <w:rPr>
          <w:rFonts w:ascii="Times New Roman" w:hAnsi="Times New Roman" w:cs="Times New Roman"/>
          <w:sz w:val="24"/>
          <w:szCs w:val="24"/>
        </w:rPr>
      </w:pPr>
      <w:r w:rsidRPr="0058342D">
        <w:rPr>
          <w:rFonts w:ascii="Times New Roman" w:hAnsi="Times New Roman" w:cs="Times New Roman"/>
          <w:sz w:val="24"/>
          <w:szCs w:val="24"/>
        </w:rPr>
        <w:t>Fourier transform infrared spectroscopy analysis was conducted on a subset of the samples to identify possible contaminants. The selected samples included a range of different species, period</w:t>
      </w:r>
      <w:r w:rsidR="00036EC9" w:rsidRPr="0058342D">
        <w:rPr>
          <w:rFonts w:ascii="Times New Roman" w:hAnsi="Times New Roman" w:cs="Times New Roman"/>
          <w:sz w:val="24"/>
          <w:szCs w:val="24"/>
        </w:rPr>
        <w:t>s</w:t>
      </w:r>
      <w:r w:rsidR="00D0057A">
        <w:rPr>
          <w:rFonts w:ascii="Times New Roman" w:hAnsi="Times New Roman" w:cs="Times New Roman"/>
          <w:sz w:val="24"/>
          <w:szCs w:val="24"/>
        </w:rPr>
        <w:t>,</w:t>
      </w:r>
      <w:r w:rsidRPr="0058342D">
        <w:rPr>
          <w:rFonts w:ascii="Times New Roman" w:hAnsi="Times New Roman" w:cs="Times New Roman"/>
          <w:sz w:val="24"/>
          <w:szCs w:val="24"/>
        </w:rPr>
        <w:t xml:space="preserve"> and context</w:t>
      </w:r>
      <w:r w:rsidR="00036EC9" w:rsidRPr="0058342D">
        <w:rPr>
          <w:rFonts w:ascii="Times New Roman" w:hAnsi="Times New Roman" w:cs="Times New Roman"/>
          <w:sz w:val="24"/>
          <w:szCs w:val="24"/>
        </w:rPr>
        <w:t>s,</w:t>
      </w:r>
      <w:r w:rsidRPr="0058342D">
        <w:rPr>
          <w:rFonts w:ascii="Times New Roman" w:hAnsi="Times New Roman" w:cs="Times New Roman"/>
          <w:sz w:val="24"/>
          <w:szCs w:val="24"/>
        </w:rPr>
        <w:t xml:space="preserve"> allowing an understanding of any contaminant within the assemblage. The results ruled out any significant contamination from </w:t>
      </w:r>
      <w:proofErr w:type="spellStart"/>
      <w:r w:rsidRPr="0058342D">
        <w:rPr>
          <w:rFonts w:ascii="Times New Roman" w:hAnsi="Times New Roman" w:cs="Times New Roman"/>
          <w:sz w:val="24"/>
          <w:szCs w:val="24"/>
        </w:rPr>
        <w:t>humics</w:t>
      </w:r>
      <w:proofErr w:type="spellEnd"/>
      <w:r w:rsidRPr="0058342D">
        <w:rPr>
          <w:rFonts w:ascii="Times New Roman" w:hAnsi="Times New Roman" w:cs="Times New Roman"/>
          <w:sz w:val="24"/>
          <w:szCs w:val="24"/>
        </w:rPr>
        <w:t>, nitrates</w:t>
      </w:r>
      <w:r w:rsidR="00AE5415">
        <w:rPr>
          <w:rFonts w:ascii="Times New Roman" w:hAnsi="Times New Roman" w:cs="Times New Roman"/>
          <w:sz w:val="24"/>
          <w:szCs w:val="24"/>
        </w:rPr>
        <w:t>,</w:t>
      </w:r>
      <w:r w:rsidRPr="0058342D">
        <w:rPr>
          <w:rFonts w:ascii="Times New Roman" w:hAnsi="Times New Roman" w:cs="Times New Roman"/>
          <w:sz w:val="24"/>
          <w:szCs w:val="24"/>
        </w:rPr>
        <w:t xml:space="preserve"> or carbonates and the samples were not pre-treated. </w:t>
      </w:r>
    </w:p>
    <w:p w14:paraId="5923AACF" w14:textId="1B4BC801" w:rsidR="0058342D" w:rsidRDefault="0058342D" w:rsidP="0058342D">
      <w:pPr>
        <w:spacing w:after="0" w:line="360" w:lineRule="auto"/>
        <w:rPr>
          <w:rFonts w:ascii="Times New Roman" w:hAnsi="Times New Roman" w:cs="Times New Roman"/>
          <w:sz w:val="24"/>
          <w:szCs w:val="24"/>
        </w:rPr>
      </w:pPr>
    </w:p>
    <w:p w14:paraId="45448A9B" w14:textId="77777777" w:rsidR="00887F33" w:rsidRPr="0058342D" w:rsidRDefault="00887F33" w:rsidP="0058342D">
      <w:pPr>
        <w:spacing w:after="0" w:line="360" w:lineRule="auto"/>
        <w:rPr>
          <w:rFonts w:ascii="Times New Roman" w:hAnsi="Times New Roman" w:cs="Times New Roman"/>
          <w:sz w:val="24"/>
          <w:szCs w:val="24"/>
        </w:rPr>
      </w:pPr>
    </w:p>
    <w:p w14:paraId="75355242" w14:textId="77777777" w:rsidR="00945365" w:rsidRPr="0058342D" w:rsidRDefault="00945365" w:rsidP="000471CA">
      <w:pPr>
        <w:pStyle w:val="Heading1"/>
        <w:spacing w:after="0" w:line="360" w:lineRule="auto"/>
        <w:jc w:val="center"/>
        <w:rPr>
          <w:rFonts w:ascii="Times New Roman" w:hAnsi="Times New Roman" w:cs="Times New Roman"/>
          <w:sz w:val="24"/>
          <w:szCs w:val="24"/>
        </w:rPr>
      </w:pPr>
      <w:r w:rsidRPr="0058342D">
        <w:rPr>
          <w:rFonts w:ascii="Times New Roman" w:hAnsi="Times New Roman" w:cs="Times New Roman"/>
          <w:sz w:val="24"/>
          <w:szCs w:val="24"/>
        </w:rPr>
        <w:lastRenderedPageBreak/>
        <w:t>Isotopic analysis methods and analytical conditions</w:t>
      </w:r>
    </w:p>
    <w:p w14:paraId="19A1A62A" w14:textId="7D3A8D5C" w:rsidR="00945365" w:rsidRPr="0058342D" w:rsidRDefault="00945365" w:rsidP="0058342D">
      <w:pPr>
        <w:spacing w:after="0" w:line="360" w:lineRule="auto"/>
        <w:rPr>
          <w:rFonts w:ascii="Times New Roman" w:hAnsi="Times New Roman" w:cs="Times New Roman"/>
          <w:sz w:val="24"/>
          <w:szCs w:val="24"/>
        </w:rPr>
      </w:pPr>
      <w:r w:rsidRPr="0058342D">
        <w:rPr>
          <w:rFonts w:ascii="Times New Roman" w:hAnsi="Times New Roman" w:cs="Times New Roman"/>
          <w:sz w:val="24"/>
          <w:szCs w:val="24"/>
        </w:rPr>
        <w:t xml:space="preserve">The samples were homogenised and weighed out, with every tenth sample duplicated to facilitate precision calculations. </w:t>
      </w:r>
      <w:r w:rsidR="00AE5415">
        <w:rPr>
          <w:rFonts w:ascii="Times New Roman" w:hAnsi="Times New Roman" w:cs="Times New Roman"/>
          <w:sz w:val="24"/>
          <w:szCs w:val="24"/>
        </w:rPr>
        <w:t>Given</w:t>
      </w:r>
      <w:r w:rsidRPr="0058342D">
        <w:rPr>
          <w:rFonts w:ascii="Times New Roman" w:hAnsi="Times New Roman" w:cs="Times New Roman"/>
          <w:sz w:val="24"/>
          <w:szCs w:val="24"/>
        </w:rPr>
        <w:t xml:space="preserve"> the low %N of the samples, the samples were run separately for carbon and nitrogen. The samples were analysed using a </w:t>
      </w:r>
      <w:proofErr w:type="spellStart"/>
      <w:r w:rsidRPr="0058342D">
        <w:rPr>
          <w:rFonts w:ascii="Times New Roman" w:hAnsi="Times New Roman" w:cs="Times New Roman"/>
          <w:sz w:val="24"/>
          <w:szCs w:val="24"/>
        </w:rPr>
        <w:t>Sercon</w:t>
      </w:r>
      <w:proofErr w:type="spellEnd"/>
      <w:r w:rsidRPr="0058342D">
        <w:rPr>
          <w:rFonts w:ascii="Times New Roman" w:hAnsi="Times New Roman" w:cs="Times New Roman"/>
          <w:sz w:val="24"/>
          <w:szCs w:val="24"/>
        </w:rPr>
        <w:t xml:space="preserve"> 20-22 EA-</w:t>
      </w:r>
      <w:proofErr w:type="spellStart"/>
      <w:r w:rsidRPr="0058342D">
        <w:rPr>
          <w:rFonts w:ascii="Times New Roman" w:hAnsi="Times New Roman" w:cs="Times New Roman"/>
          <w:sz w:val="24"/>
          <w:szCs w:val="24"/>
        </w:rPr>
        <w:t>GSL</w:t>
      </w:r>
      <w:proofErr w:type="spellEnd"/>
      <w:r w:rsidRPr="0058342D">
        <w:rPr>
          <w:rFonts w:ascii="Times New Roman" w:hAnsi="Times New Roman" w:cs="Times New Roman"/>
          <w:sz w:val="24"/>
          <w:szCs w:val="24"/>
        </w:rPr>
        <w:t xml:space="preserve"> isotope mass spectrometer operating in continuous flow mode at the Research Laboratory for Archaeology and the History of Art, University of Oxford. Both raw and drift corrected results were calculated using the in-house Alanine standard. Stable carbon isotopic compositions were calibrated relative to the VPDB scale using IAEA-CH7 and IAEA-CH6. Stable nitrogen isotopic compositions were calibrated relative to the AIR scale using IAEA-N2 and IAEA-N1 (Table S1). The calibration method followed was a two-point calibration, while a </w:t>
      </w:r>
      <w:proofErr w:type="spellStart"/>
      <w:r w:rsidRPr="0058342D">
        <w:rPr>
          <w:rFonts w:ascii="Times New Roman" w:hAnsi="Times New Roman" w:cs="Times New Roman"/>
          <w:sz w:val="24"/>
          <w:szCs w:val="24"/>
        </w:rPr>
        <w:t>Kragten</w:t>
      </w:r>
      <w:proofErr w:type="spellEnd"/>
      <w:r w:rsidRPr="0058342D">
        <w:rPr>
          <w:rFonts w:ascii="Times New Roman" w:hAnsi="Times New Roman" w:cs="Times New Roman"/>
          <w:sz w:val="24"/>
          <w:szCs w:val="24"/>
        </w:rPr>
        <w:t xml:space="preserve">-type spreadsheet was used to calculate </w:t>
      </w:r>
      <w:r w:rsidR="00AE5415">
        <w:rPr>
          <w:rFonts w:ascii="Times New Roman" w:hAnsi="Times New Roman" w:cs="Times New Roman"/>
          <w:sz w:val="24"/>
          <w:szCs w:val="24"/>
        </w:rPr>
        <w:t xml:space="preserve">an </w:t>
      </w:r>
      <w:r w:rsidRPr="0058342D">
        <w:rPr>
          <w:rFonts w:ascii="Times New Roman" w:hAnsi="Times New Roman" w:cs="Times New Roman"/>
          <w:sz w:val="24"/>
          <w:szCs w:val="24"/>
        </w:rPr>
        <w:t>individual sample’s measurement uncertainty using the in</w:t>
      </w:r>
      <w:r w:rsidR="00036EC9" w:rsidRPr="0058342D">
        <w:rPr>
          <w:rFonts w:ascii="Times New Roman" w:hAnsi="Times New Roman" w:cs="Times New Roman"/>
          <w:sz w:val="24"/>
          <w:szCs w:val="24"/>
        </w:rPr>
        <w:t>-</w:t>
      </w:r>
      <w:r w:rsidRPr="0058342D">
        <w:rPr>
          <w:rFonts w:ascii="Times New Roman" w:hAnsi="Times New Roman" w:cs="Times New Roman"/>
          <w:sz w:val="24"/>
          <w:szCs w:val="24"/>
        </w:rPr>
        <w:t xml:space="preserve">house Alanine standard </w:t>
      </w:r>
      <w:r w:rsidRPr="0058342D">
        <w:rPr>
          <w:rFonts w:ascii="Times New Roman" w:hAnsi="Times New Roman" w:cs="Times New Roman"/>
          <w:noProof/>
          <w:sz w:val="24"/>
          <w:szCs w:val="24"/>
        </w:rPr>
        <w:t>(Kragten, 1994)</w:t>
      </w:r>
      <w:r w:rsidRPr="0058342D">
        <w:rPr>
          <w:rFonts w:ascii="Times New Roman" w:hAnsi="Times New Roman" w:cs="Times New Roman"/>
          <w:sz w:val="24"/>
          <w:szCs w:val="24"/>
        </w:rPr>
        <w:t xml:space="preserve">. Measurement uncertainty as per </w:t>
      </w:r>
      <w:proofErr w:type="spellStart"/>
      <w:r w:rsidRPr="0058342D">
        <w:rPr>
          <w:rFonts w:ascii="Times New Roman" w:hAnsi="Times New Roman" w:cs="Times New Roman"/>
          <w:sz w:val="24"/>
          <w:szCs w:val="24"/>
        </w:rPr>
        <w:t>Kragten</w:t>
      </w:r>
      <w:proofErr w:type="spellEnd"/>
      <w:r w:rsidRPr="0058342D">
        <w:rPr>
          <w:rFonts w:ascii="Times New Roman" w:hAnsi="Times New Roman" w:cs="Times New Roman"/>
          <w:sz w:val="24"/>
          <w:szCs w:val="24"/>
        </w:rPr>
        <w:t xml:space="preserve"> averaged 0.18‰ for δ</w:t>
      </w:r>
      <w:r w:rsidRPr="0058342D">
        <w:rPr>
          <w:rFonts w:ascii="Times New Roman" w:hAnsi="Times New Roman" w:cs="Times New Roman"/>
          <w:sz w:val="24"/>
          <w:szCs w:val="24"/>
          <w:vertAlign w:val="superscript"/>
        </w:rPr>
        <w:t>13</w:t>
      </w:r>
      <w:r w:rsidRPr="0058342D">
        <w:rPr>
          <w:rFonts w:ascii="Times New Roman" w:hAnsi="Times New Roman" w:cs="Times New Roman"/>
          <w:sz w:val="24"/>
          <w:szCs w:val="24"/>
        </w:rPr>
        <w:t>C ranging from 0.1‰ to 0.2‰, while for δ</w:t>
      </w:r>
      <w:r w:rsidRPr="0058342D">
        <w:rPr>
          <w:rFonts w:ascii="Times New Roman" w:hAnsi="Times New Roman" w:cs="Times New Roman"/>
          <w:sz w:val="24"/>
          <w:szCs w:val="24"/>
          <w:vertAlign w:val="superscript"/>
        </w:rPr>
        <w:t>15</w:t>
      </w:r>
      <w:r w:rsidRPr="0058342D">
        <w:rPr>
          <w:rFonts w:ascii="Times New Roman" w:hAnsi="Times New Roman" w:cs="Times New Roman"/>
          <w:sz w:val="24"/>
          <w:szCs w:val="24"/>
        </w:rPr>
        <w:t xml:space="preserve">N it averaged at 0.36‰ ranging from 0.27‰ to 0.58‰. </w:t>
      </w:r>
    </w:p>
    <w:p w14:paraId="164202B1" w14:textId="07FD6649" w:rsidR="00945365" w:rsidRPr="0058342D" w:rsidRDefault="00945365" w:rsidP="0058342D">
      <w:pPr>
        <w:spacing w:after="0" w:line="360" w:lineRule="auto"/>
        <w:ind w:firstLine="720"/>
        <w:rPr>
          <w:rFonts w:ascii="Times New Roman" w:hAnsi="Times New Roman" w:cs="Times New Roman"/>
          <w:sz w:val="24"/>
          <w:szCs w:val="24"/>
        </w:rPr>
      </w:pPr>
      <w:r w:rsidRPr="0058342D">
        <w:rPr>
          <w:rFonts w:ascii="Times New Roman" w:hAnsi="Times New Roman" w:cs="Times New Roman"/>
          <w:sz w:val="24"/>
          <w:szCs w:val="24"/>
        </w:rPr>
        <w:t xml:space="preserve">Additional measurement and analytical uncertainty were observed using EMA-P2 (see </w:t>
      </w:r>
      <w:r w:rsidRPr="000471CA">
        <w:rPr>
          <w:rFonts w:ascii="Times New Roman" w:hAnsi="Times New Roman" w:cs="Times New Roman"/>
          <w:sz w:val="24"/>
          <w:szCs w:val="24"/>
          <w:highlight w:val="yellow"/>
        </w:rPr>
        <w:t>Table S1</w:t>
      </w:r>
      <w:r w:rsidRPr="0058342D">
        <w:rPr>
          <w:rFonts w:ascii="Times New Roman" w:hAnsi="Times New Roman" w:cs="Times New Roman"/>
          <w:sz w:val="24"/>
          <w:szCs w:val="24"/>
        </w:rPr>
        <w:t xml:space="preserve">) and sample duplicates (see </w:t>
      </w:r>
      <w:r w:rsidRPr="000471CA">
        <w:rPr>
          <w:rFonts w:ascii="Times New Roman" w:hAnsi="Times New Roman" w:cs="Times New Roman"/>
          <w:sz w:val="24"/>
          <w:szCs w:val="24"/>
          <w:highlight w:val="yellow"/>
        </w:rPr>
        <w:t xml:space="preserve">Table </w:t>
      </w:r>
      <w:proofErr w:type="spellStart"/>
      <w:r w:rsidRPr="000471CA">
        <w:rPr>
          <w:rFonts w:ascii="Times New Roman" w:hAnsi="Times New Roman" w:cs="Times New Roman"/>
          <w:sz w:val="24"/>
          <w:szCs w:val="24"/>
          <w:highlight w:val="yellow"/>
        </w:rPr>
        <w:t>S2</w:t>
      </w:r>
      <w:proofErr w:type="spellEnd"/>
      <w:r w:rsidRPr="0058342D">
        <w:rPr>
          <w:rFonts w:ascii="Times New Roman" w:hAnsi="Times New Roman" w:cs="Times New Roman"/>
          <w:sz w:val="24"/>
          <w:szCs w:val="24"/>
        </w:rPr>
        <w:t xml:space="preserve">) as per </w:t>
      </w:r>
      <w:proofErr w:type="spellStart"/>
      <w:r w:rsidRPr="0058342D">
        <w:rPr>
          <w:rFonts w:ascii="Times New Roman" w:hAnsi="Times New Roman" w:cs="Times New Roman"/>
          <w:sz w:val="24"/>
          <w:szCs w:val="24"/>
        </w:rPr>
        <w:t>Szpak</w:t>
      </w:r>
      <w:proofErr w:type="spellEnd"/>
      <w:r w:rsidRPr="0058342D">
        <w:rPr>
          <w:rFonts w:ascii="Times New Roman" w:hAnsi="Times New Roman" w:cs="Times New Roman"/>
          <w:sz w:val="24"/>
          <w:szCs w:val="24"/>
        </w:rPr>
        <w:t xml:space="preserve"> (2017). Measurement precision (the pooled standard deviations of the P2, calibration standards</w:t>
      </w:r>
      <w:r w:rsidR="00AE5415">
        <w:rPr>
          <w:rFonts w:ascii="Times New Roman" w:hAnsi="Times New Roman" w:cs="Times New Roman"/>
          <w:sz w:val="24"/>
          <w:szCs w:val="24"/>
        </w:rPr>
        <w:t>,</w:t>
      </w:r>
      <w:r w:rsidRPr="0058342D">
        <w:rPr>
          <w:rFonts w:ascii="Times New Roman" w:hAnsi="Times New Roman" w:cs="Times New Roman"/>
          <w:sz w:val="24"/>
          <w:szCs w:val="24"/>
        </w:rPr>
        <w:t xml:space="preserve"> and the sample duplicates) as per </w:t>
      </w:r>
      <w:proofErr w:type="spellStart"/>
      <w:r w:rsidRPr="0058342D">
        <w:rPr>
          <w:rFonts w:ascii="Times New Roman" w:hAnsi="Times New Roman" w:cs="Times New Roman"/>
          <w:sz w:val="24"/>
          <w:szCs w:val="24"/>
        </w:rPr>
        <w:t>Szpak</w:t>
      </w:r>
      <w:proofErr w:type="spellEnd"/>
      <w:r w:rsidRPr="0058342D">
        <w:rPr>
          <w:rFonts w:ascii="Times New Roman" w:hAnsi="Times New Roman" w:cs="Times New Roman"/>
          <w:sz w:val="24"/>
          <w:szCs w:val="24"/>
        </w:rPr>
        <w:t xml:space="preserve"> (2017) was calculated to </w:t>
      </w:r>
      <w:proofErr w:type="spellStart"/>
      <w:r w:rsidRPr="0058342D">
        <w:rPr>
          <w:rFonts w:ascii="Times New Roman" w:hAnsi="Times New Roman" w:cs="Times New Roman"/>
          <w:sz w:val="24"/>
          <w:szCs w:val="24"/>
        </w:rPr>
        <w:t>be±0.12</w:t>
      </w:r>
      <w:proofErr w:type="spellEnd"/>
      <w:r w:rsidRPr="0058342D">
        <w:rPr>
          <w:rFonts w:ascii="Times New Roman" w:hAnsi="Times New Roman" w:cs="Times New Roman"/>
          <w:sz w:val="24"/>
          <w:szCs w:val="24"/>
        </w:rPr>
        <w:t xml:space="preserve">‰ for the </w:t>
      </w:r>
      <w:proofErr w:type="spellStart"/>
      <w:r w:rsidRPr="0058342D">
        <w:rPr>
          <w:rFonts w:ascii="Times New Roman" w:hAnsi="Times New Roman" w:cs="Times New Roman"/>
          <w:sz w:val="24"/>
          <w:szCs w:val="24"/>
        </w:rPr>
        <w:t>δ</w:t>
      </w:r>
      <w:r w:rsidRPr="0058342D">
        <w:rPr>
          <w:rFonts w:ascii="Times New Roman" w:hAnsi="Times New Roman" w:cs="Times New Roman"/>
          <w:sz w:val="24"/>
          <w:szCs w:val="24"/>
          <w:vertAlign w:val="superscript"/>
        </w:rPr>
        <w:t>13</w:t>
      </w:r>
      <w:r w:rsidRPr="0058342D">
        <w:rPr>
          <w:rFonts w:ascii="Times New Roman" w:hAnsi="Times New Roman" w:cs="Times New Roman"/>
          <w:sz w:val="24"/>
          <w:szCs w:val="24"/>
        </w:rPr>
        <w:t>C</w:t>
      </w:r>
      <w:proofErr w:type="spellEnd"/>
      <w:r w:rsidRPr="0058342D">
        <w:rPr>
          <w:rFonts w:ascii="Times New Roman" w:hAnsi="Times New Roman" w:cs="Times New Roman"/>
          <w:sz w:val="24"/>
          <w:szCs w:val="24"/>
        </w:rPr>
        <w:t xml:space="preserve"> </w:t>
      </w:r>
      <w:proofErr w:type="spellStart"/>
      <w:r w:rsidRPr="0058342D">
        <w:rPr>
          <w:rFonts w:ascii="Times New Roman" w:hAnsi="Times New Roman" w:cs="Times New Roman"/>
          <w:sz w:val="24"/>
          <w:szCs w:val="24"/>
        </w:rPr>
        <w:t>and±0.5</w:t>
      </w:r>
      <w:proofErr w:type="spellEnd"/>
      <w:r w:rsidRPr="0058342D">
        <w:rPr>
          <w:rFonts w:ascii="Times New Roman" w:hAnsi="Times New Roman" w:cs="Times New Roman"/>
          <w:sz w:val="24"/>
          <w:szCs w:val="24"/>
        </w:rPr>
        <w:t xml:space="preserve">‰ for the </w:t>
      </w:r>
      <w:proofErr w:type="spellStart"/>
      <w:r w:rsidRPr="0058342D">
        <w:rPr>
          <w:rFonts w:ascii="Times New Roman" w:hAnsi="Times New Roman" w:cs="Times New Roman"/>
          <w:sz w:val="24"/>
          <w:szCs w:val="24"/>
        </w:rPr>
        <w:t>δ</w:t>
      </w:r>
      <w:r w:rsidRPr="0058342D">
        <w:rPr>
          <w:rFonts w:ascii="Times New Roman" w:hAnsi="Times New Roman" w:cs="Times New Roman"/>
          <w:sz w:val="24"/>
          <w:szCs w:val="24"/>
          <w:vertAlign w:val="superscript"/>
        </w:rPr>
        <w:t>15</w:t>
      </w:r>
      <w:r w:rsidRPr="0058342D">
        <w:rPr>
          <w:rFonts w:ascii="Times New Roman" w:hAnsi="Times New Roman" w:cs="Times New Roman"/>
          <w:sz w:val="24"/>
          <w:szCs w:val="24"/>
        </w:rPr>
        <w:t>N</w:t>
      </w:r>
      <w:proofErr w:type="spellEnd"/>
      <w:r w:rsidRPr="0058342D">
        <w:rPr>
          <w:rFonts w:ascii="Times New Roman" w:hAnsi="Times New Roman" w:cs="Times New Roman"/>
          <w:sz w:val="24"/>
          <w:szCs w:val="24"/>
        </w:rPr>
        <w:t xml:space="preserve">. Systematic error was determined to </w:t>
      </w:r>
      <w:proofErr w:type="spellStart"/>
      <w:r w:rsidRPr="0058342D">
        <w:rPr>
          <w:rFonts w:ascii="Times New Roman" w:hAnsi="Times New Roman" w:cs="Times New Roman"/>
          <w:sz w:val="24"/>
          <w:szCs w:val="24"/>
        </w:rPr>
        <w:t>be±0.1</w:t>
      </w:r>
      <w:proofErr w:type="spellEnd"/>
      <w:r w:rsidRPr="0058342D">
        <w:rPr>
          <w:rFonts w:ascii="Times New Roman" w:hAnsi="Times New Roman" w:cs="Times New Roman"/>
          <w:sz w:val="24"/>
          <w:szCs w:val="24"/>
        </w:rPr>
        <w:t xml:space="preserve">‰ for </w:t>
      </w:r>
      <w:proofErr w:type="spellStart"/>
      <w:r w:rsidRPr="0058342D">
        <w:rPr>
          <w:rFonts w:ascii="Times New Roman" w:hAnsi="Times New Roman" w:cs="Times New Roman"/>
          <w:sz w:val="24"/>
          <w:szCs w:val="24"/>
        </w:rPr>
        <w:t>δ</w:t>
      </w:r>
      <w:r w:rsidRPr="0058342D">
        <w:rPr>
          <w:rFonts w:ascii="Times New Roman" w:hAnsi="Times New Roman" w:cs="Times New Roman"/>
          <w:sz w:val="24"/>
          <w:szCs w:val="24"/>
          <w:vertAlign w:val="superscript"/>
        </w:rPr>
        <w:t>13</w:t>
      </w:r>
      <w:r w:rsidRPr="0058342D">
        <w:rPr>
          <w:rFonts w:ascii="Times New Roman" w:hAnsi="Times New Roman" w:cs="Times New Roman"/>
          <w:sz w:val="24"/>
          <w:szCs w:val="24"/>
        </w:rPr>
        <w:t>C</w:t>
      </w:r>
      <w:proofErr w:type="spellEnd"/>
      <w:r w:rsidRPr="0058342D">
        <w:rPr>
          <w:rFonts w:ascii="Times New Roman" w:hAnsi="Times New Roman" w:cs="Times New Roman"/>
          <w:sz w:val="24"/>
          <w:szCs w:val="24"/>
        </w:rPr>
        <w:t xml:space="preserve"> </w:t>
      </w:r>
      <w:proofErr w:type="spellStart"/>
      <w:r w:rsidRPr="0058342D">
        <w:rPr>
          <w:rFonts w:ascii="Times New Roman" w:hAnsi="Times New Roman" w:cs="Times New Roman"/>
          <w:sz w:val="24"/>
          <w:szCs w:val="24"/>
        </w:rPr>
        <w:t>and±0.35</w:t>
      </w:r>
      <w:proofErr w:type="spellEnd"/>
      <w:r w:rsidRPr="0058342D">
        <w:rPr>
          <w:rFonts w:ascii="Times New Roman" w:hAnsi="Times New Roman" w:cs="Times New Roman"/>
          <w:sz w:val="24"/>
          <w:szCs w:val="24"/>
        </w:rPr>
        <w:t>‰ for δ</w:t>
      </w:r>
      <w:r w:rsidRPr="0058342D">
        <w:rPr>
          <w:rFonts w:ascii="Times New Roman" w:hAnsi="Times New Roman" w:cs="Times New Roman"/>
          <w:sz w:val="24"/>
          <w:szCs w:val="24"/>
          <w:vertAlign w:val="superscript"/>
        </w:rPr>
        <w:t>15</w:t>
      </w:r>
      <w:r w:rsidRPr="0058342D">
        <w:rPr>
          <w:rFonts w:ascii="Times New Roman" w:hAnsi="Times New Roman" w:cs="Times New Roman"/>
          <w:sz w:val="24"/>
          <w:szCs w:val="24"/>
        </w:rPr>
        <w:t xml:space="preserve">N based on the difference between the measured and known δ values of the check standard and the check standard’s long-term standard deviation. Total analytical uncertainty, calculated as per </w:t>
      </w:r>
      <w:proofErr w:type="spellStart"/>
      <w:r w:rsidRPr="0058342D">
        <w:rPr>
          <w:rFonts w:ascii="Times New Roman" w:hAnsi="Times New Roman" w:cs="Times New Roman"/>
          <w:sz w:val="24"/>
          <w:szCs w:val="24"/>
        </w:rPr>
        <w:t>Szpak</w:t>
      </w:r>
      <w:proofErr w:type="spellEnd"/>
      <w:r w:rsidRPr="0058342D">
        <w:rPr>
          <w:rFonts w:ascii="Times New Roman" w:hAnsi="Times New Roman" w:cs="Times New Roman"/>
          <w:sz w:val="24"/>
          <w:szCs w:val="24"/>
        </w:rPr>
        <w:t xml:space="preserve"> </w:t>
      </w:r>
      <w:r w:rsidRPr="0058342D">
        <w:rPr>
          <w:rFonts w:ascii="Times New Roman" w:hAnsi="Times New Roman" w:cs="Times New Roman"/>
          <w:noProof/>
          <w:sz w:val="24"/>
          <w:szCs w:val="24"/>
        </w:rPr>
        <w:t>(2017)</w:t>
      </w:r>
      <w:r w:rsidRPr="0058342D">
        <w:rPr>
          <w:rFonts w:ascii="Times New Roman" w:hAnsi="Times New Roman" w:cs="Times New Roman"/>
          <w:sz w:val="24"/>
          <w:szCs w:val="24"/>
        </w:rPr>
        <w:t>, was estimated to be 0.15‰ for δ</w:t>
      </w:r>
      <w:r w:rsidRPr="0058342D">
        <w:rPr>
          <w:rFonts w:ascii="Times New Roman" w:hAnsi="Times New Roman" w:cs="Times New Roman"/>
          <w:sz w:val="24"/>
          <w:szCs w:val="24"/>
          <w:vertAlign w:val="superscript"/>
        </w:rPr>
        <w:t>13</w:t>
      </w:r>
      <w:r w:rsidRPr="0058342D">
        <w:rPr>
          <w:rFonts w:ascii="Times New Roman" w:hAnsi="Times New Roman" w:cs="Times New Roman"/>
          <w:sz w:val="24"/>
          <w:szCs w:val="24"/>
        </w:rPr>
        <w:t>C and 0.61‰ for δ</w:t>
      </w:r>
      <w:r w:rsidRPr="0058342D">
        <w:rPr>
          <w:rFonts w:ascii="Times New Roman" w:hAnsi="Times New Roman" w:cs="Times New Roman"/>
          <w:sz w:val="24"/>
          <w:szCs w:val="24"/>
          <w:vertAlign w:val="superscript"/>
        </w:rPr>
        <w:t>15</w:t>
      </w:r>
      <w:r w:rsidRPr="0058342D">
        <w:rPr>
          <w:rFonts w:ascii="Times New Roman" w:hAnsi="Times New Roman" w:cs="Times New Roman"/>
          <w:sz w:val="24"/>
          <w:szCs w:val="24"/>
        </w:rPr>
        <w:t xml:space="preserve">N. All calculations were performed using the statistical programming language R (3.5.0). The samples were not corrected for charring as they are not compared to uncharred or non-plant data. Full analytical results are provided in </w:t>
      </w:r>
      <w:r w:rsidR="000122A2" w:rsidRPr="000471CA">
        <w:rPr>
          <w:rFonts w:ascii="Times New Roman" w:hAnsi="Times New Roman" w:cs="Times New Roman"/>
          <w:sz w:val="24"/>
          <w:szCs w:val="24"/>
          <w:highlight w:val="yellow"/>
        </w:rPr>
        <w:t>T</w:t>
      </w:r>
      <w:r w:rsidRPr="000471CA">
        <w:rPr>
          <w:rFonts w:ascii="Times New Roman" w:hAnsi="Times New Roman" w:cs="Times New Roman"/>
          <w:sz w:val="24"/>
          <w:szCs w:val="24"/>
          <w:highlight w:val="yellow"/>
        </w:rPr>
        <w:t xml:space="preserve">able </w:t>
      </w:r>
      <w:r w:rsidR="000122A2" w:rsidRPr="000471CA">
        <w:rPr>
          <w:rFonts w:ascii="Times New Roman" w:hAnsi="Times New Roman" w:cs="Times New Roman"/>
          <w:sz w:val="24"/>
          <w:szCs w:val="24"/>
          <w:highlight w:val="yellow"/>
        </w:rPr>
        <w:t>S</w:t>
      </w:r>
      <w:r w:rsidRPr="000471CA">
        <w:rPr>
          <w:rFonts w:ascii="Times New Roman" w:hAnsi="Times New Roman" w:cs="Times New Roman"/>
          <w:sz w:val="24"/>
          <w:szCs w:val="24"/>
          <w:highlight w:val="yellow"/>
        </w:rPr>
        <w:t>3</w:t>
      </w:r>
      <w:r w:rsidRPr="0058342D">
        <w:rPr>
          <w:rFonts w:ascii="Times New Roman" w:hAnsi="Times New Roman" w:cs="Times New Roman"/>
          <w:sz w:val="24"/>
          <w:szCs w:val="24"/>
        </w:rPr>
        <w:t xml:space="preserve">. </w:t>
      </w:r>
    </w:p>
    <w:p w14:paraId="7185C8A1" w14:textId="2F126648" w:rsidR="00945365" w:rsidRPr="0058342D" w:rsidRDefault="00945365" w:rsidP="0058342D">
      <w:pPr>
        <w:spacing w:after="0" w:line="360" w:lineRule="auto"/>
        <w:rPr>
          <w:rFonts w:ascii="Times New Roman" w:hAnsi="Times New Roman" w:cs="Times New Roman"/>
          <w:sz w:val="24"/>
          <w:szCs w:val="24"/>
        </w:rPr>
      </w:pPr>
    </w:p>
    <w:p w14:paraId="28C9D8B8" w14:textId="77777777" w:rsidR="00887F33" w:rsidRDefault="00887F33">
      <w:pPr>
        <w:rPr>
          <w:rFonts w:ascii="Times New Roman" w:hAnsi="Times New Roman" w:cs="Times New Roman"/>
          <w:b/>
          <w:i/>
          <w:iCs/>
          <w:sz w:val="24"/>
          <w:szCs w:val="24"/>
        </w:rPr>
      </w:pPr>
      <w:r>
        <w:rPr>
          <w:rFonts w:ascii="Times New Roman" w:hAnsi="Times New Roman" w:cs="Times New Roman"/>
          <w:b/>
          <w:i/>
          <w:iCs/>
          <w:sz w:val="24"/>
          <w:szCs w:val="24"/>
        </w:rPr>
        <w:br w:type="page"/>
      </w:r>
    </w:p>
    <w:p w14:paraId="346EBAFB" w14:textId="178D74E3" w:rsidR="00945365" w:rsidRPr="0058342D" w:rsidRDefault="00945365" w:rsidP="0058342D">
      <w:pPr>
        <w:spacing w:after="0" w:line="360" w:lineRule="auto"/>
        <w:rPr>
          <w:rFonts w:ascii="Times New Roman" w:hAnsi="Times New Roman" w:cs="Times New Roman"/>
          <w:i/>
          <w:iCs/>
          <w:sz w:val="24"/>
          <w:szCs w:val="24"/>
        </w:rPr>
      </w:pPr>
      <w:r w:rsidRPr="0058342D">
        <w:rPr>
          <w:rFonts w:ascii="Times New Roman" w:hAnsi="Times New Roman" w:cs="Times New Roman"/>
          <w:b/>
          <w:i/>
          <w:iCs/>
          <w:sz w:val="24"/>
          <w:szCs w:val="24"/>
        </w:rPr>
        <w:lastRenderedPageBreak/>
        <w:t xml:space="preserve">Table </w:t>
      </w:r>
      <w:proofErr w:type="spellStart"/>
      <w:r w:rsidRPr="0058342D">
        <w:rPr>
          <w:rFonts w:ascii="Times New Roman" w:hAnsi="Times New Roman" w:cs="Times New Roman"/>
          <w:b/>
          <w:i/>
          <w:iCs/>
          <w:sz w:val="24"/>
          <w:szCs w:val="24"/>
        </w:rPr>
        <w:t>S1</w:t>
      </w:r>
      <w:proofErr w:type="spellEnd"/>
      <w:r w:rsidRPr="0058342D">
        <w:rPr>
          <w:rFonts w:ascii="Times New Roman" w:hAnsi="Times New Roman" w:cs="Times New Roman"/>
          <w:b/>
          <w:i/>
          <w:iCs/>
          <w:sz w:val="24"/>
          <w:szCs w:val="24"/>
        </w:rPr>
        <w:t>.</w:t>
      </w:r>
      <w:r w:rsidRPr="0058342D">
        <w:rPr>
          <w:rFonts w:ascii="Times New Roman" w:hAnsi="Times New Roman" w:cs="Times New Roman"/>
          <w:i/>
          <w:iCs/>
          <w:sz w:val="24"/>
          <w:szCs w:val="24"/>
        </w:rPr>
        <w:t xml:space="preserve"> </w:t>
      </w:r>
      <w:r w:rsidR="00AE5415" w:rsidRPr="0058342D">
        <w:rPr>
          <w:rFonts w:ascii="Times New Roman" w:hAnsi="Times New Roman" w:cs="Times New Roman"/>
          <w:i/>
          <w:iCs/>
          <w:sz w:val="24"/>
          <w:szCs w:val="24"/>
        </w:rPr>
        <w:t xml:space="preserve">Mean </w:t>
      </w:r>
      <w:r w:rsidRPr="0058342D">
        <w:rPr>
          <w:rFonts w:ascii="Times New Roman" w:hAnsi="Times New Roman" w:cs="Times New Roman"/>
          <w:i/>
          <w:iCs/>
          <w:sz w:val="24"/>
          <w:szCs w:val="24"/>
        </w:rPr>
        <w:t xml:space="preserve">and standard deviation of all check and calibration standards for the analytical sessions from which the data presented in this </w:t>
      </w:r>
      <w:r w:rsidR="00AE5415">
        <w:rPr>
          <w:rFonts w:ascii="Times New Roman" w:hAnsi="Times New Roman" w:cs="Times New Roman"/>
          <w:i/>
          <w:iCs/>
          <w:sz w:val="24"/>
          <w:szCs w:val="24"/>
        </w:rPr>
        <w:t>article</w:t>
      </w:r>
      <w:r w:rsidR="00AE5415" w:rsidRPr="0058342D">
        <w:rPr>
          <w:rFonts w:ascii="Times New Roman" w:hAnsi="Times New Roman" w:cs="Times New Roman"/>
          <w:i/>
          <w:iCs/>
          <w:sz w:val="24"/>
          <w:szCs w:val="24"/>
        </w:rPr>
        <w:t xml:space="preserve"> </w:t>
      </w:r>
      <w:r w:rsidRPr="0058342D">
        <w:rPr>
          <w:rFonts w:ascii="Times New Roman" w:hAnsi="Times New Roman" w:cs="Times New Roman"/>
          <w:i/>
          <w:iCs/>
          <w:sz w:val="24"/>
          <w:szCs w:val="24"/>
        </w:rPr>
        <w:t>are derived.</w:t>
      </w:r>
    </w:p>
    <w:tbl>
      <w:tblPr>
        <w:tblStyle w:val="TableGrid"/>
        <w:tblW w:w="9180" w:type="dxa"/>
        <w:tblLook w:val="04A0" w:firstRow="1" w:lastRow="0" w:firstColumn="1" w:lastColumn="0" w:noHBand="0" w:noVBand="1"/>
      </w:tblPr>
      <w:tblGrid>
        <w:gridCol w:w="2058"/>
        <w:gridCol w:w="1105"/>
        <w:gridCol w:w="1481"/>
        <w:gridCol w:w="2127"/>
        <w:gridCol w:w="2409"/>
      </w:tblGrid>
      <w:tr w:rsidR="00945365" w:rsidRPr="000471CA" w14:paraId="6040A5FF" w14:textId="77777777" w:rsidTr="00887F33">
        <w:trPr>
          <w:trHeight w:val="320"/>
        </w:trPr>
        <w:tc>
          <w:tcPr>
            <w:tcW w:w="2058" w:type="dxa"/>
            <w:noWrap/>
            <w:hideMark/>
          </w:tcPr>
          <w:p w14:paraId="27B41ADB" w14:textId="77777777" w:rsidR="00945365" w:rsidRPr="00887F33" w:rsidRDefault="00945365" w:rsidP="0031109F">
            <w:pPr>
              <w:rPr>
                <w:rFonts w:ascii="Times New Roman" w:hAnsi="Times New Roman" w:cs="Times New Roman"/>
                <w:b/>
                <w:color w:val="000000"/>
                <w:sz w:val="24"/>
                <w:szCs w:val="24"/>
              </w:rPr>
            </w:pPr>
            <w:r w:rsidRPr="00887F33">
              <w:rPr>
                <w:rFonts w:ascii="Times New Roman" w:hAnsi="Times New Roman" w:cs="Times New Roman"/>
                <w:b/>
                <w:color w:val="000000"/>
                <w:sz w:val="24"/>
                <w:szCs w:val="24"/>
              </w:rPr>
              <w:t>Carbon Standards</w:t>
            </w:r>
          </w:p>
        </w:tc>
        <w:tc>
          <w:tcPr>
            <w:tcW w:w="1105" w:type="dxa"/>
            <w:noWrap/>
            <w:hideMark/>
          </w:tcPr>
          <w:p w14:paraId="437719F3" w14:textId="77777777" w:rsidR="00945365" w:rsidRPr="00887F33" w:rsidRDefault="00945365" w:rsidP="0031109F">
            <w:pPr>
              <w:rPr>
                <w:rFonts w:ascii="Times New Roman" w:hAnsi="Times New Roman" w:cs="Times New Roman"/>
                <w:b/>
                <w:color w:val="000000"/>
                <w:sz w:val="24"/>
                <w:szCs w:val="24"/>
              </w:rPr>
            </w:pPr>
            <w:r w:rsidRPr="00887F33">
              <w:rPr>
                <w:rFonts w:ascii="Times New Roman" w:hAnsi="Times New Roman" w:cs="Times New Roman"/>
                <w:b/>
                <w:color w:val="000000"/>
                <w:sz w:val="24"/>
                <w:szCs w:val="24"/>
              </w:rPr>
              <w:t>Number</w:t>
            </w:r>
          </w:p>
        </w:tc>
        <w:tc>
          <w:tcPr>
            <w:tcW w:w="1481" w:type="dxa"/>
            <w:noWrap/>
            <w:hideMark/>
          </w:tcPr>
          <w:p w14:paraId="4B2B69AD" w14:textId="77777777" w:rsidR="00945365" w:rsidRPr="00887F33" w:rsidRDefault="00945365" w:rsidP="0031109F">
            <w:pPr>
              <w:rPr>
                <w:rFonts w:ascii="Times New Roman" w:hAnsi="Times New Roman" w:cs="Times New Roman"/>
                <w:b/>
                <w:color w:val="000000"/>
                <w:sz w:val="24"/>
                <w:szCs w:val="24"/>
              </w:rPr>
            </w:pPr>
            <w:r w:rsidRPr="00887F33">
              <w:rPr>
                <w:rFonts w:ascii="Times New Roman" w:hAnsi="Times New Roman" w:cs="Times New Roman"/>
                <w:b/>
                <w:color w:val="000000"/>
                <w:sz w:val="24"/>
                <w:szCs w:val="24"/>
              </w:rPr>
              <w:t>δ</w:t>
            </w:r>
            <w:r w:rsidRPr="00887F33">
              <w:rPr>
                <w:rFonts w:ascii="Times New Roman" w:hAnsi="Times New Roman" w:cs="Times New Roman"/>
                <w:b/>
                <w:color w:val="000000"/>
                <w:sz w:val="24"/>
                <w:szCs w:val="24"/>
                <w:vertAlign w:val="superscript"/>
              </w:rPr>
              <w:t>13</w:t>
            </w:r>
            <w:r w:rsidRPr="00887F33">
              <w:rPr>
                <w:rFonts w:ascii="Times New Roman" w:hAnsi="Times New Roman" w:cs="Times New Roman"/>
                <w:b/>
                <w:color w:val="000000"/>
                <w:sz w:val="24"/>
                <w:szCs w:val="24"/>
              </w:rPr>
              <w:t>C mean</w:t>
            </w:r>
          </w:p>
        </w:tc>
        <w:tc>
          <w:tcPr>
            <w:tcW w:w="2127" w:type="dxa"/>
            <w:noWrap/>
            <w:hideMark/>
          </w:tcPr>
          <w:p w14:paraId="5B81E8FD" w14:textId="77777777" w:rsidR="00945365" w:rsidRPr="00887F33" w:rsidRDefault="00945365" w:rsidP="0031109F">
            <w:pPr>
              <w:rPr>
                <w:rFonts w:ascii="Times New Roman" w:hAnsi="Times New Roman" w:cs="Times New Roman"/>
                <w:b/>
                <w:color w:val="000000"/>
                <w:sz w:val="24"/>
                <w:szCs w:val="24"/>
              </w:rPr>
            </w:pPr>
            <w:r w:rsidRPr="00887F33">
              <w:rPr>
                <w:rFonts w:ascii="Times New Roman" w:hAnsi="Times New Roman" w:cs="Times New Roman"/>
                <w:b/>
                <w:color w:val="000000"/>
                <w:sz w:val="24"/>
                <w:szCs w:val="24"/>
              </w:rPr>
              <w:t>δ</w:t>
            </w:r>
            <w:r w:rsidRPr="00887F33">
              <w:rPr>
                <w:rFonts w:ascii="Times New Roman" w:hAnsi="Times New Roman" w:cs="Times New Roman"/>
                <w:b/>
                <w:color w:val="000000"/>
                <w:sz w:val="24"/>
                <w:szCs w:val="24"/>
                <w:vertAlign w:val="superscript"/>
              </w:rPr>
              <w:t>13</w:t>
            </w:r>
            <w:r w:rsidRPr="00887F33">
              <w:rPr>
                <w:rFonts w:ascii="Times New Roman" w:hAnsi="Times New Roman" w:cs="Times New Roman"/>
                <w:b/>
                <w:color w:val="000000"/>
                <w:sz w:val="24"/>
                <w:szCs w:val="24"/>
              </w:rPr>
              <w:t>C Sd</w:t>
            </w:r>
          </w:p>
        </w:tc>
        <w:tc>
          <w:tcPr>
            <w:tcW w:w="2409" w:type="dxa"/>
            <w:noWrap/>
            <w:hideMark/>
          </w:tcPr>
          <w:p w14:paraId="21D41544" w14:textId="77777777" w:rsidR="00945365" w:rsidRPr="00887F33" w:rsidRDefault="00945365" w:rsidP="0031109F">
            <w:pPr>
              <w:rPr>
                <w:rFonts w:ascii="Times New Roman" w:hAnsi="Times New Roman" w:cs="Times New Roman"/>
                <w:b/>
                <w:color w:val="000000"/>
                <w:sz w:val="24"/>
                <w:szCs w:val="24"/>
              </w:rPr>
            </w:pPr>
            <w:r w:rsidRPr="00887F33">
              <w:rPr>
                <w:rFonts w:ascii="Times New Roman" w:hAnsi="Times New Roman" w:cs="Times New Roman"/>
                <w:b/>
                <w:color w:val="000000"/>
                <w:sz w:val="24"/>
                <w:szCs w:val="24"/>
              </w:rPr>
              <w:t>Session</w:t>
            </w:r>
          </w:p>
        </w:tc>
      </w:tr>
      <w:tr w:rsidR="00945365" w:rsidRPr="000471CA" w14:paraId="6CBC2D63" w14:textId="77777777" w:rsidTr="00887F33">
        <w:trPr>
          <w:trHeight w:val="320"/>
        </w:trPr>
        <w:tc>
          <w:tcPr>
            <w:tcW w:w="2058" w:type="dxa"/>
            <w:noWrap/>
            <w:hideMark/>
          </w:tcPr>
          <w:p w14:paraId="2B2D0EBD"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CH6</w:t>
            </w:r>
          </w:p>
        </w:tc>
        <w:tc>
          <w:tcPr>
            <w:tcW w:w="1105" w:type="dxa"/>
            <w:noWrap/>
            <w:hideMark/>
          </w:tcPr>
          <w:p w14:paraId="7A9B4019"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3</w:t>
            </w:r>
          </w:p>
        </w:tc>
        <w:tc>
          <w:tcPr>
            <w:tcW w:w="1481" w:type="dxa"/>
            <w:noWrap/>
            <w:hideMark/>
          </w:tcPr>
          <w:p w14:paraId="30F6FE50"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-10.45</w:t>
            </w:r>
          </w:p>
        </w:tc>
        <w:tc>
          <w:tcPr>
            <w:tcW w:w="2127" w:type="dxa"/>
            <w:noWrap/>
            <w:hideMark/>
          </w:tcPr>
          <w:p w14:paraId="0E8706E0"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0.06</w:t>
            </w:r>
          </w:p>
        </w:tc>
        <w:tc>
          <w:tcPr>
            <w:tcW w:w="2409" w:type="dxa"/>
            <w:noWrap/>
            <w:hideMark/>
          </w:tcPr>
          <w:p w14:paraId="6D1F819C"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180907</w:t>
            </w:r>
          </w:p>
        </w:tc>
      </w:tr>
      <w:tr w:rsidR="00945365" w:rsidRPr="000471CA" w14:paraId="6B0D0B6A" w14:textId="77777777" w:rsidTr="00887F33">
        <w:trPr>
          <w:trHeight w:val="320"/>
        </w:trPr>
        <w:tc>
          <w:tcPr>
            <w:tcW w:w="2058" w:type="dxa"/>
            <w:noWrap/>
            <w:hideMark/>
          </w:tcPr>
          <w:p w14:paraId="0A262894"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CH7</w:t>
            </w:r>
          </w:p>
        </w:tc>
        <w:tc>
          <w:tcPr>
            <w:tcW w:w="1105" w:type="dxa"/>
            <w:noWrap/>
            <w:hideMark/>
          </w:tcPr>
          <w:p w14:paraId="74EF61BF"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3</w:t>
            </w:r>
          </w:p>
        </w:tc>
        <w:tc>
          <w:tcPr>
            <w:tcW w:w="1481" w:type="dxa"/>
            <w:noWrap/>
            <w:hideMark/>
          </w:tcPr>
          <w:p w14:paraId="1E85CE21"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-32.15</w:t>
            </w:r>
          </w:p>
        </w:tc>
        <w:tc>
          <w:tcPr>
            <w:tcW w:w="2127" w:type="dxa"/>
            <w:noWrap/>
            <w:hideMark/>
          </w:tcPr>
          <w:p w14:paraId="0E41977E"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0.06</w:t>
            </w:r>
          </w:p>
        </w:tc>
        <w:tc>
          <w:tcPr>
            <w:tcW w:w="2409" w:type="dxa"/>
            <w:noWrap/>
            <w:hideMark/>
          </w:tcPr>
          <w:p w14:paraId="055D658A"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180907</w:t>
            </w:r>
          </w:p>
        </w:tc>
      </w:tr>
      <w:tr w:rsidR="00945365" w:rsidRPr="000471CA" w14:paraId="15C8DADC" w14:textId="77777777" w:rsidTr="00887F33">
        <w:trPr>
          <w:trHeight w:val="320"/>
        </w:trPr>
        <w:tc>
          <w:tcPr>
            <w:tcW w:w="2058" w:type="dxa"/>
            <w:noWrap/>
            <w:hideMark/>
          </w:tcPr>
          <w:p w14:paraId="6E7BC8C2"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P2</w:t>
            </w:r>
          </w:p>
        </w:tc>
        <w:tc>
          <w:tcPr>
            <w:tcW w:w="1105" w:type="dxa"/>
            <w:noWrap/>
            <w:hideMark/>
          </w:tcPr>
          <w:p w14:paraId="1DD19FDB"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3</w:t>
            </w:r>
          </w:p>
        </w:tc>
        <w:tc>
          <w:tcPr>
            <w:tcW w:w="1481" w:type="dxa"/>
            <w:noWrap/>
            <w:hideMark/>
          </w:tcPr>
          <w:p w14:paraId="0DEE6542"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-28.21</w:t>
            </w:r>
          </w:p>
        </w:tc>
        <w:tc>
          <w:tcPr>
            <w:tcW w:w="2127" w:type="dxa"/>
            <w:noWrap/>
            <w:hideMark/>
          </w:tcPr>
          <w:p w14:paraId="0DAF6082"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0.12</w:t>
            </w:r>
          </w:p>
        </w:tc>
        <w:tc>
          <w:tcPr>
            <w:tcW w:w="2409" w:type="dxa"/>
            <w:noWrap/>
            <w:hideMark/>
          </w:tcPr>
          <w:p w14:paraId="1C16124D"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180907</w:t>
            </w:r>
          </w:p>
        </w:tc>
      </w:tr>
      <w:tr w:rsidR="00945365" w:rsidRPr="000471CA" w14:paraId="37395A7B" w14:textId="77777777" w:rsidTr="00887F33">
        <w:trPr>
          <w:trHeight w:val="320"/>
        </w:trPr>
        <w:tc>
          <w:tcPr>
            <w:tcW w:w="2058" w:type="dxa"/>
            <w:noWrap/>
            <w:hideMark/>
          </w:tcPr>
          <w:p w14:paraId="5580D6F4"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ALANINE</w:t>
            </w:r>
          </w:p>
        </w:tc>
        <w:tc>
          <w:tcPr>
            <w:tcW w:w="1105" w:type="dxa"/>
            <w:noWrap/>
            <w:hideMark/>
          </w:tcPr>
          <w:p w14:paraId="4AC32ED9"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6</w:t>
            </w:r>
          </w:p>
        </w:tc>
        <w:tc>
          <w:tcPr>
            <w:tcW w:w="1481" w:type="dxa"/>
            <w:noWrap/>
            <w:hideMark/>
          </w:tcPr>
          <w:p w14:paraId="3CE91D5D"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-27.17</w:t>
            </w:r>
          </w:p>
        </w:tc>
        <w:tc>
          <w:tcPr>
            <w:tcW w:w="2127" w:type="dxa"/>
            <w:noWrap/>
            <w:hideMark/>
          </w:tcPr>
          <w:p w14:paraId="56184D27"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0.03</w:t>
            </w:r>
          </w:p>
        </w:tc>
        <w:tc>
          <w:tcPr>
            <w:tcW w:w="2409" w:type="dxa"/>
            <w:noWrap/>
            <w:hideMark/>
          </w:tcPr>
          <w:p w14:paraId="7D54BF3C"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180907</w:t>
            </w:r>
          </w:p>
        </w:tc>
      </w:tr>
      <w:tr w:rsidR="00945365" w:rsidRPr="000471CA" w14:paraId="2E769DB3" w14:textId="77777777" w:rsidTr="00887F33">
        <w:trPr>
          <w:trHeight w:val="320"/>
        </w:trPr>
        <w:tc>
          <w:tcPr>
            <w:tcW w:w="2058" w:type="dxa"/>
            <w:noWrap/>
            <w:hideMark/>
          </w:tcPr>
          <w:p w14:paraId="2E50F9ED"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CH6</w:t>
            </w:r>
          </w:p>
        </w:tc>
        <w:tc>
          <w:tcPr>
            <w:tcW w:w="1105" w:type="dxa"/>
            <w:noWrap/>
            <w:hideMark/>
          </w:tcPr>
          <w:p w14:paraId="7390B962"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6</w:t>
            </w:r>
          </w:p>
        </w:tc>
        <w:tc>
          <w:tcPr>
            <w:tcW w:w="1481" w:type="dxa"/>
            <w:noWrap/>
            <w:hideMark/>
          </w:tcPr>
          <w:p w14:paraId="1224DEF6"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-10.45</w:t>
            </w:r>
          </w:p>
        </w:tc>
        <w:tc>
          <w:tcPr>
            <w:tcW w:w="2127" w:type="dxa"/>
            <w:noWrap/>
            <w:hideMark/>
          </w:tcPr>
          <w:p w14:paraId="2B8A4EAC"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0.11</w:t>
            </w:r>
          </w:p>
        </w:tc>
        <w:tc>
          <w:tcPr>
            <w:tcW w:w="2409" w:type="dxa"/>
            <w:noWrap/>
            <w:hideMark/>
          </w:tcPr>
          <w:p w14:paraId="73F8E503"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180822A</w:t>
            </w:r>
          </w:p>
        </w:tc>
      </w:tr>
      <w:tr w:rsidR="00945365" w:rsidRPr="000471CA" w14:paraId="332138E3" w14:textId="77777777" w:rsidTr="00887F33">
        <w:trPr>
          <w:trHeight w:val="320"/>
        </w:trPr>
        <w:tc>
          <w:tcPr>
            <w:tcW w:w="2058" w:type="dxa"/>
            <w:noWrap/>
            <w:hideMark/>
          </w:tcPr>
          <w:p w14:paraId="178CAE60"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CH7</w:t>
            </w:r>
          </w:p>
        </w:tc>
        <w:tc>
          <w:tcPr>
            <w:tcW w:w="1105" w:type="dxa"/>
            <w:noWrap/>
            <w:hideMark/>
          </w:tcPr>
          <w:p w14:paraId="0B0A6442"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5</w:t>
            </w:r>
          </w:p>
        </w:tc>
        <w:tc>
          <w:tcPr>
            <w:tcW w:w="1481" w:type="dxa"/>
            <w:noWrap/>
            <w:hideMark/>
          </w:tcPr>
          <w:p w14:paraId="28B4E11D"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-32.15</w:t>
            </w:r>
          </w:p>
        </w:tc>
        <w:tc>
          <w:tcPr>
            <w:tcW w:w="2127" w:type="dxa"/>
            <w:noWrap/>
            <w:hideMark/>
          </w:tcPr>
          <w:p w14:paraId="3E2CE4A9"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0.11</w:t>
            </w:r>
          </w:p>
        </w:tc>
        <w:tc>
          <w:tcPr>
            <w:tcW w:w="2409" w:type="dxa"/>
            <w:noWrap/>
            <w:hideMark/>
          </w:tcPr>
          <w:p w14:paraId="5B4CFA0A"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180822A</w:t>
            </w:r>
          </w:p>
        </w:tc>
      </w:tr>
      <w:tr w:rsidR="00945365" w:rsidRPr="000471CA" w14:paraId="2EC1F2B6" w14:textId="77777777" w:rsidTr="00887F33">
        <w:trPr>
          <w:trHeight w:val="320"/>
        </w:trPr>
        <w:tc>
          <w:tcPr>
            <w:tcW w:w="2058" w:type="dxa"/>
            <w:noWrap/>
            <w:hideMark/>
          </w:tcPr>
          <w:p w14:paraId="1C901B7B"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P2</w:t>
            </w:r>
          </w:p>
        </w:tc>
        <w:tc>
          <w:tcPr>
            <w:tcW w:w="1105" w:type="dxa"/>
            <w:noWrap/>
            <w:hideMark/>
          </w:tcPr>
          <w:p w14:paraId="5F7B0E4E"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6</w:t>
            </w:r>
          </w:p>
        </w:tc>
        <w:tc>
          <w:tcPr>
            <w:tcW w:w="1481" w:type="dxa"/>
            <w:noWrap/>
            <w:hideMark/>
          </w:tcPr>
          <w:p w14:paraId="0EE0B143"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-28.34</w:t>
            </w:r>
          </w:p>
        </w:tc>
        <w:tc>
          <w:tcPr>
            <w:tcW w:w="2127" w:type="dxa"/>
            <w:noWrap/>
            <w:hideMark/>
          </w:tcPr>
          <w:p w14:paraId="5CFD1288"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0.04</w:t>
            </w:r>
          </w:p>
        </w:tc>
        <w:tc>
          <w:tcPr>
            <w:tcW w:w="2409" w:type="dxa"/>
            <w:noWrap/>
            <w:hideMark/>
          </w:tcPr>
          <w:p w14:paraId="73BCD846"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180822A</w:t>
            </w:r>
          </w:p>
        </w:tc>
      </w:tr>
      <w:tr w:rsidR="00945365" w:rsidRPr="000471CA" w14:paraId="49585F0B" w14:textId="77777777" w:rsidTr="00887F33">
        <w:trPr>
          <w:trHeight w:val="320"/>
        </w:trPr>
        <w:tc>
          <w:tcPr>
            <w:tcW w:w="2058" w:type="dxa"/>
            <w:noWrap/>
            <w:hideMark/>
          </w:tcPr>
          <w:p w14:paraId="6188FE91"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ALANINE</w:t>
            </w:r>
          </w:p>
        </w:tc>
        <w:tc>
          <w:tcPr>
            <w:tcW w:w="1105" w:type="dxa"/>
            <w:noWrap/>
            <w:hideMark/>
          </w:tcPr>
          <w:p w14:paraId="5F9AE155"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11</w:t>
            </w:r>
          </w:p>
        </w:tc>
        <w:tc>
          <w:tcPr>
            <w:tcW w:w="1481" w:type="dxa"/>
            <w:noWrap/>
            <w:hideMark/>
          </w:tcPr>
          <w:p w14:paraId="53C35FDB"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-27.11</w:t>
            </w:r>
          </w:p>
        </w:tc>
        <w:tc>
          <w:tcPr>
            <w:tcW w:w="2127" w:type="dxa"/>
            <w:noWrap/>
            <w:hideMark/>
          </w:tcPr>
          <w:p w14:paraId="09413692"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0.18</w:t>
            </w:r>
          </w:p>
        </w:tc>
        <w:tc>
          <w:tcPr>
            <w:tcW w:w="2409" w:type="dxa"/>
            <w:noWrap/>
            <w:hideMark/>
          </w:tcPr>
          <w:p w14:paraId="25D722A2"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180822A</w:t>
            </w:r>
          </w:p>
        </w:tc>
      </w:tr>
      <w:tr w:rsidR="00945365" w:rsidRPr="000471CA" w14:paraId="1A32DA8A" w14:textId="77777777" w:rsidTr="00887F33">
        <w:trPr>
          <w:trHeight w:val="320"/>
        </w:trPr>
        <w:tc>
          <w:tcPr>
            <w:tcW w:w="2058" w:type="dxa"/>
            <w:noWrap/>
            <w:hideMark/>
          </w:tcPr>
          <w:p w14:paraId="5E42F9B1"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CH6</w:t>
            </w:r>
          </w:p>
        </w:tc>
        <w:tc>
          <w:tcPr>
            <w:tcW w:w="1105" w:type="dxa"/>
            <w:noWrap/>
            <w:hideMark/>
          </w:tcPr>
          <w:p w14:paraId="4A71ED31"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4</w:t>
            </w:r>
          </w:p>
        </w:tc>
        <w:tc>
          <w:tcPr>
            <w:tcW w:w="1481" w:type="dxa"/>
            <w:noWrap/>
            <w:hideMark/>
          </w:tcPr>
          <w:p w14:paraId="0FA54E3D"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-10.45</w:t>
            </w:r>
          </w:p>
        </w:tc>
        <w:tc>
          <w:tcPr>
            <w:tcW w:w="2127" w:type="dxa"/>
            <w:noWrap/>
            <w:hideMark/>
          </w:tcPr>
          <w:p w14:paraId="53B7410B"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0.10</w:t>
            </w:r>
          </w:p>
        </w:tc>
        <w:tc>
          <w:tcPr>
            <w:tcW w:w="2409" w:type="dxa"/>
            <w:noWrap/>
            <w:hideMark/>
          </w:tcPr>
          <w:p w14:paraId="38471664"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180813a</w:t>
            </w:r>
          </w:p>
        </w:tc>
      </w:tr>
      <w:tr w:rsidR="00945365" w:rsidRPr="000471CA" w14:paraId="63677D92" w14:textId="77777777" w:rsidTr="00887F33">
        <w:trPr>
          <w:trHeight w:val="320"/>
        </w:trPr>
        <w:tc>
          <w:tcPr>
            <w:tcW w:w="2058" w:type="dxa"/>
            <w:noWrap/>
            <w:hideMark/>
          </w:tcPr>
          <w:p w14:paraId="2BF69C4D"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CH7</w:t>
            </w:r>
          </w:p>
        </w:tc>
        <w:tc>
          <w:tcPr>
            <w:tcW w:w="1105" w:type="dxa"/>
            <w:noWrap/>
            <w:hideMark/>
          </w:tcPr>
          <w:p w14:paraId="2ED70A58"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4</w:t>
            </w:r>
          </w:p>
        </w:tc>
        <w:tc>
          <w:tcPr>
            <w:tcW w:w="1481" w:type="dxa"/>
            <w:noWrap/>
            <w:hideMark/>
          </w:tcPr>
          <w:p w14:paraId="0AB499AE"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-32.15</w:t>
            </w:r>
          </w:p>
        </w:tc>
        <w:tc>
          <w:tcPr>
            <w:tcW w:w="2127" w:type="dxa"/>
            <w:noWrap/>
            <w:hideMark/>
          </w:tcPr>
          <w:p w14:paraId="4D78552B"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0.07</w:t>
            </w:r>
          </w:p>
        </w:tc>
        <w:tc>
          <w:tcPr>
            <w:tcW w:w="2409" w:type="dxa"/>
            <w:noWrap/>
            <w:hideMark/>
          </w:tcPr>
          <w:p w14:paraId="1C682BDD"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180813a</w:t>
            </w:r>
          </w:p>
        </w:tc>
      </w:tr>
      <w:tr w:rsidR="00945365" w:rsidRPr="000471CA" w14:paraId="1CB6D5B4" w14:textId="77777777" w:rsidTr="00887F33">
        <w:trPr>
          <w:trHeight w:val="320"/>
        </w:trPr>
        <w:tc>
          <w:tcPr>
            <w:tcW w:w="2058" w:type="dxa"/>
            <w:noWrap/>
            <w:hideMark/>
          </w:tcPr>
          <w:p w14:paraId="14494466"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P2</w:t>
            </w:r>
          </w:p>
        </w:tc>
        <w:tc>
          <w:tcPr>
            <w:tcW w:w="1105" w:type="dxa"/>
            <w:noWrap/>
            <w:hideMark/>
          </w:tcPr>
          <w:p w14:paraId="59D1C848"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4</w:t>
            </w:r>
          </w:p>
        </w:tc>
        <w:tc>
          <w:tcPr>
            <w:tcW w:w="1481" w:type="dxa"/>
            <w:noWrap/>
            <w:hideMark/>
          </w:tcPr>
          <w:p w14:paraId="5FFD5A15"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-28.31</w:t>
            </w:r>
          </w:p>
        </w:tc>
        <w:tc>
          <w:tcPr>
            <w:tcW w:w="2127" w:type="dxa"/>
            <w:noWrap/>
            <w:hideMark/>
          </w:tcPr>
          <w:p w14:paraId="1575AF00"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0.13</w:t>
            </w:r>
          </w:p>
        </w:tc>
        <w:tc>
          <w:tcPr>
            <w:tcW w:w="2409" w:type="dxa"/>
            <w:noWrap/>
            <w:hideMark/>
          </w:tcPr>
          <w:p w14:paraId="5EC73E88"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180813a</w:t>
            </w:r>
          </w:p>
        </w:tc>
      </w:tr>
      <w:tr w:rsidR="00945365" w:rsidRPr="000471CA" w14:paraId="518B0190" w14:textId="77777777" w:rsidTr="00887F33">
        <w:trPr>
          <w:trHeight w:val="320"/>
        </w:trPr>
        <w:tc>
          <w:tcPr>
            <w:tcW w:w="2058" w:type="dxa"/>
            <w:noWrap/>
            <w:hideMark/>
          </w:tcPr>
          <w:p w14:paraId="2D311C41"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ALANINE</w:t>
            </w:r>
          </w:p>
        </w:tc>
        <w:tc>
          <w:tcPr>
            <w:tcW w:w="1105" w:type="dxa"/>
            <w:noWrap/>
            <w:hideMark/>
          </w:tcPr>
          <w:p w14:paraId="5015B67D"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8</w:t>
            </w:r>
          </w:p>
        </w:tc>
        <w:tc>
          <w:tcPr>
            <w:tcW w:w="1481" w:type="dxa"/>
            <w:noWrap/>
            <w:hideMark/>
          </w:tcPr>
          <w:p w14:paraId="6C06C12F"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-27.13</w:t>
            </w:r>
          </w:p>
        </w:tc>
        <w:tc>
          <w:tcPr>
            <w:tcW w:w="2127" w:type="dxa"/>
            <w:noWrap/>
            <w:hideMark/>
          </w:tcPr>
          <w:p w14:paraId="5A2E17DE"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0.08</w:t>
            </w:r>
          </w:p>
        </w:tc>
        <w:tc>
          <w:tcPr>
            <w:tcW w:w="2409" w:type="dxa"/>
            <w:noWrap/>
            <w:hideMark/>
          </w:tcPr>
          <w:p w14:paraId="355679CA"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180813a</w:t>
            </w:r>
          </w:p>
        </w:tc>
      </w:tr>
      <w:tr w:rsidR="00945365" w:rsidRPr="000471CA" w14:paraId="478AD53E" w14:textId="77777777" w:rsidTr="00887F33">
        <w:trPr>
          <w:trHeight w:val="320"/>
        </w:trPr>
        <w:tc>
          <w:tcPr>
            <w:tcW w:w="2058" w:type="dxa"/>
            <w:noWrap/>
            <w:hideMark/>
          </w:tcPr>
          <w:p w14:paraId="5CC7E094"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CH6</w:t>
            </w:r>
          </w:p>
        </w:tc>
        <w:tc>
          <w:tcPr>
            <w:tcW w:w="1105" w:type="dxa"/>
            <w:noWrap/>
            <w:hideMark/>
          </w:tcPr>
          <w:p w14:paraId="7AFF83D9"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5</w:t>
            </w:r>
          </w:p>
        </w:tc>
        <w:tc>
          <w:tcPr>
            <w:tcW w:w="1481" w:type="dxa"/>
            <w:noWrap/>
            <w:hideMark/>
          </w:tcPr>
          <w:p w14:paraId="3772263A"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-10.45</w:t>
            </w:r>
          </w:p>
        </w:tc>
        <w:tc>
          <w:tcPr>
            <w:tcW w:w="2127" w:type="dxa"/>
            <w:noWrap/>
            <w:hideMark/>
          </w:tcPr>
          <w:p w14:paraId="3131456E"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0.03</w:t>
            </w:r>
          </w:p>
        </w:tc>
        <w:tc>
          <w:tcPr>
            <w:tcW w:w="2409" w:type="dxa"/>
            <w:noWrap/>
            <w:hideMark/>
          </w:tcPr>
          <w:p w14:paraId="4A4155F1"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181031</w:t>
            </w:r>
          </w:p>
        </w:tc>
      </w:tr>
      <w:tr w:rsidR="00945365" w:rsidRPr="000471CA" w14:paraId="62BFE386" w14:textId="77777777" w:rsidTr="00887F33">
        <w:trPr>
          <w:trHeight w:val="320"/>
        </w:trPr>
        <w:tc>
          <w:tcPr>
            <w:tcW w:w="2058" w:type="dxa"/>
            <w:noWrap/>
            <w:hideMark/>
          </w:tcPr>
          <w:p w14:paraId="34238B6F"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CH7</w:t>
            </w:r>
          </w:p>
        </w:tc>
        <w:tc>
          <w:tcPr>
            <w:tcW w:w="1105" w:type="dxa"/>
            <w:noWrap/>
            <w:hideMark/>
          </w:tcPr>
          <w:p w14:paraId="52A8E7FB"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4</w:t>
            </w:r>
          </w:p>
        </w:tc>
        <w:tc>
          <w:tcPr>
            <w:tcW w:w="1481" w:type="dxa"/>
            <w:noWrap/>
            <w:hideMark/>
          </w:tcPr>
          <w:p w14:paraId="34D86D0A"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-32.15</w:t>
            </w:r>
          </w:p>
        </w:tc>
        <w:tc>
          <w:tcPr>
            <w:tcW w:w="2127" w:type="dxa"/>
            <w:noWrap/>
            <w:hideMark/>
          </w:tcPr>
          <w:p w14:paraId="6DDBDED7"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0.01</w:t>
            </w:r>
          </w:p>
        </w:tc>
        <w:tc>
          <w:tcPr>
            <w:tcW w:w="2409" w:type="dxa"/>
            <w:noWrap/>
            <w:hideMark/>
          </w:tcPr>
          <w:p w14:paraId="2700BF84"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181031</w:t>
            </w:r>
          </w:p>
        </w:tc>
      </w:tr>
      <w:tr w:rsidR="00945365" w:rsidRPr="000471CA" w14:paraId="213E7BB2" w14:textId="77777777" w:rsidTr="00887F33">
        <w:trPr>
          <w:trHeight w:val="320"/>
        </w:trPr>
        <w:tc>
          <w:tcPr>
            <w:tcW w:w="2058" w:type="dxa"/>
            <w:noWrap/>
            <w:hideMark/>
          </w:tcPr>
          <w:p w14:paraId="76886AD6"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P2</w:t>
            </w:r>
          </w:p>
        </w:tc>
        <w:tc>
          <w:tcPr>
            <w:tcW w:w="1105" w:type="dxa"/>
            <w:noWrap/>
            <w:hideMark/>
          </w:tcPr>
          <w:p w14:paraId="6A7787CE"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5</w:t>
            </w:r>
          </w:p>
        </w:tc>
        <w:tc>
          <w:tcPr>
            <w:tcW w:w="1481" w:type="dxa"/>
            <w:noWrap/>
            <w:hideMark/>
          </w:tcPr>
          <w:p w14:paraId="06A1D19E"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-28.33</w:t>
            </w:r>
          </w:p>
        </w:tc>
        <w:tc>
          <w:tcPr>
            <w:tcW w:w="2127" w:type="dxa"/>
            <w:noWrap/>
            <w:hideMark/>
          </w:tcPr>
          <w:p w14:paraId="08F33D78"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0.05</w:t>
            </w:r>
          </w:p>
        </w:tc>
        <w:tc>
          <w:tcPr>
            <w:tcW w:w="2409" w:type="dxa"/>
            <w:noWrap/>
            <w:hideMark/>
          </w:tcPr>
          <w:p w14:paraId="7689D85E"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181031</w:t>
            </w:r>
          </w:p>
        </w:tc>
      </w:tr>
      <w:tr w:rsidR="00945365" w:rsidRPr="000471CA" w14:paraId="342B2893" w14:textId="77777777" w:rsidTr="00887F33">
        <w:trPr>
          <w:trHeight w:val="320"/>
        </w:trPr>
        <w:tc>
          <w:tcPr>
            <w:tcW w:w="2058" w:type="dxa"/>
            <w:noWrap/>
            <w:hideMark/>
          </w:tcPr>
          <w:p w14:paraId="751C2491" w14:textId="77777777" w:rsidR="00945365" w:rsidRPr="00887F33" w:rsidRDefault="00945365" w:rsidP="0031109F">
            <w:pPr>
              <w:rPr>
                <w:rFonts w:ascii="Times New Roman" w:hAnsi="Times New Roman" w:cs="Times New Roman"/>
                <w:color w:val="000000"/>
                <w:sz w:val="24"/>
                <w:szCs w:val="24"/>
              </w:rPr>
            </w:pPr>
            <w:r w:rsidRPr="00887F33">
              <w:rPr>
                <w:rFonts w:ascii="Times New Roman" w:hAnsi="Times New Roman" w:cs="Times New Roman"/>
                <w:color w:val="000000"/>
                <w:sz w:val="24"/>
                <w:szCs w:val="24"/>
              </w:rPr>
              <w:t>ALANINE</w:t>
            </w:r>
          </w:p>
        </w:tc>
        <w:tc>
          <w:tcPr>
            <w:tcW w:w="1105" w:type="dxa"/>
            <w:noWrap/>
            <w:hideMark/>
          </w:tcPr>
          <w:p w14:paraId="53B3C4C3"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7</w:t>
            </w:r>
          </w:p>
        </w:tc>
        <w:tc>
          <w:tcPr>
            <w:tcW w:w="1481" w:type="dxa"/>
            <w:noWrap/>
            <w:hideMark/>
          </w:tcPr>
          <w:p w14:paraId="329050DF"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-27.23</w:t>
            </w:r>
          </w:p>
        </w:tc>
        <w:tc>
          <w:tcPr>
            <w:tcW w:w="2127" w:type="dxa"/>
            <w:noWrap/>
            <w:hideMark/>
          </w:tcPr>
          <w:p w14:paraId="657B414B"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0.07</w:t>
            </w:r>
          </w:p>
        </w:tc>
        <w:tc>
          <w:tcPr>
            <w:tcW w:w="2409" w:type="dxa"/>
            <w:noWrap/>
            <w:hideMark/>
          </w:tcPr>
          <w:p w14:paraId="4484C29F" w14:textId="77777777" w:rsidR="00945365" w:rsidRPr="00887F33" w:rsidRDefault="00945365" w:rsidP="0031109F">
            <w:pPr>
              <w:jc w:val="right"/>
              <w:rPr>
                <w:rFonts w:ascii="Times New Roman" w:hAnsi="Times New Roman" w:cs="Times New Roman"/>
                <w:color w:val="000000"/>
                <w:sz w:val="24"/>
                <w:szCs w:val="24"/>
              </w:rPr>
            </w:pPr>
            <w:r w:rsidRPr="00887F33">
              <w:rPr>
                <w:rFonts w:ascii="Times New Roman" w:hAnsi="Times New Roman" w:cs="Times New Roman"/>
                <w:color w:val="000000"/>
                <w:sz w:val="24"/>
                <w:szCs w:val="24"/>
              </w:rPr>
              <w:t>181031</w:t>
            </w:r>
          </w:p>
        </w:tc>
      </w:tr>
      <w:tr w:rsidR="00945365" w:rsidRPr="000471CA" w14:paraId="5F46C84A" w14:textId="77777777" w:rsidTr="00887F33">
        <w:trPr>
          <w:trHeight w:val="320"/>
        </w:trPr>
        <w:tc>
          <w:tcPr>
            <w:tcW w:w="2058" w:type="dxa"/>
            <w:noWrap/>
          </w:tcPr>
          <w:p w14:paraId="76C06EEF" w14:textId="77777777" w:rsidR="00945365" w:rsidRPr="00887F33" w:rsidRDefault="00945365" w:rsidP="0031109F">
            <w:pPr>
              <w:rPr>
                <w:rFonts w:ascii="Times New Roman" w:eastAsia="Times New Roman" w:hAnsi="Times New Roman" w:cs="Times New Roman"/>
                <w:b/>
                <w:color w:val="000000"/>
                <w:sz w:val="24"/>
                <w:szCs w:val="24"/>
              </w:rPr>
            </w:pPr>
            <w:r w:rsidRPr="00887F33">
              <w:rPr>
                <w:rFonts w:ascii="Times New Roman" w:eastAsia="Times New Roman" w:hAnsi="Times New Roman" w:cs="Times New Roman"/>
                <w:b/>
                <w:color w:val="000000"/>
                <w:sz w:val="24"/>
                <w:szCs w:val="24"/>
              </w:rPr>
              <w:t>Nitrogen Standards</w:t>
            </w:r>
          </w:p>
        </w:tc>
        <w:tc>
          <w:tcPr>
            <w:tcW w:w="1105" w:type="dxa"/>
            <w:noWrap/>
          </w:tcPr>
          <w:p w14:paraId="4F6CB75E" w14:textId="77777777" w:rsidR="00945365" w:rsidRPr="00887F33" w:rsidRDefault="00945365" w:rsidP="0031109F">
            <w:pPr>
              <w:rPr>
                <w:rFonts w:ascii="Times New Roman" w:eastAsia="Times New Roman" w:hAnsi="Times New Roman" w:cs="Times New Roman"/>
                <w:b/>
                <w:color w:val="000000"/>
                <w:sz w:val="24"/>
                <w:szCs w:val="24"/>
              </w:rPr>
            </w:pPr>
            <w:r w:rsidRPr="00887F33">
              <w:rPr>
                <w:rFonts w:ascii="Times New Roman" w:eastAsia="Times New Roman" w:hAnsi="Times New Roman" w:cs="Times New Roman"/>
                <w:b/>
                <w:color w:val="000000"/>
                <w:sz w:val="24"/>
                <w:szCs w:val="24"/>
              </w:rPr>
              <w:t>Number</w:t>
            </w:r>
          </w:p>
        </w:tc>
        <w:tc>
          <w:tcPr>
            <w:tcW w:w="1481" w:type="dxa"/>
            <w:noWrap/>
          </w:tcPr>
          <w:p w14:paraId="18C3643F" w14:textId="77777777" w:rsidR="00945365" w:rsidRPr="00887F33" w:rsidRDefault="00945365" w:rsidP="0031109F">
            <w:pPr>
              <w:rPr>
                <w:rFonts w:ascii="Times New Roman" w:eastAsia="Times New Roman" w:hAnsi="Times New Roman" w:cs="Times New Roman"/>
                <w:b/>
                <w:color w:val="000000"/>
                <w:sz w:val="24"/>
                <w:szCs w:val="24"/>
              </w:rPr>
            </w:pPr>
            <w:r w:rsidRPr="00887F33">
              <w:rPr>
                <w:rFonts w:ascii="Times New Roman" w:eastAsia="Times New Roman" w:hAnsi="Times New Roman" w:cs="Times New Roman"/>
                <w:b/>
                <w:color w:val="000000"/>
                <w:sz w:val="24"/>
                <w:szCs w:val="24"/>
              </w:rPr>
              <w:t>δ</w:t>
            </w:r>
            <w:r w:rsidRPr="00887F33">
              <w:rPr>
                <w:rFonts w:ascii="Times New Roman" w:eastAsia="Times New Roman" w:hAnsi="Times New Roman" w:cs="Times New Roman"/>
                <w:b/>
                <w:color w:val="000000"/>
                <w:sz w:val="24"/>
                <w:szCs w:val="24"/>
                <w:vertAlign w:val="superscript"/>
              </w:rPr>
              <w:t>15</w:t>
            </w:r>
            <w:r w:rsidRPr="00887F33">
              <w:rPr>
                <w:rFonts w:ascii="Times New Roman" w:eastAsia="Times New Roman" w:hAnsi="Times New Roman" w:cs="Times New Roman"/>
                <w:b/>
                <w:color w:val="000000"/>
                <w:sz w:val="24"/>
                <w:szCs w:val="24"/>
              </w:rPr>
              <w:t>N mean</w:t>
            </w:r>
          </w:p>
        </w:tc>
        <w:tc>
          <w:tcPr>
            <w:tcW w:w="2127" w:type="dxa"/>
            <w:noWrap/>
          </w:tcPr>
          <w:p w14:paraId="1AE98939" w14:textId="77777777" w:rsidR="00945365" w:rsidRPr="00887F33" w:rsidRDefault="00945365" w:rsidP="0031109F">
            <w:pPr>
              <w:rPr>
                <w:rFonts w:ascii="Times New Roman" w:eastAsia="Times New Roman" w:hAnsi="Times New Roman" w:cs="Times New Roman"/>
                <w:b/>
                <w:color w:val="000000"/>
                <w:sz w:val="24"/>
                <w:szCs w:val="24"/>
              </w:rPr>
            </w:pPr>
            <w:r w:rsidRPr="00887F33">
              <w:rPr>
                <w:rFonts w:ascii="Times New Roman" w:eastAsia="Times New Roman" w:hAnsi="Times New Roman" w:cs="Times New Roman"/>
                <w:b/>
                <w:color w:val="000000"/>
                <w:sz w:val="24"/>
                <w:szCs w:val="24"/>
              </w:rPr>
              <w:t>δ</w:t>
            </w:r>
            <w:r w:rsidRPr="00887F33">
              <w:rPr>
                <w:rFonts w:ascii="Times New Roman" w:eastAsia="Times New Roman" w:hAnsi="Times New Roman" w:cs="Times New Roman"/>
                <w:b/>
                <w:color w:val="000000"/>
                <w:sz w:val="24"/>
                <w:szCs w:val="24"/>
                <w:vertAlign w:val="superscript"/>
              </w:rPr>
              <w:t>15</w:t>
            </w:r>
            <w:r w:rsidRPr="00887F33">
              <w:rPr>
                <w:rFonts w:ascii="Times New Roman" w:eastAsia="Times New Roman" w:hAnsi="Times New Roman" w:cs="Times New Roman"/>
                <w:b/>
                <w:color w:val="000000"/>
                <w:sz w:val="24"/>
                <w:szCs w:val="24"/>
              </w:rPr>
              <w:t>Nsd</w:t>
            </w:r>
          </w:p>
        </w:tc>
        <w:tc>
          <w:tcPr>
            <w:tcW w:w="2409" w:type="dxa"/>
            <w:noWrap/>
          </w:tcPr>
          <w:p w14:paraId="0C421C5D" w14:textId="77777777" w:rsidR="00945365" w:rsidRPr="00887F33" w:rsidRDefault="00945365" w:rsidP="0031109F">
            <w:pPr>
              <w:rPr>
                <w:rFonts w:ascii="Times New Roman" w:eastAsia="Times New Roman" w:hAnsi="Times New Roman" w:cs="Times New Roman"/>
                <w:b/>
                <w:color w:val="000000"/>
                <w:sz w:val="24"/>
                <w:szCs w:val="24"/>
              </w:rPr>
            </w:pPr>
            <w:r w:rsidRPr="00887F33">
              <w:rPr>
                <w:rFonts w:ascii="Times New Roman" w:eastAsia="Times New Roman" w:hAnsi="Times New Roman" w:cs="Times New Roman"/>
                <w:b/>
                <w:color w:val="000000"/>
                <w:sz w:val="24"/>
                <w:szCs w:val="24"/>
              </w:rPr>
              <w:t>Session</w:t>
            </w:r>
          </w:p>
        </w:tc>
      </w:tr>
      <w:tr w:rsidR="00945365" w:rsidRPr="000471CA" w14:paraId="5D68E76C" w14:textId="77777777" w:rsidTr="00887F33">
        <w:trPr>
          <w:trHeight w:val="320"/>
        </w:trPr>
        <w:tc>
          <w:tcPr>
            <w:tcW w:w="2058" w:type="dxa"/>
            <w:noWrap/>
          </w:tcPr>
          <w:p w14:paraId="397EBB0A"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N1</w:t>
            </w:r>
          </w:p>
        </w:tc>
        <w:tc>
          <w:tcPr>
            <w:tcW w:w="1105" w:type="dxa"/>
            <w:noWrap/>
          </w:tcPr>
          <w:p w14:paraId="4DDA47A6"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7</w:t>
            </w:r>
          </w:p>
        </w:tc>
        <w:tc>
          <w:tcPr>
            <w:tcW w:w="1481" w:type="dxa"/>
            <w:noWrap/>
          </w:tcPr>
          <w:p w14:paraId="49FB7D0D"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-0.40</w:t>
            </w:r>
          </w:p>
        </w:tc>
        <w:tc>
          <w:tcPr>
            <w:tcW w:w="2127" w:type="dxa"/>
            <w:noWrap/>
          </w:tcPr>
          <w:p w14:paraId="4FF93C14"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0.29</w:t>
            </w:r>
          </w:p>
        </w:tc>
        <w:tc>
          <w:tcPr>
            <w:tcW w:w="2409" w:type="dxa"/>
            <w:noWrap/>
          </w:tcPr>
          <w:p w14:paraId="2782BBBC"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180904</w:t>
            </w:r>
          </w:p>
        </w:tc>
      </w:tr>
      <w:tr w:rsidR="00945365" w:rsidRPr="000471CA" w14:paraId="55990C66" w14:textId="77777777" w:rsidTr="00887F33">
        <w:trPr>
          <w:trHeight w:val="320"/>
        </w:trPr>
        <w:tc>
          <w:tcPr>
            <w:tcW w:w="2058" w:type="dxa"/>
            <w:noWrap/>
          </w:tcPr>
          <w:p w14:paraId="1C83090E"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N2</w:t>
            </w:r>
          </w:p>
        </w:tc>
        <w:tc>
          <w:tcPr>
            <w:tcW w:w="1105" w:type="dxa"/>
            <w:noWrap/>
          </w:tcPr>
          <w:p w14:paraId="69FF2A5C"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6</w:t>
            </w:r>
          </w:p>
        </w:tc>
        <w:tc>
          <w:tcPr>
            <w:tcW w:w="1481" w:type="dxa"/>
            <w:noWrap/>
          </w:tcPr>
          <w:p w14:paraId="7D09082D"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20.30</w:t>
            </w:r>
          </w:p>
        </w:tc>
        <w:tc>
          <w:tcPr>
            <w:tcW w:w="2127" w:type="dxa"/>
            <w:noWrap/>
          </w:tcPr>
          <w:p w14:paraId="5E8B90BF"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0.56</w:t>
            </w:r>
          </w:p>
        </w:tc>
        <w:tc>
          <w:tcPr>
            <w:tcW w:w="2409" w:type="dxa"/>
            <w:noWrap/>
          </w:tcPr>
          <w:p w14:paraId="2B3CC688"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180904</w:t>
            </w:r>
          </w:p>
        </w:tc>
      </w:tr>
      <w:tr w:rsidR="00945365" w:rsidRPr="000471CA" w14:paraId="00D143F0" w14:textId="77777777" w:rsidTr="00887F33">
        <w:trPr>
          <w:trHeight w:val="320"/>
        </w:trPr>
        <w:tc>
          <w:tcPr>
            <w:tcW w:w="2058" w:type="dxa"/>
            <w:noWrap/>
          </w:tcPr>
          <w:p w14:paraId="6B7D7959"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P2</w:t>
            </w:r>
          </w:p>
        </w:tc>
        <w:tc>
          <w:tcPr>
            <w:tcW w:w="1105" w:type="dxa"/>
            <w:noWrap/>
          </w:tcPr>
          <w:p w14:paraId="47A5326F"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6</w:t>
            </w:r>
          </w:p>
        </w:tc>
        <w:tc>
          <w:tcPr>
            <w:tcW w:w="1481" w:type="dxa"/>
            <w:noWrap/>
          </w:tcPr>
          <w:p w14:paraId="278CA3C4"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-1.45</w:t>
            </w:r>
          </w:p>
        </w:tc>
        <w:tc>
          <w:tcPr>
            <w:tcW w:w="2127" w:type="dxa"/>
            <w:noWrap/>
          </w:tcPr>
          <w:p w14:paraId="59736F11"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0.42</w:t>
            </w:r>
          </w:p>
        </w:tc>
        <w:tc>
          <w:tcPr>
            <w:tcW w:w="2409" w:type="dxa"/>
            <w:noWrap/>
          </w:tcPr>
          <w:p w14:paraId="3C78C95A"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180904</w:t>
            </w:r>
          </w:p>
        </w:tc>
      </w:tr>
      <w:tr w:rsidR="00945365" w:rsidRPr="000471CA" w14:paraId="1E311746" w14:textId="77777777" w:rsidTr="00887F33">
        <w:trPr>
          <w:trHeight w:val="320"/>
        </w:trPr>
        <w:tc>
          <w:tcPr>
            <w:tcW w:w="2058" w:type="dxa"/>
            <w:noWrap/>
          </w:tcPr>
          <w:p w14:paraId="7727F12D"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ALANINE</w:t>
            </w:r>
          </w:p>
        </w:tc>
        <w:tc>
          <w:tcPr>
            <w:tcW w:w="1105" w:type="dxa"/>
            <w:noWrap/>
          </w:tcPr>
          <w:p w14:paraId="525C44E2"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10</w:t>
            </w:r>
          </w:p>
        </w:tc>
        <w:tc>
          <w:tcPr>
            <w:tcW w:w="1481" w:type="dxa"/>
            <w:noWrap/>
          </w:tcPr>
          <w:p w14:paraId="38CB68F2"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-1.82</w:t>
            </w:r>
          </w:p>
        </w:tc>
        <w:tc>
          <w:tcPr>
            <w:tcW w:w="2127" w:type="dxa"/>
            <w:noWrap/>
          </w:tcPr>
          <w:p w14:paraId="6E85D365"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0.17</w:t>
            </w:r>
          </w:p>
        </w:tc>
        <w:tc>
          <w:tcPr>
            <w:tcW w:w="2409" w:type="dxa"/>
            <w:noWrap/>
          </w:tcPr>
          <w:p w14:paraId="1F0BAE79"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180904</w:t>
            </w:r>
          </w:p>
        </w:tc>
      </w:tr>
      <w:tr w:rsidR="00945365" w:rsidRPr="000471CA" w14:paraId="56D366C9" w14:textId="77777777" w:rsidTr="00887F33">
        <w:trPr>
          <w:trHeight w:val="320"/>
        </w:trPr>
        <w:tc>
          <w:tcPr>
            <w:tcW w:w="2058" w:type="dxa"/>
            <w:noWrap/>
          </w:tcPr>
          <w:p w14:paraId="5C569E90"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N1</w:t>
            </w:r>
          </w:p>
        </w:tc>
        <w:tc>
          <w:tcPr>
            <w:tcW w:w="1105" w:type="dxa"/>
            <w:noWrap/>
          </w:tcPr>
          <w:p w14:paraId="020DD4C1"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6</w:t>
            </w:r>
          </w:p>
        </w:tc>
        <w:tc>
          <w:tcPr>
            <w:tcW w:w="1481" w:type="dxa"/>
            <w:noWrap/>
          </w:tcPr>
          <w:p w14:paraId="67A7ACCE"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-0.40</w:t>
            </w:r>
          </w:p>
        </w:tc>
        <w:tc>
          <w:tcPr>
            <w:tcW w:w="2127" w:type="dxa"/>
            <w:noWrap/>
          </w:tcPr>
          <w:p w14:paraId="269D39A0"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0.55</w:t>
            </w:r>
          </w:p>
        </w:tc>
        <w:tc>
          <w:tcPr>
            <w:tcW w:w="2409" w:type="dxa"/>
            <w:noWrap/>
          </w:tcPr>
          <w:p w14:paraId="78B870FC"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180907A</w:t>
            </w:r>
          </w:p>
        </w:tc>
      </w:tr>
      <w:tr w:rsidR="00945365" w:rsidRPr="000471CA" w14:paraId="6A3F7B59" w14:textId="77777777" w:rsidTr="00887F33">
        <w:trPr>
          <w:trHeight w:val="320"/>
        </w:trPr>
        <w:tc>
          <w:tcPr>
            <w:tcW w:w="2058" w:type="dxa"/>
            <w:noWrap/>
          </w:tcPr>
          <w:p w14:paraId="071B14CD"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N2</w:t>
            </w:r>
          </w:p>
        </w:tc>
        <w:tc>
          <w:tcPr>
            <w:tcW w:w="1105" w:type="dxa"/>
            <w:noWrap/>
          </w:tcPr>
          <w:p w14:paraId="34F99F8A"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6</w:t>
            </w:r>
          </w:p>
        </w:tc>
        <w:tc>
          <w:tcPr>
            <w:tcW w:w="1481" w:type="dxa"/>
            <w:noWrap/>
          </w:tcPr>
          <w:p w14:paraId="676A4B45"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20.30</w:t>
            </w:r>
          </w:p>
        </w:tc>
        <w:tc>
          <w:tcPr>
            <w:tcW w:w="2127" w:type="dxa"/>
            <w:noWrap/>
          </w:tcPr>
          <w:p w14:paraId="73D6839C"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0.38</w:t>
            </w:r>
          </w:p>
        </w:tc>
        <w:tc>
          <w:tcPr>
            <w:tcW w:w="2409" w:type="dxa"/>
            <w:noWrap/>
          </w:tcPr>
          <w:p w14:paraId="0783E6F2"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180907A</w:t>
            </w:r>
          </w:p>
        </w:tc>
      </w:tr>
      <w:tr w:rsidR="00945365" w:rsidRPr="000471CA" w14:paraId="38829A2F" w14:textId="77777777" w:rsidTr="00887F33">
        <w:trPr>
          <w:trHeight w:val="320"/>
        </w:trPr>
        <w:tc>
          <w:tcPr>
            <w:tcW w:w="2058" w:type="dxa"/>
            <w:noWrap/>
          </w:tcPr>
          <w:p w14:paraId="206BF055"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P2</w:t>
            </w:r>
          </w:p>
        </w:tc>
        <w:tc>
          <w:tcPr>
            <w:tcW w:w="1105" w:type="dxa"/>
            <w:noWrap/>
          </w:tcPr>
          <w:p w14:paraId="67EFAF0A"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6</w:t>
            </w:r>
          </w:p>
        </w:tc>
        <w:tc>
          <w:tcPr>
            <w:tcW w:w="1481" w:type="dxa"/>
            <w:noWrap/>
          </w:tcPr>
          <w:p w14:paraId="711AFB61"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-1.34</w:t>
            </w:r>
          </w:p>
        </w:tc>
        <w:tc>
          <w:tcPr>
            <w:tcW w:w="2127" w:type="dxa"/>
            <w:noWrap/>
          </w:tcPr>
          <w:p w14:paraId="332AB5E5"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0.15</w:t>
            </w:r>
          </w:p>
        </w:tc>
        <w:tc>
          <w:tcPr>
            <w:tcW w:w="2409" w:type="dxa"/>
            <w:noWrap/>
          </w:tcPr>
          <w:p w14:paraId="0890DD33"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180907A</w:t>
            </w:r>
          </w:p>
        </w:tc>
      </w:tr>
      <w:tr w:rsidR="00945365" w:rsidRPr="000471CA" w14:paraId="048A434B" w14:textId="77777777" w:rsidTr="00887F33">
        <w:trPr>
          <w:trHeight w:val="320"/>
        </w:trPr>
        <w:tc>
          <w:tcPr>
            <w:tcW w:w="2058" w:type="dxa"/>
            <w:noWrap/>
          </w:tcPr>
          <w:p w14:paraId="0561E0CF"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ALANINE</w:t>
            </w:r>
          </w:p>
        </w:tc>
        <w:tc>
          <w:tcPr>
            <w:tcW w:w="1105" w:type="dxa"/>
            <w:noWrap/>
          </w:tcPr>
          <w:p w14:paraId="16FA0F9D"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11</w:t>
            </w:r>
          </w:p>
        </w:tc>
        <w:tc>
          <w:tcPr>
            <w:tcW w:w="1481" w:type="dxa"/>
            <w:noWrap/>
          </w:tcPr>
          <w:p w14:paraId="1235A62C"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-1.54</w:t>
            </w:r>
          </w:p>
        </w:tc>
        <w:tc>
          <w:tcPr>
            <w:tcW w:w="2127" w:type="dxa"/>
            <w:noWrap/>
          </w:tcPr>
          <w:p w14:paraId="2F3498F0"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0.20</w:t>
            </w:r>
          </w:p>
        </w:tc>
        <w:tc>
          <w:tcPr>
            <w:tcW w:w="2409" w:type="dxa"/>
            <w:noWrap/>
          </w:tcPr>
          <w:p w14:paraId="0FDBF673"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180907A</w:t>
            </w:r>
          </w:p>
        </w:tc>
      </w:tr>
      <w:tr w:rsidR="00945365" w:rsidRPr="000471CA" w14:paraId="79168F0C" w14:textId="77777777" w:rsidTr="00887F33">
        <w:trPr>
          <w:trHeight w:val="320"/>
        </w:trPr>
        <w:tc>
          <w:tcPr>
            <w:tcW w:w="2058" w:type="dxa"/>
            <w:noWrap/>
          </w:tcPr>
          <w:p w14:paraId="4744397C"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N1</w:t>
            </w:r>
          </w:p>
        </w:tc>
        <w:tc>
          <w:tcPr>
            <w:tcW w:w="1105" w:type="dxa"/>
            <w:noWrap/>
          </w:tcPr>
          <w:p w14:paraId="1F5E2E74"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3</w:t>
            </w:r>
          </w:p>
        </w:tc>
        <w:tc>
          <w:tcPr>
            <w:tcW w:w="1481" w:type="dxa"/>
            <w:noWrap/>
          </w:tcPr>
          <w:p w14:paraId="7B28DAE6"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-0.40</w:t>
            </w:r>
          </w:p>
        </w:tc>
        <w:tc>
          <w:tcPr>
            <w:tcW w:w="2127" w:type="dxa"/>
            <w:noWrap/>
          </w:tcPr>
          <w:p w14:paraId="6962A3B0"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0.28</w:t>
            </w:r>
          </w:p>
        </w:tc>
        <w:tc>
          <w:tcPr>
            <w:tcW w:w="2409" w:type="dxa"/>
            <w:noWrap/>
          </w:tcPr>
          <w:p w14:paraId="082E73A1"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190122A</w:t>
            </w:r>
          </w:p>
        </w:tc>
      </w:tr>
      <w:tr w:rsidR="00945365" w:rsidRPr="000471CA" w14:paraId="4B4DA961" w14:textId="77777777" w:rsidTr="00887F33">
        <w:trPr>
          <w:trHeight w:val="320"/>
        </w:trPr>
        <w:tc>
          <w:tcPr>
            <w:tcW w:w="2058" w:type="dxa"/>
            <w:noWrap/>
          </w:tcPr>
          <w:p w14:paraId="717ABBF6"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N2</w:t>
            </w:r>
          </w:p>
        </w:tc>
        <w:tc>
          <w:tcPr>
            <w:tcW w:w="1105" w:type="dxa"/>
            <w:noWrap/>
          </w:tcPr>
          <w:p w14:paraId="0C89CF45"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3</w:t>
            </w:r>
          </w:p>
        </w:tc>
        <w:tc>
          <w:tcPr>
            <w:tcW w:w="1481" w:type="dxa"/>
            <w:noWrap/>
          </w:tcPr>
          <w:p w14:paraId="1DE14A22"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20.30</w:t>
            </w:r>
          </w:p>
        </w:tc>
        <w:tc>
          <w:tcPr>
            <w:tcW w:w="2127" w:type="dxa"/>
            <w:noWrap/>
          </w:tcPr>
          <w:p w14:paraId="66E5B970"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0.14</w:t>
            </w:r>
          </w:p>
        </w:tc>
        <w:tc>
          <w:tcPr>
            <w:tcW w:w="2409" w:type="dxa"/>
            <w:noWrap/>
          </w:tcPr>
          <w:p w14:paraId="1607FBA5"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190122A</w:t>
            </w:r>
          </w:p>
        </w:tc>
      </w:tr>
      <w:tr w:rsidR="00945365" w:rsidRPr="000471CA" w14:paraId="4A1B196A" w14:textId="77777777" w:rsidTr="00887F33">
        <w:trPr>
          <w:trHeight w:val="320"/>
        </w:trPr>
        <w:tc>
          <w:tcPr>
            <w:tcW w:w="2058" w:type="dxa"/>
            <w:noWrap/>
          </w:tcPr>
          <w:p w14:paraId="7D67D02B"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P2</w:t>
            </w:r>
          </w:p>
        </w:tc>
        <w:tc>
          <w:tcPr>
            <w:tcW w:w="1105" w:type="dxa"/>
            <w:noWrap/>
          </w:tcPr>
          <w:p w14:paraId="12A9EAF9"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4</w:t>
            </w:r>
          </w:p>
        </w:tc>
        <w:tc>
          <w:tcPr>
            <w:tcW w:w="1481" w:type="dxa"/>
            <w:noWrap/>
          </w:tcPr>
          <w:p w14:paraId="1BA814C5"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-2.10</w:t>
            </w:r>
          </w:p>
        </w:tc>
        <w:tc>
          <w:tcPr>
            <w:tcW w:w="2127" w:type="dxa"/>
            <w:noWrap/>
          </w:tcPr>
          <w:p w14:paraId="1A3199E4"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1.11</w:t>
            </w:r>
          </w:p>
        </w:tc>
        <w:tc>
          <w:tcPr>
            <w:tcW w:w="2409" w:type="dxa"/>
            <w:noWrap/>
          </w:tcPr>
          <w:p w14:paraId="7BE98EE0"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190122A</w:t>
            </w:r>
          </w:p>
        </w:tc>
      </w:tr>
      <w:tr w:rsidR="00945365" w:rsidRPr="000471CA" w14:paraId="1A344882" w14:textId="77777777" w:rsidTr="00887F33">
        <w:trPr>
          <w:trHeight w:val="320"/>
        </w:trPr>
        <w:tc>
          <w:tcPr>
            <w:tcW w:w="2058" w:type="dxa"/>
            <w:noWrap/>
          </w:tcPr>
          <w:p w14:paraId="0CAAE2E2"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ALANINE</w:t>
            </w:r>
          </w:p>
        </w:tc>
        <w:tc>
          <w:tcPr>
            <w:tcW w:w="1105" w:type="dxa"/>
            <w:noWrap/>
          </w:tcPr>
          <w:p w14:paraId="12CEB6BF"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7</w:t>
            </w:r>
          </w:p>
        </w:tc>
        <w:tc>
          <w:tcPr>
            <w:tcW w:w="1481" w:type="dxa"/>
            <w:noWrap/>
          </w:tcPr>
          <w:p w14:paraId="1F456B2C"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-1.20</w:t>
            </w:r>
          </w:p>
        </w:tc>
        <w:tc>
          <w:tcPr>
            <w:tcW w:w="2127" w:type="dxa"/>
            <w:noWrap/>
          </w:tcPr>
          <w:p w14:paraId="452D29C9"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0.52</w:t>
            </w:r>
          </w:p>
        </w:tc>
        <w:tc>
          <w:tcPr>
            <w:tcW w:w="2409" w:type="dxa"/>
            <w:noWrap/>
          </w:tcPr>
          <w:p w14:paraId="70A8E3B3"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190122A</w:t>
            </w:r>
          </w:p>
        </w:tc>
      </w:tr>
    </w:tbl>
    <w:p w14:paraId="26E71E4A" w14:textId="58561401" w:rsidR="00945365" w:rsidRPr="0058342D" w:rsidRDefault="00945365" w:rsidP="0058342D">
      <w:pPr>
        <w:spacing w:after="0" w:line="360" w:lineRule="auto"/>
        <w:rPr>
          <w:rFonts w:ascii="Times New Roman" w:hAnsi="Times New Roman" w:cs="Times New Roman"/>
          <w:sz w:val="24"/>
          <w:szCs w:val="24"/>
        </w:rPr>
      </w:pPr>
    </w:p>
    <w:p w14:paraId="2BAE60CD" w14:textId="77777777" w:rsidR="00887F33" w:rsidRDefault="00887F33">
      <w:pPr>
        <w:rPr>
          <w:rFonts w:ascii="Times New Roman" w:hAnsi="Times New Roman" w:cs="Times New Roman"/>
          <w:b/>
          <w:i/>
          <w:iCs/>
          <w:sz w:val="24"/>
          <w:szCs w:val="24"/>
        </w:rPr>
      </w:pPr>
      <w:r>
        <w:rPr>
          <w:rFonts w:ascii="Times New Roman" w:hAnsi="Times New Roman" w:cs="Times New Roman"/>
          <w:b/>
          <w:i/>
          <w:iCs/>
          <w:sz w:val="24"/>
          <w:szCs w:val="24"/>
        </w:rPr>
        <w:br w:type="page"/>
      </w:r>
    </w:p>
    <w:p w14:paraId="02F1C476" w14:textId="628BE3C8" w:rsidR="00945365" w:rsidRPr="0058342D" w:rsidRDefault="00945365" w:rsidP="0058342D">
      <w:pPr>
        <w:spacing w:after="0" w:line="360" w:lineRule="auto"/>
        <w:rPr>
          <w:rFonts w:ascii="Times New Roman" w:hAnsi="Times New Roman" w:cs="Times New Roman"/>
          <w:i/>
          <w:iCs/>
          <w:sz w:val="24"/>
          <w:szCs w:val="24"/>
        </w:rPr>
      </w:pPr>
      <w:r w:rsidRPr="0058342D">
        <w:rPr>
          <w:rFonts w:ascii="Times New Roman" w:hAnsi="Times New Roman" w:cs="Times New Roman"/>
          <w:b/>
          <w:i/>
          <w:iCs/>
          <w:sz w:val="24"/>
          <w:szCs w:val="24"/>
        </w:rPr>
        <w:lastRenderedPageBreak/>
        <w:t xml:space="preserve">Table </w:t>
      </w:r>
      <w:proofErr w:type="spellStart"/>
      <w:r w:rsidRPr="0058342D">
        <w:rPr>
          <w:rFonts w:ascii="Times New Roman" w:hAnsi="Times New Roman" w:cs="Times New Roman"/>
          <w:b/>
          <w:i/>
          <w:iCs/>
          <w:sz w:val="24"/>
          <w:szCs w:val="24"/>
        </w:rPr>
        <w:t>S2</w:t>
      </w:r>
      <w:proofErr w:type="spellEnd"/>
      <w:r w:rsidRPr="0058342D">
        <w:rPr>
          <w:rFonts w:ascii="Times New Roman" w:hAnsi="Times New Roman" w:cs="Times New Roman"/>
          <w:b/>
          <w:i/>
          <w:iCs/>
          <w:sz w:val="24"/>
          <w:szCs w:val="24"/>
        </w:rPr>
        <w:t>.</w:t>
      </w:r>
      <w:r w:rsidRPr="0058342D">
        <w:rPr>
          <w:rFonts w:ascii="Times New Roman" w:hAnsi="Times New Roman" w:cs="Times New Roman"/>
          <w:i/>
          <w:iCs/>
          <w:sz w:val="24"/>
          <w:szCs w:val="24"/>
        </w:rPr>
        <w:t xml:space="preserve"> The δ</w:t>
      </w:r>
      <w:r w:rsidRPr="0058342D">
        <w:rPr>
          <w:rFonts w:ascii="Times New Roman" w:hAnsi="Times New Roman" w:cs="Times New Roman"/>
          <w:i/>
          <w:iCs/>
          <w:sz w:val="24"/>
          <w:szCs w:val="24"/>
          <w:vertAlign w:val="superscript"/>
        </w:rPr>
        <w:t>13</w:t>
      </w:r>
      <w:r w:rsidRPr="0058342D">
        <w:rPr>
          <w:rFonts w:ascii="Times New Roman" w:hAnsi="Times New Roman" w:cs="Times New Roman"/>
          <w:i/>
          <w:iCs/>
          <w:sz w:val="24"/>
          <w:szCs w:val="24"/>
        </w:rPr>
        <w:t>C and δ</w:t>
      </w:r>
      <w:r w:rsidRPr="0058342D">
        <w:rPr>
          <w:rFonts w:ascii="Times New Roman" w:hAnsi="Times New Roman" w:cs="Times New Roman"/>
          <w:i/>
          <w:iCs/>
          <w:sz w:val="24"/>
          <w:szCs w:val="24"/>
          <w:vertAlign w:val="superscript"/>
        </w:rPr>
        <w:t>15</w:t>
      </w:r>
      <w:r w:rsidRPr="0058342D">
        <w:rPr>
          <w:rFonts w:ascii="Times New Roman" w:hAnsi="Times New Roman" w:cs="Times New Roman"/>
          <w:i/>
          <w:iCs/>
          <w:sz w:val="24"/>
          <w:szCs w:val="24"/>
        </w:rPr>
        <w:t xml:space="preserve">N values for duplicated samples with the analytical sessions </w:t>
      </w:r>
      <w:r w:rsidR="00036EC9" w:rsidRPr="0058342D">
        <w:rPr>
          <w:rFonts w:ascii="Times New Roman" w:hAnsi="Times New Roman" w:cs="Times New Roman"/>
          <w:i/>
          <w:iCs/>
          <w:sz w:val="24"/>
          <w:szCs w:val="24"/>
        </w:rPr>
        <w:t xml:space="preserve">from which </w:t>
      </w:r>
      <w:r w:rsidRPr="0058342D">
        <w:rPr>
          <w:rFonts w:ascii="Times New Roman" w:hAnsi="Times New Roman" w:cs="Times New Roman"/>
          <w:i/>
          <w:iCs/>
          <w:sz w:val="24"/>
          <w:szCs w:val="24"/>
        </w:rPr>
        <w:t>th</w:t>
      </w:r>
      <w:r w:rsidR="00036EC9" w:rsidRPr="0058342D">
        <w:rPr>
          <w:rFonts w:ascii="Times New Roman" w:hAnsi="Times New Roman" w:cs="Times New Roman"/>
          <w:i/>
          <w:iCs/>
          <w:sz w:val="24"/>
          <w:szCs w:val="24"/>
        </w:rPr>
        <w:t>e Stafford material derives.</w:t>
      </w:r>
    </w:p>
    <w:tbl>
      <w:tblPr>
        <w:tblStyle w:val="TableGrid"/>
        <w:tblW w:w="6599" w:type="dxa"/>
        <w:tblLook w:val="04A0" w:firstRow="1" w:lastRow="0" w:firstColumn="1" w:lastColumn="0" w:noHBand="0" w:noVBand="1"/>
      </w:tblPr>
      <w:tblGrid>
        <w:gridCol w:w="1668"/>
        <w:gridCol w:w="1417"/>
        <w:gridCol w:w="1701"/>
        <w:gridCol w:w="1813"/>
      </w:tblGrid>
      <w:tr w:rsidR="00945365" w:rsidRPr="000471CA" w14:paraId="5530FED0" w14:textId="77777777" w:rsidTr="00887F33">
        <w:trPr>
          <w:trHeight w:val="320"/>
        </w:trPr>
        <w:tc>
          <w:tcPr>
            <w:tcW w:w="1668" w:type="dxa"/>
            <w:noWrap/>
            <w:hideMark/>
          </w:tcPr>
          <w:p w14:paraId="7F4815E2" w14:textId="77777777" w:rsidR="00945365" w:rsidRPr="00887F33" w:rsidRDefault="00945365" w:rsidP="0031109F">
            <w:pPr>
              <w:rPr>
                <w:rFonts w:ascii="Times New Roman" w:eastAsia="Times New Roman" w:hAnsi="Times New Roman" w:cs="Times New Roman"/>
                <w:b/>
                <w:color w:val="000000"/>
                <w:sz w:val="24"/>
                <w:szCs w:val="24"/>
              </w:rPr>
            </w:pPr>
            <w:r w:rsidRPr="00887F33">
              <w:rPr>
                <w:rFonts w:ascii="Times New Roman" w:eastAsia="Times New Roman" w:hAnsi="Times New Roman" w:cs="Times New Roman"/>
                <w:b/>
                <w:color w:val="000000"/>
                <w:sz w:val="24"/>
                <w:szCs w:val="24"/>
              </w:rPr>
              <w:t>Sample ID</w:t>
            </w:r>
          </w:p>
        </w:tc>
        <w:tc>
          <w:tcPr>
            <w:tcW w:w="1417" w:type="dxa"/>
            <w:noWrap/>
            <w:hideMark/>
          </w:tcPr>
          <w:p w14:paraId="0B7C81C8" w14:textId="77777777" w:rsidR="00945365" w:rsidRPr="00887F33" w:rsidRDefault="00945365" w:rsidP="0031109F">
            <w:pPr>
              <w:rPr>
                <w:rFonts w:ascii="Times New Roman" w:eastAsia="Times New Roman" w:hAnsi="Times New Roman" w:cs="Times New Roman"/>
                <w:b/>
                <w:color w:val="000000"/>
                <w:sz w:val="24"/>
                <w:szCs w:val="24"/>
              </w:rPr>
            </w:pPr>
            <w:proofErr w:type="spellStart"/>
            <w:r w:rsidRPr="00887F33">
              <w:rPr>
                <w:rFonts w:ascii="Times New Roman" w:eastAsia="Times New Roman" w:hAnsi="Times New Roman" w:cs="Times New Roman"/>
                <w:b/>
                <w:color w:val="000000"/>
                <w:sz w:val="24"/>
                <w:szCs w:val="24"/>
              </w:rPr>
              <w:t>Runfile</w:t>
            </w:r>
            <w:proofErr w:type="spellEnd"/>
            <w:r w:rsidRPr="00887F33">
              <w:rPr>
                <w:rFonts w:ascii="Times New Roman" w:eastAsia="Times New Roman" w:hAnsi="Times New Roman" w:cs="Times New Roman"/>
                <w:b/>
                <w:color w:val="000000"/>
                <w:sz w:val="24"/>
                <w:szCs w:val="24"/>
              </w:rPr>
              <w:t xml:space="preserve"> C</w:t>
            </w:r>
          </w:p>
        </w:tc>
        <w:tc>
          <w:tcPr>
            <w:tcW w:w="1701" w:type="dxa"/>
            <w:noWrap/>
            <w:hideMark/>
          </w:tcPr>
          <w:p w14:paraId="428B80BD" w14:textId="77777777" w:rsidR="00945365" w:rsidRPr="00887F33" w:rsidRDefault="00945365" w:rsidP="0031109F">
            <w:pPr>
              <w:rPr>
                <w:rFonts w:ascii="Times New Roman" w:eastAsia="Times New Roman" w:hAnsi="Times New Roman" w:cs="Times New Roman"/>
                <w:b/>
                <w:color w:val="000000"/>
                <w:sz w:val="24"/>
                <w:szCs w:val="24"/>
              </w:rPr>
            </w:pPr>
            <w:proofErr w:type="spellStart"/>
            <w:r w:rsidRPr="00887F33">
              <w:rPr>
                <w:rFonts w:ascii="Times New Roman" w:eastAsia="Times New Roman" w:hAnsi="Times New Roman" w:cs="Times New Roman"/>
                <w:b/>
                <w:color w:val="000000"/>
                <w:sz w:val="24"/>
                <w:szCs w:val="24"/>
              </w:rPr>
              <w:t>δ</w:t>
            </w:r>
            <w:r w:rsidRPr="00887F33">
              <w:rPr>
                <w:rFonts w:ascii="Times New Roman" w:eastAsia="Times New Roman" w:hAnsi="Times New Roman" w:cs="Times New Roman"/>
                <w:b/>
                <w:color w:val="000000"/>
                <w:sz w:val="24"/>
                <w:szCs w:val="24"/>
                <w:vertAlign w:val="superscript"/>
              </w:rPr>
              <w:t>13</w:t>
            </w:r>
            <w:r w:rsidRPr="00887F33">
              <w:rPr>
                <w:rFonts w:ascii="Times New Roman" w:eastAsia="Times New Roman" w:hAnsi="Times New Roman" w:cs="Times New Roman"/>
                <w:b/>
                <w:color w:val="000000"/>
                <w:sz w:val="24"/>
                <w:szCs w:val="24"/>
              </w:rPr>
              <w:t>C</w:t>
            </w:r>
            <w:proofErr w:type="spellEnd"/>
            <w:r w:rsidRPr="00887F33">
              <w:rPr>
                <w:rFonts w:ascii="Times New Roman" w:eastAsia="Times New Roman" w:hAnsi="Times New Roman" w:cs="Times New Roman"/>
                <w:b/>
                <w:color w:val="000000"/>
                <w:sz w:val="24"/>
                <w:szCs w:val="24"/>
              </w:rPr>
              <w:t xml:space="preserve"> </w:t>
            </w:r>
            <w:proofErr w:type="spellStart"/>
            <w:r w:rsidRPr="00887F33">
              <w:rPr>
                <w:rFonts w:ascii="Times New Roman" w:eastAsia="Times New Roman" w:hAnsi="Times New Roman" w:cs="Times New Roman"/>
                <w:b/>
                <w:color w:val="000000"/>
                <w:sz w:val="24"/>
                <w:szCs w:val="24"/>
              </w:rPr>
              <w:t>Dulp</w:t>
            </w:r>
            <w:proofErr w:type="spellEnd"/>
            <w:r w:rsidRPr="00887F33">
              <w:rPr>
                <w:rFonts w:ascii="Times New Roman" w:eastAsia="Times New Roman" w:hAnsi="Times New Roman" w:cs="Times New Roman"/>
                <w:b/>
                <w:color w:val="000000"/>
                <w:sz w:val="24"/>
                <w:szCs w:val="24"/>
              </w:rPr>
              <w:t xml:space="preserve"> A</w:t>
            </w:r>
          </w:p>
        </w:tc>
        <w:tc>
          <w:tcPr>
            <w:tcW w:w="1813" w:type="dxa"/>
            <w:noWrap/>
            <w:hideMark/>
          </w:tcPr>
          <w:p w14:paraId="7CD6BD81" w14:textId="77777777" w:rsidR="00945365" w:rsidRPr="00887F33" w:rsidRDefault="00945365" w:rsidP="0031109F">
            <w:pPr>
              <w:rPr>
                <w:rFonts w:ascii="Times New Roman" w:eastAsia="Times New Roman" w:hAnsi="Times New Roman" w:cs="Times New Roman"/>
                <w:b/>
                <w:color w:val="000000"/>
                <w:sz w:val="24"/>
                <w:szCs w:val="24"/>
              </w:rPr>
            </w:pPr>
            <w:proofErr w:type="spellStart"/>
            <w:r w:rsidRPr="00887F33">
              <w:rPr>
                <w:rFonts w:ascii="Times New Roman" w:eastAsia="Times New Roman" w:hAnsi="Times New Roman" w:cs="Times New Roman"/>
                <w:b/>
                <w:color w:val="000000"/>
                <w:sz w:val="24"/>
                <w:szCs w:val="24"/>
              </w:rPr>
              <w:t>δ</w:t>
            </w:r>
            <w:r w:rsidRPr="00887F33">
              <w:rPr>
                <w:rFonts w:ascii="Times New Roman" w:eastAsia="Times New Roman" w:hAnsi="Times New Roman" w:cs="Times New Roman"/>
                <w:b/>
                <w:color w:val="000000"/>
                <w:sz w:val="24"/>
                <w:szCs w:val="24"/>
                <w:vertAlign w:val="superscript"/>
              </w:rPr>
              <w:t>13</w:t>
            </w:r>
            <w:r w:rsidRPr="00887F33">
              <w:rPr>
                <w:rFonts w:ascii="Times New Roman" w:eastAsia="Times New Roman" w:hAnsi="Times New Roman" w:cs="Times New Roman"/>
                <w:b/>
                <w:color w:val="000000"/>
                <w:sz w:val="24"/>
                <w:szCs w:val="24"/>
              </w:rPr>
              <w:t>C</w:t>
            </w:r>
            <w:proofErr w:type="spellEnd"/>
            <w:r w:rsidRPr="00887F33">
              <w:rPr>
                <w:rFonts w:ascii="Times New Roman" w:eastAsia="Times New Roman" w:hAnsi="Times New Roman" w:cs="Times New Roman"/>
                <w:b/>
                <w:color w:val="000000"/>
                <w:sz w:val="24"/>
                <w:szCs w:val="24"/>
              </w:rPr>
              <w:t xml:space="preserve"> </w:t>
            </w:r>
            <w:proofErr w:type="spellStart"/>
            <w:r w:rsidRPr="00887F33">
              <w:rPr>
                <w:rFonts w:ascii="Times New Roman" w:eastAsia="Times New Roman" w:hAnsi="Times New Roman" w:cs="Times New Roman"/>
                <w:b/>
                <w:color w:val="000000"/>
                <w:sz w:val="24"/>
                <w:szCs w:val="24"/>
              </w:rPr>
              <w:t>Dulp</w:t>
            </w:r>
            <w:proofErr w:type="spellEnd"/>
            <w:r w:rsidRPr="00887F33">
              <w:rPr>
                <w:rFonts w:ascii="Times New Roman" w:eastAsia="Times New Roman" w:hAnsi="Times New Roman" w:cs="Times New Roman"/>
                <w:b/>
                <w:color w:val="000000"/>
                <w:sz w:val="24"/>
                <w:szCs w:val="24"/>
              </w:rPr>
              <w:t xml:space="preserve"> B</w:t>
            </w:r>
          </w:p>
        </w:tc>
      </w:tr>
      <w:tr w:rsidR="00945365" w:rsidRPr="000471CA" w14:paraId="11791B2E" w14:textId="77777777" w:rsidTr="00887F33">
        <w:trPr>
          <w:trHeight w:val="320"/>
        </w:trPr>
        <w:tc>
          <w:tcPr>
            <w:tcW w:w="1668" w:type="dxa"/>
            <w:noWrap/>
            <w:hideMark/>
          </w:tcPr>
          <w:p w14:paraId="53AC62A1"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HF3279</w:t>
            </w:r>
          </w:p>
        </w:tc>
        <w:tc>
          <w:tcPr>
            <w:tcW w:w="1417" w:type="dxa"/>
            <w:noWrap/>
            <w:hideMark/>
          </w:tcPr>
          <w:p w14:paraId="17509800"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180907</w:t>
            </w:r>
          </w:p>
        </w:tc>
        <w:tc>
          <w:tcPr>
            <w:tcW w:w="1701" w:type="dxa"/>
            <w:noWrap/>
            <w:hideMark/>
          </w:tcPr>
          <w:p w14:paraId="09E405DB"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-23.18</w:t>
            </w:r>
          </w:p>
        </w:tc>
        <w:tc>
          <w:tcPr>
            <w:tcW w:w="1813" w:type="dxa"/>
            <w:noWrap/>
            <w:hideMark/>
          </w:tcPr>
          <w:p w14:paraId="0BC14B79"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-23.25</w:t>
            </w:r>
          </w:p>
        </w:tc>
      </w:tr>
      <w:tr w:rsidR="00945365" w:rsidRPr="000471CA" w14:paraId="6A21533C" w14:textId="77777777" w:rsidTr="00887F33">
        <w:trPr>
          <w:trHeight w:val="320"/>
        </w:trPr>
        <w:tc>
          <w:tcPr>
            <w:tcW w:w="1668" w:type="dxa"/>
            <w:noWrap/>
            <w:hideMark/>
          </w:tcPr>
          <w:p w14:paraId="6E146C5B"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HF3202</w:t>
            </w:r>
          </w:p>
        </w:tc>
        <w:tc>
          <w:tcPr>
            <w:tcW w:w="1417" w:type="dxa"/>
            <w:noWrap/>
            <w:hideMark/>
          </w:tcPr>
          <w:p w14:paraId="208DC530"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180907</w:t>
            </w:r>
          </w:p>
        </w:tc>
        <w:tc>
          <w:tcPr>
            <w:tcW w:w="1701" w:type="dxa"/>
            <w:noWrap/>
            <w:hideMark/>
          </w:tcPr>
          <w:p w14:paraId="79D28C17"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-23.81</w:t>
            </w:r>
          </w:p>
        </w:tc>
        <w:tc>
          <w:tcPr>
            <w:tcW w:w="1813" w:type="dxa"/>
            <w:noWrap/>
            <w:hideMark/>
          </w:tcPr>
          <w:p w14:paraId="1D553D67"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-24.09</w:t>
            </w:r>
          </w:p>
        </w:tc>
      </w:tr>
      <w:tr w:rsidR="00945365" w:rsidRPr="000471CA" w14:paraId="03B700EB" w14:textId="77777777" w:rsidTr="00887F33">
        <w:trPr>
          <w:trHeight w:val="320"/>
        </w:trPr>
        <w:tc>
          <w:tcPr>
            <w:tcW w:w="1668" w:type="dxa"/>
            <w:noWrap/>
            <w:hideMark/>
          </w:tcPr>
          <w:p w14:paraId="1B831531"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STT012</w:t>
            </w:r>
          </w:p>
        </w:tc>
        <w:tc>
          <w:tcPr>
            <w:tcW w:w="1417" w:type="dxa"/>
            <w:noWrap/>
            <w:hideMark/>
          </w:tcPr>
          <w:p w14:paraId="0ED0BDF7" w14:textId="77777777" w:rsidR="00945365" w:rsidRPr="00887F33" w:rsidRDefault="00945365" w:rsidP="00945365">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180822A</w:t>
            </w:r>
          </w:p>
        </w:tc>
        <w:tc>
          <w:tcPr>
            <w:tcW w:w="1701" w:type="dxa"/>
            <w:noWrap/>
            <w:hideMark/>
          </w:tcPr>
          <w:p w14:paraId="791452F1"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-22.36</w:t>
            </w:r>
          </w:p>
        </w:tc>
        <w:tc>
          <w:tcPr>
            <w:tcW w:w="1813" w:type="dxa"/>
            <w:noWrap/>
            <w:hideMark/>
          </w:tcPr>
          <w:p w14:paraId="1BBED9D2"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-22.46</w:t>
            </w:r>
          </w:p>
        </w:tc>
      </w:tr>
      <w:tr w:rsidR="00945365" w:rsidRPr="000471CA" w14:paraId="0C5C2046" w14:textId="77777777" w:rsidTr="00887F33">
        <w:trPr>
          <w:trHeight w:val="320"/>
        </w:trPr>
        <w:tc>
          <w:tcPr>
            <w:tcW w:w="1668" w:type="dxa"/>
            <w:noWrap/>
            <w:hideMark/>
          </w:tcPr>
          <w:p w14:paraId="1EAAF09E"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STM006</w:t>
            </w:r>
          </w:p>
        </w:tc>
        <w:tc>
          <w:tcPr>
            <w:tcW w:w="1417" w:type="dxa"/>
            <w:noWrap/>
            <w:hideMark/>
          </w:tcPr>
          <w:p w14:paraId="1EDDAE8C" w14:textId="77777777" w:rsidR="00945365" w:rsidRPr="00887F33" w:rsidRDefault="00945365" w:rsidP="00945365">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180822A</w:t>
            </w:r>
          </w:p>
        </w:tc>
        <w:tc>
          <w:tcPr>
            <w:tcW w:w="1701" w:type="dxa"/>
            <w:noWrap/>
            <w:hideMark/>
          </w:tcPr>
          <w:p w14:paraId="397DFFD6"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-25.67</w:t>
            </w:r>
          </w:p>
        </w:tc>
        <w:tc>
          <w:tcPr>
            <w:tcW w:w="1813" w:type="dxa"/>
            <w:noWrap/>
            <w:hideMark/>
          </w:tcPr>
          <w:p w14:paraId="31CC7974"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-25.64</w:t>
            </w:r>
          </w:p>
        </w:tc>
      </w:tr>
      <w:tr w:rsidR="00945365" w:rsidRPr="000471CA" w14:paraId="7736391B" w14:textId="77777777" w:rsidTr="00887F33">
        <w:trPr>
          <w:trHeight w:val="320"/>
        </w:trPr>
        <w:tc>
          <w:tcPr>
            <w:tcW w:w="1668" w:type="dxa"/>
            <w:noWrap/>
            <w:hideMark/>
          </w:tcPr>
          <w:p w14:paraId="454EDBB2"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STM013</w:t>
            </w:r>
          </w:p>
        </w:tc>
        <w:tc>
          <w:tcPr>
            <w:tcW w:w="1417" w:type="dxa"/>
            <w:noWrap/>
            <w:hideMark/>
          </w:tcPr>
          <w:p w14:paraId="7D4F1354" w14:textId="77777777" w:rsidR="00945365" w:rsidRPr="00887F33" w:rsidRDefault="00945365" w:rsidP="00945365">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180822A</w:t>
            </w:r>
          </w:p>
        </w:tc>
        <w:tc>
          <w:tcPr>
            <w:tcW w:w="1701" w:type="dxa"/>
            <w:noWrap/>
            <w:hideMark/>
          </w:tcPr>
          <w:p w14:paraId="5DA56B49"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-23.19</w:t>
            </w:r>
          </w:p>
        </w:tc>
        <w:tc>
          <w:tcPr>
            <w:tcW w:w="1813" w:type="dxa"/>
            <w:noWrap/>
            <w:hideMark/>
          </w:tcPr>
          <w:p w14:paraId="2E11AD68"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-23.05</w:t>
            </w:r>
          </w:p>
        </w:tc>
      </w:tr>
      <w:tr w:rsidR="00945365" w:rsidRPr="000471CA" w14:paraId="39E694AA" w14:textId="77777777" w:rsidTr="00887F33">
        <w:trPr>
          <w:trHeight w:val="320"/>
        </w:trPr>
        <w:tc>
          <w:tcPr>
            <w:tcW w:w="1668" w:type="dxa"/>
            <w:noWrap/>
            <w:hideMark/>
          </w:tcPr>
          <w:p w14:paraId="7639C833"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STM022</w:t>
            </w:r>
          </w:p>
        </w:tc>
        <w:tc>
          <w:tcPr>
            <w:tcW w:w="1417" w:type="dxa"/>
            <w:noWrap/>
            <w:hideMark/>
          </w:tcPr>
          <w:p w14:paraId="21C2556C" w14:textId="77777777" w:rsidR="00945365" w:rsidRPr="00887F33" w:rsidRDefault="00945365" w:rsidP="00945365">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180822A</w:t>
            </w:r>
          </w:p>
        </w:tc>
        <w:tc>
          <w:tcPr>
            <w:tcW w:w="1701" w:type="dxa"/>
            <w:noWrap/>
            <w:hideMark/>
          </w:tcPr>
          <w:p w14:paraId="3753E4AE"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-24.77</w:t>
            </w:r>
          </w:p>
        </w:tc>
        <w:tc>
          <w:tcPr>
            <w:tcW w:w="1813" w:type="dxa"/>
            <w:noWrap/>
            <w:hideMark/>
          </w:tcPr>
          <w:p w14:paraId="2878B5E3"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-24.79</w:t>
            </w:r>
          </w:p>
        </w:tc>
      </w:tr>
      <w:tr w:rsidR="00945365" w:rsidRPr="000471CA" w14:paraId="41259B80" w14:textId="77777777" w:rsidTr="00887F33">
        <w:trPr>
          <w:trHeight w:val="320"/>
        </w:trPr>
        <w:tc>
          <w:tcPr>
            <w:tcW w:w="1668" w:type="dxa"/>
            <w:noWrap/>
            <w:hideMark/>
          </w:tcPr>
          <w:p w14:paraId="5DE2175F"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STM023</w:t>
            </w:r>
          </w:p>
        </w:tc>
        <w:tc>
          <w:tcPr>
            <w:tcW w:w="1417" w:type="dxa"/>
            <w:noWrap/>
            <w:hideMark/>
          </w:tcPr>
          <w:p w14:paraId="45A77AA4" w14:textId="77777777" w:rsidR="00945365" w:rsidRPr="00887F33" w:rsidRDefault="00945365" w:rsidP="00945365">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180813a</w:t>
            </w:r>
          </w:p>
        </w:tc>
        <w:tc>
          <w:tcPr>
            <w:tcW w:w="1701" w:type="dxa"/>
            <w:noWrap/>
            <w:hideMark/>
          </w:tcPr>
          <w:p w14:paraId="4518CB55"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-24.66</w:t>
            </w:r>
          </w:p>
        </w:tc>
        <w:tc>
          <w:tcPr>
            <w:tcW w:w="1813" w:type="dxa"/>
            <w:noWrap/>
            <w:hideMark/>
          </w:tcPr>
          <w:p w14:paraId="633D48FA"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-24.87</w:t>
            </w:r>
          </w:p>
        </w:tc>
      </w:tr>
      <w:tr w:rsidR="00945365" w:rsidRPr="000471CA" w14:paraId="1F464CF5" w14:textId="77777777" w:rsidTr="00887F33">
        <w:trPr>
          <w:trHeight w:val="320"/>
        </w:trPr>
        <w:tc>
          <w:tcPr>
            <w:tcW w:w="1668" w:type="dxa"/>
            <w:noWrap/>
            <w:hideMark/>
          </w:tcPr>
          <w:p w14:paraId="5ACB60EE"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DAN052</w:t>
            </w:r>
          </w:p>
        </w:tc>
        <w:tc>
          <w:tcPr>
            <w:tcW w:w="1417" w:type="dxa"/>
            <w:noWrap/>
            <w:hideMark/>
          </w:tcPr>
          <w:p w14:paraId="475265B9" w14:textId="77777777" w:rsidR="00945365" w:rsidRPr="00887F33" w:rsidRDefault="00945365" w:rsidP="00945365">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180813a</w:t>
            </w:r>
          </w:p>
        </w:tc>
        <w:tc>
          <w:tcPr>
            <w:tcW w:w="1701" w:type="dxa"/>
            <w:noWrap/>
            <w:hideMark/>
          </w:tcPr>
          <w:p w14:paraId="3F154D30"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-22.62</w:t>
            </w:r>
          </w:p>
        </w:tc>
        <w:tc>
          <w:tcPr>
            <w:tcW w:w="1813" w:type="dxa"/>
            <w:noWrap/>
            <w:hideMark/>
          </w:tcPr>
          <w:p w14:paraId="2F3F0241"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-22.60</w:t>
            </w:r>
          </w:p>
        </w:tc>
      </w:tr>
      <w:tr w:rsidR="00945365" w:rsidRPr="000471CA" w14:paraId="4E26DF02" w14:textId="77777777" w:rsidTr="00887F33">
        <w:trPr>
          <w:trHeight w:val="320"/>
        </w:trPr>
        <w:tc>
          <w:tcPr>
            <w:tcW w:w="1668" w:type="dxa"/>
            <w:noWrap/>
            <w:hideMark/>
          </w:tcPr>
          <w:p w14:paraId="67032892"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GRT026</w:t>
            </w:r>
          </w:p>
        </w:tc>
        <w:tc>
          <w:tcPr>
            <w:tcW w:w="1417" w:type="dxa"/>
            <w:noWrap/>
            <w:hideMark/>
          </w:tcPr>
          <w:p w14:paraId="7F385382" w14:textId="77777777" w:rsidR="00945365" w:rsidRPr="00887F33" w:rsidRDefault="00945365" w:rsidP="00945365">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180813a</w:t>
            </w:r>
          </w:p>
        </w:tc>
        <w:tc>
          <w:tcPr>
            <w:tcW w:w="1701" w:type="dxa"/>
            <w:noWrap/>
            <w:hideMark/>
          </w:tcPr>
          <w:p w14:paraId="2EE8A6B3"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-23.58</w:t>
            </w:r>
          </w:p>
        </w:tc>
        <w:tc>
          <w:tcPr>
            <w:tcW w:w="1813" w:type="dxa"/>
            <w:noWrap/>
            <w:hideMark/>
          </w:tcPr>
          <w:p w14:paraId="2E500043"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-23.61</w:t>
            </w:r>
          </w:p>
        </w:tc>
      </w:tr>
      <w:tr w:rsidR="00945365" w:rsidRPr="000471CA" w14:paraId="08A2F30D" w14:textId="77777777" w:rsidTr="00887F33">
        <w:trPr>
          <w:trHeight w:val="320"/>
        </w:trPr>
        <w:tc>
          <w:tcPr>
            <w:tcW w:w="1668" w:type="dxa"/>
            <w:noWrap/>
            <w:hideMark/>
          </w:tcPr>
          <w:p w14:paraId="4446334E"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RYE215</w:t>
            </w:r>
          </w:p>
        </w:tc>
        <w:tc>
          <w:tcPr>
            <w:tcW w:w="1417" w:type="dxa"/>
            <w:noWrap/>
            <w:hideMark/>
          </w:tcPr>
          <w:p w14:paraId="542B2089"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181031</w:t>
            </w:r>
          </w:p>
        </w:tc>
        <w:tc>
          <w:tcPr>
            <w:tcW w:w="1701" w:type="dxa"/>
            <w:noWrap/>
            <w:hideMark/>
          </w:tcPr>
          <w:p w14:paraId="158C0283"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-25.82</w:t>
            </w:r>
          </w:p>
        </w:tc>
        <w:tc>
          <w:tcPr>
            <w:tcW w:w="1813" w:type="dxa"/>
            <w:noWrap/>
            <w:hideMark/>
          </w:tcPr>
          <w:p w14:paraId="37490DCB"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-25.75</w:t>
            </w:r>
          </w:p>
        </w:tc>
      </w:tr>
      <w:tr w:rsidR="00945365" w:rsidRPr="000471CA" w14:paraId="0FF0D80B" w14:textId="77777777" w:rsidTr="00887F33">
        <w:trPr>
          <w:trHeight w:val="320"/>
        </w:trPr>
        <w:tc>
          <w:tcPr>
            <w:tcW w:w="1668" w:type="dxa"/>
            <w:noWrap/>
            <w:hideMark/>
          </w:tcPr>
          <w:p w14:paraId="6E52E614"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SPT215</w:t>
            </w:r>
          </w:p>
        </w:tc>
        <w:tc>
          <w:tcPr>
            <w:tcW w:w="1417" w:type="dxa"/>
            <w:noWrap/>
            <w:hideMark/>
          </w:tcPr>
          <w:p w14:paraId="7D517B7B"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181031</w:t>
            </w:r>
          </w:p>
        </w:tc>
        <w:tc>
          <w:tcPr>
            <w:tcW w:w="1701" w:type="dxa"/>
            <w:noWrap/>
            <w:hideMark/>
          </w:tcPr>
          <w:p w14:paraId="39FB2561"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-27.06</w:t>
            </w:r>
          </w:p>
        </w:tc>
        <w:tc>
          <w:tcPr>
            <w:tcW w:w="1813" w:type="dxa"/>
            <w:noWrap/>
            <w:hideMark/>
          </w:tcPr>
          <w:p w14:paraId="72D5D247"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-27.02</w:t>
            </w:r>
          </w:p>
        </w:tc>
      </w:tr>
      <w:tr w:rsidR="00945365" w:rsidRPr="000471CA" w14:paraId="3376FA7E" w14:textId="77777777" w:rsidTr="00887F33">
        <w:trPr>
          <w:trHeight w:val="320"/>
        </w:trPr>
        <w:tc>
          <w:tcPr>
            <w:tcW w:w="1668" w:type="dxa"/>
            <w:noWrap/>
            <w:hideMark/>
          </w:tcPr>
          <w:p w14:paraId="259CE734"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SPT215</w:t>
            </w:r>
          </w:p>
        </w:tc>
        <w:tc>
          <w:tcPr>
            <w:tcW w:w="1417" w:type="dxa"/>
            <w:noWrap/>
            <w:hideMark/>
          </w:tcPr>
          <w:p w14:paraId="0F5E7B21"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181031</w:t>
            </w:r>
          </w:p>
        </w:tc>
        <w:tc>
          <w:tcPr>
            <w:tcW w:w="1701" w:type="dxa"/>
            <w:noWrap/>
            <w:hideMark/>
          </w:tcPr>
          <w:p w14:paraId="36A64E2C"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-27.45</w:t>
            </w:r>
          </w:p>
        </w:tc>
        <w:tc>
          <w:tcPr>
            <w:tcW w:w="1813" w:type="dxa"/>
            <w:noWrap/>
            <w:hideMark/>
          </w:tcPr>
          <w:p w14:paraId="2511B5C5"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-27.32</w:t>
            </w:r>
          </w:p>
        </w:tc>
      </w:tr>
      <w:tr w:rsidR="00945365" w:rsidRPr="000471CA" w14:paraId="414A6077" w14:textId="77777777" w:rsidTr="00887F33">
        <w:trPr>
          <w:trHeight w:val="320"/>
        </w:trPr>
        <w:tc>
          <w:tcPr>
            <w:tcW w:w="1668" w:type="dxa"/>
            <w:noWrap/>
            <w:hideMark/>
          </w:tcPr>
          <w:p w14:paraId="767488E4"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STM003</w:t>
            </w:r>
          </w:p>
        </w:tc>
        <w:tc>
          <w:tcPr>
            <w:tcW w:w="1417" w:type="dxa"/>
            <w:noWrap/>
            <w:hideMark/>
          </w:tcPr>
          <w:p w14:paraId="6FB479DA"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181031</w:t>
            </w:r>
          </w:p>
        </w:tc>
        <w:tc>
          <w:tcPr>
            <w:tcW w:w="1701" w:type="dxa"/>
            <w:noWrap/>
            <w:hideMark/>
          </w:tcPr>
          <w:p w14:paraId="79B3971A"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-23.60</w:t>
            </w:r>
          </w:p>
        </w:tc>
        <w:tc>
          <w:tcPr>
            <w:tcW w:w="1813" w:type="dxa"/>
            <w:noWrap/>
            <w:hideMark/>
          </w:tcPr>
          <w:p w14:paraId="79B8CAD6"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-23.52</w:t>
            </w:r>
          </w:p>
        </w:tc>
      </w:tr>
      <w:tr w:rsidR="00945365" w:rsidRPr="000471CA" w14:paraId="3BAFE7BD" w14:textId="77777777" w:rsidTr="00887F33">
        <w:trPr>
          <w:trHeight w:val="320"/>
        </w:trPr>
        <w:tc>
          <w:tcPr>
            <w:tcW w:w="1668" w:type="dxa"/>
            <w:noWrap/>
            <w:hideMark/>
          </w:tcPr>
          <w:p w14:paraId="5D637E49"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STM013</w:t>
            </w:r>
          </w:p>
        </w:tc>
        <w:tc>
          <w:tcPr>
            <w:tcW w:w="1417" w:type="dxa"/>
            <w:noWrap/>
            <w:hideMark/>
          </w:tcPr>
          <w:p w14:paraId="4CF0942E"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181031</w:t>
            </w:r>
          </w:p>
        </w:tc>
        <w:tc>
          <w:tcPr>
            <w:tcW w:w="1701" w:type="dxa"/>
            <w:noWrap/>
            <w:hideMark/>
          </w:tcPr>
          <w:p w14:paraId="44718480"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-23.17</w:t>
            </w:r>
          </w:p>
        </w:tc>
        <w:tc>
          <w:tcPr>
            <w:tcW w:w="1813" w:type="dxa"/>
            <w:noWrap/>
            <w:hideMark/>
          </w:tcPr>
          <w:p w14:paraId="51F4E988"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-22.92</w:t>
            </w:r>
          </w:p>
        </w:tc>
      </w:tr>
      <w:tr w:rsidR="00945365" w:rsidRPr="000471CA" w14:paraId="79A0F60B" w14:textId="77777777" w:rsidTr="00887F33">
        <w:trPr>
          <w:trHeight w:val="320"/>
        </w:trPr>
        <w:tc>
          <w:tcPr>
            <w:tcW w:w="1668" w:type="dxa"/>
            <w:noWrap/>
            <w:hideMark/>
          </w:tcPr>
          <w:p w14:paraId="665A15A0"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STM020</w:t>
            </w:r>
          </w:p>
        </w:tc>
        <w:tc>
          <w:tcPr>
            <w:tcW w:w="1417" w:type="dxa"/>
            <w:noWrap/>
            <w:hideMark/>
          </w:tcPr>
          <w:p w14:paraId="28FC7E68"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181031</w:t>
            </w:r>
          </w:p>
        </w:tc>
        <w:tc>
          <w:tcPr>
            <w:tcW w:w="1701" w:type="dxa"/>
            <w:noWrap/>
            <w:hideMark/>
          </w:tcPr>
          <w:p w14:paraId="798A291B"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-25.66</w:t>
            </w:r>
          </w:p>
        </w:tc>
        <w:tc>
          <w:tcPr>
            <w:tcW w:w="1813" w:type="dxa"/>
            <w:noWrap/>
            <w:hideMark/>
          </w:tcPr>
          <w:p w14:paraId="4457DC08"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-25.69</w:t>
            </w:r>
          </w:p>
        </w:tc>
      </w:tr>
      <w:tr w:rsidR="00945365" w:rsidRPr="000471CA" w14:paraId="107F1946" w14:textId="77777777" w:rsidTr="00887F33">
        <w:trPr>
          <w:trHeight w:val="320"/>
        </w:trPr>
        <w:tc>
          <w:tcPr>
            <w:tcW w:w="1668" w:type="dxa"/>
            <w:noWrap/>
            <w:hideMark/>
          </w:tcPr>
          <w:p w14:paraId="2F0C0DB7"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STM021</w:t>
            </w:r>
          </w:p>
        </w:tc>
        <w:tc>
          <w:tcPr>
            <w:tcW w:w="1417" w:type="dxa"/>
            <w:noWrap/>
            <w:hideMark/>
          </w:tcPr>
          <w:p w14:paraId="7C76F9C5"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181031</w:t>
            </w:r>
          </w:p>
        </w:tc>
        <w:tc>
          <w:tcPr>
            <w:tcW w:w="1701" w:type="dxa"/>
            <w:noWrap/>
            <w:hideMark/>
          </w:tcPr>
          <w:p w14:paraId="7B590807"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-21.99</w:t>
            </w:r>
          </w:p>
        </w:tc>
        <w:tc>
          <w:tcPr>
            <w:tcW w:w="1813" w:type="dxa"/>
            <w:noWrap/>
            <w:hideMark/>
          </w:tcPr>
          <w:p w14:paraId="2195F25A"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eastAsia="Times New Roman" w:hAnsi="Times New Roman" w:cs="Times New Roman"/>
                <w:color w:val="000000"/>
                <w:sz w:val="24"/>
                <w:szCs w:val="24"/>
              </w:rPr>
              <w:t>-21.94</w:t>
            </w:r>
          </w:p>
        </w:tc>
      </w:tr>
      <w:tr w:rsidR="00945365" w:rsidRPr="000471CA" w14:paraId="79A2C6C0" w14:textId="77777777" w:rsidTr="00887F33">
        <w:trPr>
          <w:trHeight w:val="320"/>
        </w:trPr>
        <w:tc>
          <w:tcPr>
            <w:tcW w:w="1668" w:type="dxa"/>
            <w:noWrap/>
            <w:vAlign w:val="bottom"/>
          </w:tcPr>
          <w:p w14:paraId="76F95D35" w14:textId="3C072A8B" w:rsidR="00945365" w:rsidRPr="00887F33" w:rsidRDefault="00036EC9" w:rsidP="0031109F">
            <w:pPr>
              <w:rPr>
                <w:rFonts w:ascii="Times New Roman" w:eastAsia="Times New Roman" w:hAnsi="Times New Roman" w:cs="Times New Roman"/>
                <w:b/>
                <w:color w:val="000000"/>
                <w:sz w:val="24"/>
                <w:szCs w:val="24"/>
              </w:rPr>
            </w:pPr>
            <w:r w:rsidRPr="00887F33">
              <w:rPr>
                <w:rFonts w:ascii="Times New Roman" w:hAnsi="Times New Roman" w:cs="Times New Roman"/>
                <w:b/>
                <w:color w:val="000000"/>
                <w:sz w:val="24"/>
                <w:szCs w:val="24"/>
              </w:rPr>
              <w:t xml:space="preserve">Sample </w:t>
            </w:r>
            <w:r w:rsidR="00945365" w:rsidRPr="00887F33">
              <w:rPr>
                <w:rFonts w:ascii="Times New Roman" w:hAnsi="Times New Roman" w:cs="Times New Roman"/>
                <w:b/>
                <w:color w:val="000000"/>
                <w:sz w:val="24"/>
                <w:szCs w:val="24"/>
              </w:rPr>
              <w:t>ID</w:t>
            </w:r>
          </w:p>
        </w:tc>
        <w:tc>
          <w:tcPr>
            <w:tcW w:w="1417" w:type="dxa"/>
            <w:noWrap/>
            <w:vAlign w:val="bottom"/>
          </w:tcPr>
          <w:p w14:paraId="57799EBB" w14:textId="77777777" w:rsidR="00945365" w:rsidRPr="00887F33" w:rsidRDefault="00945365" w:rsidP="0031109F">
            <w:pPr>
              <w:jc w:val="right"/>
              <w:rPr>
                <w:rFonts w:ascii="Times New Roman" w:eastAsia="Times New Roman" w:hAnsi="Times New Roman" w:cs="Times New Roman"/>
                <w:b/>
                <w:color w:val="000000"/>
                <w:sz w:val="24"/>
                <w:szCs w:val="24"/>
              </w:rPr>
            </w:pPr>
            <w:proofErr w:type="spellStart"/>
            <w:r w:rsidRPr="00887F33">
              <w:rPr>
                <w:rFonts w:ascii="Times New Roman" w:hAnsi="Times New Roman" w:cs="Times New Roman"/>
                <w:b/>
                <w:color w:val="000000"/>
                <w:sz w:val="24"/>
                <w:szCs w:val="24"/>
              </w:rPr>
              <w:t>Runfile</w:t>
            </w:r>
            <w:proofErr w:type="spellEnd"/>
            <w:r w:rsidRPr="00887F33">
              <w:rPr>
                <w:rFonts w:ascii="Times New Roman" w:hAnsi="Times New Roman" w:cs="Times New Roman"/>
                <w:b/>
                <w:color w:val="000000"/>
                <w:sz w:val="24"/>
                <w:szCs w:val="24"/>
              </w:rPr>
              <w:t xml:space="preserve"> N</w:t>
            </w:r>
          </w:p>
        </w:tc>
        <w:tc>
          <w:tcPr>
            <w:tcW w:w="1701" w:type="dxa"/>
            <w:noWrap/>
            <w:vAlign w:val="bottom"/>
          </w:tcPr>
          <w:p w14:paraId="6FCB5C19" w14:textId="77777777" w:rsidR="00945365" w:rsidRPr="00887F33" w:rsidRDefault="00945365" w:rsidP="0031109F">
            <w:pPr>
              <w:jc w:val="right"/>
              <w:rPr>
                <w:rFonts w:ascii="Times New Roman" w:eastAsia="Times New Roman" w:hAnsi="Times New Roman" w:cs="Times New Roman"/>
                <w:b/>
                <w:color w:val="000000"/>
                <w:sz w:val="24"/>
                <w:szCs w:val="24"/>
              </w:rPr>
            </w:pPr>
            <w:proofErr w:type="spellStart"/>
            <w:r w:rsidRPr="00887F33">
              <w:rPr>
                <w:rFonts w:ascii="Times New Roman" w:hAnsi="Times New Roman" w:cs="Times New Roman"/>
                <w:b/>
                <w:color w:val="000000"/>
                <w:sz w:val="24"/>
                <w:szCs w:val="24"/>
              </w:rPr>
              <w:t>δ</w:t>
            </w:r>
            <w:r w:rsidRPr="00887F33">
              <w:rPr>
                <w:rFonts w:ascii="Times New Roman" w:hAnsi="Times New Roman" w:cs="Times New Roman"/>
                <w:b/>
                <w:color w:val="000000"/>
                <w:sz w:val="24"/>
                <w:szCs w:val="24"/>
                <w:vertAlign w:val="superscript"/>
              </w:rPr>
              <w:t>15</w:t>
            </w:r>
            <w:r w:rsidRPr="00887F33">
              <w:rPr>
                <w:rFonts w:ascii="Times New Roman" w:hAnsi="Times New Roman" w:cs="Times New Roman"/>
                <w:b/>
                <w:color w:val="000000"/>
                <w:sz w:val="24"/>
                <w:szCs w:val="24"/>
              </w:rPr>
              <w:t>N</w:t>
            </w:r>
            <w:proofErr w:type="spellEnd"/>
            <w:r w:rsidRPr="00887F33">
              <w:rPr>
                <w:rFonts w:ascii="Times New Roman" w:hAnsi="Times New Roman" w:cs="Times New Roman"/>
                <w:b/>
                <w:color w:val="000000"/>
                <w:sz w:val="24"/>
                <w:szCs w:val="24"/>
              </w:rPr>
              <w:t xml:space="preserve"> </w:t>
            </w:r>
            <w:proofErr w:type="spellStart"/>
            <w:r w:rsidRPr="00887F33">
              <w:rPr>
                <w:rFonts w:ascii="Times New Roman" w:hAnsi="Times New Roman" w:cs="Times New Roman"/>
                <w:b/>
                <w:color w:val="000000"/>
                <w:sz w:val="24"/>
                <w:szCs w:val="24"/>
              </w:rPr>
              <w:t>DulpA</w:t>
            </w:r>
            <w:proofErr w:type="spellEnd"/>
          </w:p>
        </w:tc>
        <w:tc>
          <w:tcPr>
            <w:tcW w:w="1813" w:type="dxa"/>
            <w:noWrap/>
            <w:vAlign w:val="bottom"/>
          </w:tcPr>
          <w:p w14:paraId="6799280F" w14:textId="77777777" w:rsidR="00945365" w:rsidRPr="00887F33" w:rsidRDefault="00945365" w:rsidP="0031109F">
            <w:pPr>
              <w:jc w:val="right"/>
              <w:rPr>
                <w:rFonts w:ascii="Times New Roman" w:eastAsia="Times New Roman" w:hAnsi="Times New Roman" w:cs="Times New Roman"/>
                <w:b/>
                <w:color w:val="000000"/>
                <w:sz w:val="24"/>
                <w:szCs w:val="24"/>
              </w:rPr>
            </w:pPr>
            <w:proofErr w:type="spellStart"/>
            <w:r w:rsidRPr="00887F33">
              <w:rPr>
                <w:rFonts w:ascii="Times New Roman" w:hAnsi="Times New Roman" w:cs="Times New Roman"/>
                <w:b/>
                <w:color w:val="000000"/>
                <w:sz w:val="24"/>
                <w:szCs w:val="24"/>
              </w:rPr>
              <w:t>δ</w:t>
            </w:r>
            <w:r w:rsidRPr="00887F33">
              <w:rPr>
                <w:rFonts w:ascii="Times New Roman" w:hAnsi="Times New Roman" w:cs="Times New Roman"/>
                <w:b/>
                <w:color w:val="000000"/>
                <w:sz w:val="24"/>
                <w:szCs w:val="24"/>
                <w:vertAlign w:val="superscript"/>
              </w:rPr>
              <w:t>15</w:t>
            </w:r>
            <w:r w:rsidRPr="00887F33">
              <w:rPr>
                <w:rFonts w:ascii="Times New Roman" w:hAnsi="Times New Roman" w:cs="Times New Roman"/>
                <w:b/>
                <w:color w:val="000000"/>
                <w:sz w:val="24"/>
                <w:szCs w:val="24"/>
              </w:rPr>
              <w:t>N</w:t>
            </w:r>
            <w:proofErr w:type="spellEnd"/>
            <w:r w:rsidRPr="00887F33">
              <w:rPr>
                <w:rFonts w:ascii="Times New Roman" w:hAnsi="Times New Roman" w:cs="Times New Roman"/>
                <w:b/>
                <w:color w:val="000000"/>
                <w:sz w:val="24"/>
                <w:szCs w:val="24"/>
              </w:rPr>
              <w:t xml:space="preserve"> </w:t>
            </w:r>
            <w:proofErr w:type="spellStart"/>
            <w:r w:rsidRPr="00887F33">
              <w:rPr>
                <w:rFonts w:ascii="Times New Roman" w:hAnsi="Times New Roman" w:cs="Times New Roman"/>
                <w:b/>
                <w:color w:val="000000"/>
                <w:sz w:val="24"/>
                <w:szCs w:val="24"/>
              </w:rPr>
              <w:t>DulpB</w:t>
            </w:r>
            <w:proofErr w:type="spellEnd"/>
          </w:p>
        </w:tc>
      </w:tr>
      <w:tr w:rsidR="00945365" w:rsidRPr="000471CA" w14:paraId="27AAB5A0" w14:textId="77777777" w:rsidTr="00887F33">
        <w:trPr>
          <w:trHeight w:val="320"/>
        </w:trPr>
        <w:tc>
          <w:tcPr>
            <w:tcW w:w="1668" w:type="dxa"/>
            <w:noWrap/>
            <w:vAlign w:val="bottom"/>
          </w:tcPr>
          <w:p w14:paraId="74AFA4E4"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STT012</w:t>
            </w:r>
          </w:p>
        </w:tc>
        <w:tc>
          <w:tcPr>
            <w:tcW w:w="1417" w:type="dxa"/>
            <w:noWrap/>
            <w:vAlign w:val="bottom"/>
          </w:tcPr>
          <w:p w14:paraId="1155A34F"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180904</w:t>
            </w:r>
          </w:p>
        </w:tc>
        <w:tc>
          <w:tcPr>
            <w:tcW w:w="1701" w:type="dxa"/>
            <w:noWrap/>
            <w:vAlign w:val="bottom"/>
          </w:tcPr>
          <w:p w14:paraId="1D66D782"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6.04</w:t>
            </w:r>
          </w:p>
        </w:tc>
        <w:tc>
          <w:tcPr>
            <w:tcW w:w="1813" w:type="dxa"/>
            <w:noWrap/>
            <w:vAlign w:val="bottom"/>
          </w:tcPr>
          <w:p w14:paraId="0D66467C"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6.18</w:t>
            </w:r>
          </w:p>
        </w:tc>
      </w:tr>
      <w:tr w:rsidR="00945365" w:rsidRPr="000471CA" w14:paraId="24BA342F" w14:textId="77777777" w:rsidTr="00887F33">
        <w:trPr>
          <w:trHeight w:val="320"/>
        </w:trPr>
        <w:tc>
          <w:tcPr>
            <w:tcW w:w="1668" w:type="dxa"/>
            <w:noWrap/>
            <w:vAlign w:val="bottom"/>
          </w:tcPr>
          <w:p w14:paraId="5B0685E7"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STM006</w:t>
            </w:r>
          </w:p>
        </w:tc>
        <w:tc>
          <w:tcPr>
            <w:tcW w:w="1417" w:type="dxa"/>
            <w:noWrap/>
            <w:vAlign w:val="bottom"/>
          </w:tcPr>
          <w:p w14:paraId="244BD366"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180904</w:t>
            </w:r>
          </w:p>
        </w:tc>
        <w:tc>
          <w:tcPr>
            <w:tcW w:w="1701" w:type="dxa"/>
            <w:noWrap/>
            <w:vAlign w:val="bottom"/>
          </w:tcPr>
          <w:p w14:paraId="0BF9B9CA"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8.28</w:t>
            </w:r>
          </w:p>
        </w:tc>
        <w:tc>
          <w:tcPr>
            <w:tcW w:w="1813" w:type="dxa"/>
            <w:noWrap/>
            <w:vAlign w:val="bottom"/>
          </w:tcPr>
          <w:p w14:paraId="065923AC"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8.07</w:t>
            </w:r>
          </w:p>
        </w:tc>
      </w:tr>
      <w:tr w:rsidR="00945365" w:rsidRPr="000471CA" w14:paraId="00140DAC" w14:textId="77777777" w:rsidTr="00887F33">
        <w:trPr>
          <w:trHeight w:val="320"/>
        </w:trPr>
        <w:tc>
          <w:tcPr>
            <w:tcW w:w="1668" w:type="dxa"/>
            <w:noWrap/>
            <w:vAlign w:val="bottom"/>
          </w:tcPr>
          <w:p w14:paraId="1670B97B"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STM013</w:t>
            </w:r>
          </w:p>
        </w:tc>
        <w:tc>
          <w:tcPr>
            <w:tcW w:w="1417" w:type="dxa"/>
            <w:noWrap/>
            <w:vAlign w:val="bottom"/>
          </w:tcPr>
          <w:p w14:paraId="7D886551"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180904</w:t>
            </w:r>
          </w:p>
        </w:tc>
        <w:tc>
          <w:tcPr>
            <w:tcW w:w="1701" w:type="dxa"/>
            <w:noWrap/>
            <w:vAlign w:val="bottom"/>
          </w:tcPr>
          <w:p w14:paraId="74A3D91F"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8.52</w:t>
            </w:r>
          </w:p>
        </w:tc>
        <w:tc>
          <w:tcPr>
            <w:tcW w:w="1813" w:type="dxa"/>
            <w:noWrap/>
            <w:vAlign w:val="bottom"/>
          </w:tcPr>
          <w:p w14:paraId="4CCD6E7A"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8.28</w:t>
            </w:r>
          </w:p>
        </w:tc>
      </w:tr>
      <w:tr w:rsidR="00945365" w:rsidRPr="000471CA" w14:paraId="54B52029" w14:textId="77777777" w:rsidTr="00887F33">
        <w:trPr>
          <w:trHeight w:val="320"/>
        </w:trPr>
        <w:tc>
          <w:tcPr>
            <w:tcW w:w="1668" w:type="dxa"/>
            <w:noWrap/>
            <w:vAlign w:val="bottom"/>
          </w:tcPr>
          <w:p w14:paraId="1C5D40AD"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STM022</w:t>
            </w:r>
          </w:p>
        </w:tc>
        <w:tc>
          <w:tcPr>
            <w:tcW w:w="1417" w:type="dxa"/>
            <w:noWrap/>
            <w:vAlign w:val="bottom"/>
          </w:tcPr>
          <w:p w14:paraId="4086E160"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180904</w:t>
            </w:r>
          </w:p>
        </w:tc>
        <w:tc>
          <w:tcPr>
            <w:tcW w:w="1701" w:type="dxa"/>
            <w:noWrap/>
            <w:vAlign w:val="bottom"/>
          </w:tcPr>
          <w:p w14:paraId="1180EDA7"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9.01</w:t>
            </w:r>
          </w:p>
        </w:tc>
        <w:tc>
          <w:tcPr>
            <w:tcW w:w="1813" w:type="dxa"/>
            <w:noWrap/>
            <w:vAlign w:val="bottom"/>
          </w:tcPr>
          <w:p w14:paraId="1A29E7FA"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8.97</w:t>
            </w:r>
          </w:p>
        </w:tc>
      </w:tr>
      <w:tr w:rsidR="00945365" w:rsidRPr="000471CA" w14:paraId="0C3861CD" w14:textId="77777777" w:rsidTr="00887F33">
        <w:trPr>
          <w:trHeight w:val="320"/>
        </w:trPr>
        <w:tc>
          <w:tcPr>
            <w:tcW w:w="1668" w:type="dxa"/>
            <w:noWrap/>
            <w:vAlign w:val="bottom"/>
          </w:tcPr>
          <w:p w14:paraId="439FA387"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DAN018</w:t>
            </w:r>
          </w:p>
        </w:tc>
        <w:tc>
          <w:tcPr>
            <w:tcW w:w="1417" w:type="dxa"/>
            <w:noWrap/>
            <w:vAlign w:val="bottom"/>
          </w:tcPr>
          <w:p w14:paraId="5E515BB1"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180907A</w:t>
            </w:r>
          </w:p>
        </w:tc>
        <w:tc>
          <w:tcPr>
            <w:tcW w:w="1701" w:type="dxa"/>
            <w:noWrap/>
            <w:vAlign w:val="bottom"/>
          </w:tcPr>
          <w:p w14:paraId="7237737C"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5.49</w:t>
            </w:r>
          </w:p>
        </w:tc>
        <w:tc>
          <w:tcPr>
            <w:tcW w:w="1813" w:type="dxa"/>
            <w:noWrap/>
            <w:vAlign w:val="bottom"/>
          </w:tcPr>
          <w:p w14:paraId="54564240"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5.93</w:t>
            </w:r>
          </w:p>
        </w:tc>
      </w:tr>
      <w:tr w:rsidR="00945365" w:rsidRPr="000471CA" w14:paraId="2B5594E7" w14:textId="77777777" w:rsidTr="00887F33">
        <w:trPr>
          <w:trHeight w:val="320"/>
        </w:trPr>
        <w:tc>
          <w:tcPr>
            <w:tcW w:w="1668" w:type="dxa"/>
            <w:noWrap/>
            <w:vAlign w:val="bottom"/>
          </w:tcPr>
          <w:p w14:paraId="6A0CB310"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DKB008</w:t>
            </w:r>
          </w:p>
        </w:tc>
        <w:tc>
          <w:tcPr>
            <w:tcW w:w="1417" w:type="dxa"/>
            <w:noWrap/>
            <w:vAlign w:val="bottom"/>
          </w:tcPr>
          <w:p w14:paraId="043E527F"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180907A</w:t>
            </w:r>
          </w:p>
        </w:tc>
        <w:tc>
          <w:tcPr>
            <w:tcW w:w="1701" w:type="dxa"/>
            <w:noWrap/>
            <w:vAlign w:val="bottom"/>
          </w:tcPr>
          <w:p w14:paraId="65EF71E8"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5.09</w:t>
            </w:r>
          </w:p>
        </w:tc>
        <w:tc>
          <w:tcPr>
            <w:tcW w:w="1813" w:type="dxa"/>
            <w:noWrap/>
            <w:vAlign w:val="bottom"/>
          </w:tcPr>
          <w:p w14:paraId="2DF1ABB9"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4.97</w:t>
            </w:r>
          </w:p>
        </w:tc>
      </w:tr>
      <w:tr w:rsidR="00945365" w:rsidRPr="000471CA" w14:paraId="7736EF81" w14:textId="77777777" w:rsidTr="00887F33">
        <w:trPr>
          <w:trHeight w:val="320"/>
        </w:trPr>
        <w:tc>
          <w:tcPr>
            <w:tcW w:w="1668" w:type="dxa"/>
            <w:noWrap/>
            <w:vAlign w:val="bottom"/>
          </w:tcPr>
          <w:p w14:paraId="0D3E1A58"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DAN032</w:t>
            </w:r>
          </w:p>
        </w:tc>
        <w:tc>
          <w:tcPr>
            <w:tcW w:w="1417" w:type="dxa"/>
            <w:noWrap/>
            <w:vAlign w:val="bottom"/>
          </w:tcPr>
          <w:p w14:paraId="22854CD4"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180907A</w:t>
            </w:r>
          </w:p>
        </w:tc>
        <w:tc>
          <w:tcPr>
            <w:tcW w:w="1701" w:type="dxa"/>
            <w:noWrap/>
            <w:vAlign w:val="bottom"/>
          </w:tcPr>
          <w:p w14:paraId="6EE136F5"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2.83</w:t>
            </w:r>
          </w:p>
        </w:tc>
        <w:tc>
          <w:tcPr>
            <w:tcW w:w="1813" w:type="dxa"/>
            <w:noWrap/>
            <w:vAlign w:val="bottom"/>
          </w:tcPr>
          <w:p w14:paraId="51063BF4"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2.63</w:t>
            </w:r>
          </w:p>
        </w:tc>
      </w:tr>
      <w:tr w:rsidR="00945365" w:rsidRPr="000471CA" w14:paraId="34E4765F" w14:textId="77777777" w:rsidTr="00887F33">
        <w:trPr>
          <w:trHeight w:val="320"/>
        </w:trPr>
        <w:tc>
          <w:tcPr>
            <w:tcW w:w="1668" w:type="dxa"/>
            <w:noWrap/>
            <w:vAlign w:val="bottom"/>
          </w:tcPr>
          <w:p w14:paraId="118F2F56"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DAN025</w:t>
            </w:r>
          </w:p>
        </w:tc>
        <w:tc>
          <w:tcPr>
            <w:tcW w:w="1417" w:type="dxa"/>
            <w:noWrap/>
            <w:vAlign w:val="bottom"/>
          </w:tcPr>
          <w:p w14:paraId="3D17B94E"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180907A</w:t>
            </w:r>
          </w:p>
        </w:tc>
        <w:tc>
          <w:tcPr>
            <w:tcW w:w="1701" w:type="dxa"/>
            <w:noWrap/>
            <w:vAlign w:val="bottom"/>
          </w:tcPr>
          <w:p w14:paraId="522CAE9D"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3.43</w:t>
            </w:r>
          </w:p>
        </w:tc>
        <w:tc>
          <w:tcPr>
            <w:tcW w:w="1813" w:type="dxa"/>
            <w:noWrap/>
            <w:vAlign w:val="bottom"/>
          </w:tcPr>
          <w:p w14:paraId="1733AF9A"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3.50</w:t>
            </w:r>
          </w:p>
        </w:tc>
      </w:tr>
      <w:tr w:rsidR="00945365" w:rsidRPr="000471CA" w14:paraId="65927717" w14:textId="77777777" w:rsidTr="00887F33">
        <w:trPr>
          <w:trHeight w:val="320"/>
        </w:trPr>
        <w:tc>
          <w:tcPr>
            <w:tcW w:w="1668" w:type="dxa"/>
            <w:noWrap/>
            <w:vAlign w:val="bottom"/>
          </w:tcPr>
          <w:p w14:paraId="3B9DE2AB"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SM002D</w:t>
            </w:r>
          </w:p>
        </w:tc>
        <w:tc>
          <w:tcPr>
            <w:tcW w:w="1417" w:type="dxa"/>
            <w:noWrap/>
            <w:vAlign w:val="bottom"/>
          </w:tcPr>
          <w:p w14:paraId="330D90E4"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181112</w:t>
            </w:r>
          </w:p>
        </w:tc>
        <w:tc>
          <w:tcPr>
            <w:tcW w:w="1701" w:type="dxa"/>
            <w:noWrap/>
            <w:vAlign w:val="bottom"/>
          </w:tcPr>
          <w:p w14:paraId="2A7C3B58"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5.17</w:t>
            </w:r>
          </w:p>
        </w:tc>
        <w:tc>
          <w:tcPr>
            <w:tcW w:w="1813" w:type="dxa"/>
            <w:noWrap/>
            <w:vAlign w:val="bottom"/>
          </w:tcPr>
          <w:p w14:paraId="7AFD6180"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5.20</w:t>
            </w:r>
          </w:p>
        </w:tc>
      </w:tr>
      <w:tr w:rsidR="00945365" w:rsidRPr="000471CA" w14:paraId="58B26BCB" w14:textId="77777777" w:rsidTr="00887F33">
        <w:trPr>
          <w:trHeight w:val="320"/>
        </w:trPr>
        <w:tc>
          <w:tcPr>
            <w:tcW w:w="1668" w:type="dxa"/>
            <w:noWrap/>
            <w:vAlign w:val="bottom"/>
          </w:tcPr>
          <w:p w14:paraId="3EEF967B"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STT002</w:t>
            </w:r>
          </w:p>
        </w:tc>
        <w:tc>
          <w:tcPr>
            <w:tcW w:w="1417" w:type="dxa"/>
            <w:noWrap/>
            <w:vAlign w:val="bottom"/>
          </w:tcPr>
          <w:p w14:paraId="086CC075"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181112</w:t>
            </w:r>
          </w:p>
        </w:tc>
        <w:tc>
          <w:tcPr>
            <w:tcW w:w="1701" w:type="dxa"/>
            <w:noWrap/>
            <w:vAlign w:val="bottom"/>
          </w:tcPr>
          <w:p w14:paraId="4F1FFED4"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4.11</w:t>
            </w:r>
          </w:p>
        </w:tc>
        <w:tc>
          <w:tcPr>
            <w:tcW w:w="1813" w:type="dxa"/>
            <w:noWrap/>
            <w:vAlign w:val="bottom"/>
          </w:tcPr>
          <w:p w14:paraId="197FD8F2"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3.93</w:t>
            </w:r>
          </w:p>
        </w:tc>
      </w:tr>
      <w:tr w:rsidR="00945365" w:rsidRPr="000471CA" w14:paraId="0B25F914" w14:textId="77777777" w:rsidTr="00887F33">
        <w:trPr>
          <w:trHeight w:val="320"/>
        </w:trPr>
        <w:tc>
          <w:tcPr>
            <w:tcW w:w="1668" w:type="dxa"/>
            <w:noWrap/>
            <w:vAlign w:val="bottom"/>
          </w:tcPr>
          <w:p w14:paraId="4FDE2735"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STT009</w:t>
            </w:r>
          </w:p>
        </w:tc>
        <w:tc>
          <w:tcPr>
            <w:tcW w:w="1417" w:type="dxa"/>
            <w:noWrap/>
            <w:vAlign w:val="bottom"/>
          </w:tcPr>
          <w:p w14:paraId="1892FBA4"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181112</w:t>
            </w:r>
          </w:p>
        </w:tc>
        <w:tc>
          <w:tcPr>
            <w:tcW w:w="1701" w:type="dxa"/>
            <w:noWrap/>
            <w:vAlign w:val="bottom"/>
          </w:tcPr>
          <w:p w14:paraId="59CC7ED2"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7.92</w:t>
            </w:r>
          </w:p>
        </w:tc>
        <w:tc>
          <w:tcPr>
            <w:tcW w:w="1813" w:type="dxa"/>
            <w:noWrap/>
            <w:vAlign w:val="bottom"/>
          </w:tcPr>
          <w:p w14:paraId="152A19A1"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7.97</w:t>
            </w:r>
          </w:p>
        </w:tc>
      </w:tr>
      <w:tr w:rsidR="00945365" w:rsidRPr="000471CA" w14:paraId="634E368E" w14:textId="77777777" w:rsidTr="00887F33">
        <w:trPr>
          <w:trHeight w:val="320"/>
        </w:trPr>
        <w:tc>
          <w:tcPr>
            <w:tcW w:w="1668" w:type="dxa"/>
            <w:noWrap/>
            <w:vAlign w:val="bottom"/>
          </w:tcPr>
          <w:p w14:paraId="4AD12199"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STM017</w:t>
            </w:r>
          </w:p>
        </w:tc>
        <w:tc>
          <w:tcPr>
            <w:tcW w:w="1417" w:type="dxa"/>
            <w:noWrap/>
            <w:vAlign w:val="bottom"/>
          </w:tcPr>
          <w:p w14:paraId="5402C04D"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181112</w:t>
            </w:r>
          </w:p>
        </w:tc>
        <w:tc>
          <w:tcPr>
            <w:tcW w:w="1701" w:type="dxa"/>
            <w:noWrap/>
            <w:vAlign w:val="bottom"/>
          </w:tcPr>
          <w:p w14:paraId="08981C06"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9.86</w:t>
            </w:r>
          </w:p>
        </w:tc>
        <w:tc>
          <w:tcPr>
            <w:tcW w:w="1813" w:type="dxa"/>
            <w:noWrap/>
            <w:vAlign w:val="bottom"/>
          </w:tcPr>
          <w:p w14:paraId="4E77C1AF"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9.85</w:t>
            </w:r>
          </w:p>
        </w:tc>
      </w:tr>
      <w:tr w:rsidR="00945365" w:rsidRPr="000471CA" w14:paraId="3B1A0D77" w14:textId="77777777" w:rsidTr="00887F33">
        <w:trPr>
          <w:trHeight w:val="320"/>
        </w:trPr>
        <w:tc>
          <w:tcPr>
            <w:tcW w:w="1668" w:type="dxa"/>
            <w:noWrap/>
            <w:vAlign w:val="bottom"/>
          </w:tcPr>
          <w:p w14:paraId="4A8FD993" w14:textId="77777777" w:rsidR="00945365" w:rsidRPr="00887F33" w:rsidRDefault="00945365" w:rsidP="0031109F">
            <w:pPr>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STM021</w:t>
            </w:r>
          </w:p>
        </w:tc>
        <w:tc>
          <w:tcPr>
            <w:tcW w:w="1417" w:type="dxa"/>
            <w:noWrap/>
            <w:vAlign w:val="bottom"/>
          </w:tcPr>
          <w:p w14:paraId="0B9ABD23"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181112</w:t>
            </w:r>
          </w:p>
        </w:tc>
        <w:tc>
          <w:tcPr>
            <w:tcW w:w="1701" w:type="dxa"/>
            <w:noWrap/>
            <w:vAlign w:val="bottom"/>
          </w:tcPr>
          <w:p w14:paraId="4A56AE4C"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9.50</w:t>
            </w:r>
          </w:p>
        </w:tc>
        <w:tc>
          <w:tcPr>
            <w:tcW w:w="1813" w:type="dxa"/>
            <w:noWrap/>
            <w:vAlign w:val="bottom"/>
          </w:tcPr>
          <w:p w14:paraId="7A69777E" w14:textId="77777777" w:rsidR="00945365" w:rsidRPr="00887F33" w:rsidRDefault="00945365" w:rsidP="0031109F">
            <w:pPr>
              <w:jc w:val="right"/>
              <w:rPr>
                <w:rFonts w:ascii="Times New Roman" w:eastAsia="Times New Roman" w:hAnsi="Times New Roman" w:cs="Times New Roman"/>
                <w:color w:val="000000"/>
                <w:sz w:val="24"/>
                <w:szCs w:val="24"/>
              </w:rPr>
            </w:pPr>
            <w:r w:rsidRPr="00887F33">
              <w:rPr>
                <w:rFonts w:ascii="Times New Roman" w:hAnsi="Times New Roman" w:cs="Times New Roman"/>
                <w:color w:val="000000"/>
                <w:sz w:val="24"/>
                <w:szCs w:val="24"/>
              </w:rPr>
              <w:t>9.33</w:t>
            </w:r>
          </w:p>
        </w:tc>
      </w:tr>
    </w:tbl>
    <w:p w14:paraId="71836F43" w14:textId="77777777" w:rsidR="00945365" w:rsidRDefault="00945365" w:rsidP="00945365"/>
    <w:p w14:paraId="47C47F57" w14:textId="4CA77086" w:rsidR="00195D09" w:rsidRPr="0058342D" w:rsidRDefault="00945365" w:rsidP="0058342D">
      <w:pPr>
        <w:spacing w:after="0" w:line="360" w:lineRule="auto"/>
        <w:rPr>
          <w:rFonts w:ascii="Times New Roman" w:hAnsi="Times New Roman" w:cs="Times New Roman"/>
          <w:sz w:val="24"/>
          <w:szCs w:val="24"/>
        </w:rPr>
      </w:pPr>
      <w:r w:rsidRPr="0058342D">
        <w:rPr>
          <w:rFonts w:ascii="Times New Roman" w:hAnsi="Times New Roman" w:cs="Times New Roman"/>
          <w:b/>
          <w:i/>
          <w:iCs/>
          <w:sz w:val="24"/>
          <w:szCs w:val="24"/>
        </w:rPr>
        <w:t>Table S3.</w:t>
      </w:r>
      <w:r w:rsidRPr="0058342D">
        <w:rPr>
          <w:rFonts w:ascii="Times New Roman" w:hAnsi="Times New Roman" w:cs="Times New Roman"/>
          <w:b/>
          <w:sz w:val="24"/>
          <w:szCs w:val="24"/>
        </w:rPr>
        <w:t xml:space="preserve"> </w:t>
      </w:r>
      <w:r w:rsidRPr="0058342D">
        <w:rPr>
          <w:rFonts w:ascii="Times New Roman" w:hAnsi="Times New Roman" w:cs="Times New Roman"/>
          <w:sz w:val="24"/>
          <w:szCs w:val="24"/>
        </w:rPr>
        <w:t>Provided separate</w:t>
      </w:r>
      <w:r w:rsidR="000471CA">
        <w:rPr>
          <w:rFonts w:ascii="Times New Roman" w:hAnsi="Times New Roman" w:cs="Times New Roman"/>
          <w:sz w:val="24"/>
          <w:szCs w:val="24"/>
        </w:rPr>
        <w:t>ly</w:t>
      </w:r>
      <w:r w:rsidRPr="0058342D">
        <w:rPr>
          <w:rFonts w:ascii="Times New Roman" w:hAnsi="Times New Roman" w:cs="Times New Roman"/>
          <w:sz w:val="24"/>
          <w:szCs w:val="24"/>
        </w:rPr>
        <w:t xml:space="preserve"> </w:t>
      </w:r>
      <w:r w:rsidR="000471CA">
        <w:rPr>
          <w:rFonts w:ascii="Times New Roman" w:hAnsi="Times New Roman" w:cs="Times New Roman"/>
          <w:sz w:val="24"/>
          <w:szCs w:val="24"/>
        </w:rPr>
        <w:t xml:space="preserve">in </w:t>
      </w:r>
      <w:r w:rsidRPr="0058342D">
        <w:rPr>
          <w:rFonts w:ascii="Times New Roman" w:hAnsi="Times New Roman" w:cs="Times New Roman"/>
          <w:sz w:val="24"/>
          <w:szCs w:val="24"/>
        </w:rPr>
        <w:t>CSV</w:t>
      </w:r>
      <w:r w:rsidR="000471CA">
        <w:rPr>
          <w:rFonts w:ascii="Times New Roman" w:hAnsi="Times New Roman" w:cs="Times New Roman"/>
          <w:sz w:val="24"/>
          <w:szCs w:val="24"/>
        </w:rPr>
        <w:t xml:space="preserve"> format</w:t>
      </w:r>
      <w:r w:rsidRPr="0058342D">
        <w:rPr>
          <w:rFonts w:ascii="Times New Roman" w:hAnsi="Times New Roman" w:cs="Times New Roman"/>
          <w:sz w:val="24"/>
          <w:szCs w:val="24"/>
        </w:rPr>
        <w:t xml:space="preserve"> in Supplementary Material</w:t>
      </w:r>
      <w:r w:rsidR="00663A2B" w:rsidRPr="0058342D">
        <w:rPr>
          <w:rFonts w:ascii="Times New Roman" w:hAnsi="Times New Roman" w:cs="Times New Roman"/>
          <w:sz w:val="24"/>
          <w:szCs w:val="24"/>
        </w:rPr>
        <w:t xml:space="preserve"> 5</w:t>
      </w:r>
      <w:r w:rsidRPr="0058342D">
        <w:rPr>
          <w:rFonts w:ascii="Times New Roman" w:hAnsi="Times New Roman" w:cs="Times New Roman"/>
          <w:sz w:val="24"/>
          <w:szCs w:val="24"/>
        </w:rPr>
        <w:t>.</w:t>
      </w:r>
    </w:p>
    <w:p w14:paraId="46563CA3" w14:textId="5BC45696" w:rsidR="00887F33" w:rsidRDefault="00887F33">
      <w:pPr>
        <w:rPr>
          <w:rFonts w:ascii="Times New Roman" w:hAnsi="Times New Roman" w:cs="Times New Roman"/>
          <w:sz w:val="24"/>
          <w:szCs w:val="24"/>
        </w:rPr>
      </w:pPr>
      <w:r>
        <w:rPr>
          <w:rFonts w:ascii="Times New Roman" w:hAnsi="Times New Roman" w:cs="Times New Roman"/>
          <w:sz w:val="24"/>
          <w:szCs w:val="24"/>
        </w:rPr>
        <w:br w:type="page"/>
      </w:r>
    </w:p>
    <w:p w14:paraId="3D557164" w14:textId="5023E10C" w:rsidR="00945365" w:rsidRPr="000471CA" w:rsidRDefault="00AE5415" w:rsidP="000471CA">
      <w:pPr>
        <w:pStyle w:val="Heading1"/>
        <w:spacing w:after="0" w:line="360" w:lineRule="auto"/>
        <w:jc w:val="center"/>
        <w:rPr>
          <w:rFonts w:ascii="Times New Roman" w:hAnsi="Times New Roman" w:cs="Times New Roman"/>
          <w:smallCaps/>
          <w:sz w:val="24"/>
          <w:szCs w:val="24"/>
        </w:rPr>
      </w:pPr>
      <w:r w:rsidRPr="00AE5415">
        <w:rPr>
          <w:rFonts w:ascii="Times New Roman" w:hAnsi="Times New Roman" w:cs="Times New Roman"/>
          <w:smallCaps/>
          <w:sz w:val="24"/>
          <w:szCs w:val="24"/>
        </w:rPr>
        <w:lastRenderedPageBreak/>
        <w:t xml:space="preserve">Modern Carbon Analysis: Physiological Offset Between Oat </w:t>
      </w:r>
      <w:r w:rsidR="00F851D5" w:rsidRPr="00AE5415">
        <w:rPr>
          <w:rFonts w:ascii="Times New Roman" w:hAnsi="Times New Roman" w:cs="Times New Roman"/>
          <w:smallCaps/>
          <w:sz w:val="24"/>
          <w:szCs w:val="24"/>
        </w:rPr>
        <w:t xml:space="preserve">and </w:t>
      </w:r>
      <w:r w:rsidRPr="00AE5415">
        <w:rPr>
          <w:rFonts w:ascii="Times New Roman" w:hAnsi="Times New Roman" w:cs="Times New Roman"/>
          <w:smallCaps/>
          <w:sz w:val="24"/>
          <w:szCs w:val="24"/>
        </w:rPr>
        <w:t>Other Cereals</w:t>
      </w:r>
    </w:p>
    <w:p w14:paraId="23344640" w14:textId="72753C70" w:rsidR="00945365" w:rsidRPr="0058342D" w:rsidRDefault="00945365" w:rsidP="0058342D">
      <w:pPr>
        <w:spacing w:after="0" w:line="360" w:lineRule="auto"/>
        <w:rPr>
          <w:rFonts w:ascii="Times New Roman" w:hAnsi="Times New Roman" w:cs="Times New Roman"/>
          <w:sz w:val="24"/>
          <w:szCs w:val="24"/>
        </w:rPr>
      </w:pPr>
      <w:r w:rsidRPr="0058342D">
        <w:rPr>
          <w:rFonts w:ascii="Times New Roman" w:hAnsi="Times New Roman" w:cs="Times New Roman"/>
          <w:sz w:val="24"/>
          <w:szCs w:val="24"/>
        </w:rPr>
        <w:t>Preliminary research was conducted on modern oat, rye</w:t>
      </w:r>
      <w:r w:rsidR="00F851D5">
        <w:rPr>
          <w:rFonts w:ascii="Times New Roman" w:hAnsi="Times New Roman" w:cs="Times New Roman"/>
          <w:sz w:val="24"/>
          <w:szCs w:val="24"/>
        </w:rPr>
        <w:t>,</w:t>
      </w:r>
      <w:r w:rsidRPr="0058342D">
        <w:rPr>
          <w:rFonts w:ascii="Times New Roman" w:hAnsi="Times New Roman" w:cs="Times New Roman"/>
          <w:sz w:val="24"/>
          <w:szCs w:val="24"/>
        </w:rPr>
        <w:t xml:space="preserve"> and free-threshing wheat to understand how δ</w:t>
      </w:r>
      <w:r w:rsidRPr="0058342D">
        <w:rPr>
          <w:rFonts w:ascii="Times New Roman" w:hAnsi="Times New Roman" w:cs="Times New Roman"/>
          <w:sz w:val="24"/>
          <w:szCs w:val="24"/>
          <w:vertAlign w:val="superscript"/>
        </w:rPr>
        <w:t>13</w:t>
      </w:r>
      <w:r w:rsidRPr="0058342D">
        <w:rPr>
          <w:rFonts w:ascii="Times New Roman" w:hAnsi="Times New Roman" w:cs="Times New Roman"/>
          <w:sz w:val="24"/>
          <w:szCs w:val="24"/>
        </w:rPr>
        <w:t>C values differ between the cereals species when grown under the same conditions. Material from two modern cereal crops and their contaminants w</w:t>
      </w:r>
      <w:r w:rsidR="00036EC9" w:rsidRPr="0058342D">
        <w:rPr>
          <w:rFonts w:ascii="Times New Roman" w:hAnsi="Times New Roman" w:cs="Times New Roman"/>
          <w:sz w:val="24"/>
          <w:szCs w:val="24"/>
        </w:rPr>
        <w:t>as</w:t>
      </w:r>
      <w:r w:rsidRPr="0058342D">
        <w:rPr>
          <w:rFonts w:ascii="Times New Roman" w:hAnsi="Times New Roman" w:cs="Times New Roman"/>
          <w:sz w:val="24"/>
          <w:szCs w:val="24"/>
        </w:rPr>
        <w:t xml:space="preserve"> analysed to establish a preliminary understanding of any differences in δ</w:t>
      </w:r>
      <w:r w:rsidRPr="0058342D">
        <w:rPr>
          <w:rFonts w:ascii="Times New Roman" w:hAnsi="Times New Roman" w:cs="Times New Roman"/>
          <w:sz w:val="24"/>
          <w:szCs w:val="24"/>
          <w:vertAlign w:val="superscript"/>
        </w:rPr>
        <w:t>13</w:t>
      </w:r>
      <w:r w:rsidRPr="0058342D">
        <w:rPr>
          <w:rFonts w:ascii="Times New Roman" w:hAnsi="Times New Roman" w:cs="Times New Roman"/>
          <w:sz w:val="24"/>
          <w:szCs w:val="24"/>
        </w:rPr>
        <w:t>C values between the crops (</w:t>
      </w:r>
      <w:r w:rsidRPr="000471CA">
        <w:rPr>
          <w:rFonts w:ascii="Times New Roman" w:hAnsi="Times New Roman" w:cs="Times New Roman"/>
          <w:sz w:val="24"/>
          <w:szCs w:val="24"/>
          <w:highlight w:val="yellow"/>
        </w:rPr>
        <w:t>Table S4</w:t>
      </w:r>
      <w:r w:rsidRPr="0058342D">
        <w:rPr>
          <w:rFonts w:ascii="Times New Roman" w:hAnsi="Times New Roman" w:cs="Times New Roman"/>
          <w:sz w:val="24"/>
          <w:szCs w:val="24"/>
        </w:rPr>
        <w:t>). The results from the analysis of a rye crop with free-threshing wheat contaminants</w:t>
      </w:r>
      <w:r w:rsidR="00036EC9" w:rsidRPr="0058342D">
        <w:rPr>
          <w:rFonts w:ascii="Times New Roman" w:hAnsi="Times New Roman" w:cs="Times New Roman"/>
          <w:sz w:val="24"/>
          <w:szCs w:val="24"/>
        </w:rPr>
        <w:t xml:space="preserve"> indicate</w:t>
      </w:r>
      <w:r w:rsidRPr="0058342D">
        <w:rPr>
          <w:rFonts w:ascii="Times New Roman" w:hAnsi="Times New Roman" w:cs="Times New Roman"/>
          <w:sz w:val="24"/>
          <w:szCs w:val="24"/>
        </w:rPr>
        <w:t xml:space="preserve"> that when these species are grown in the same field their grain δ</w:t>
      </w:r>
      <w:r w:rsidRPr="0058342D">
        <w:rPr>
          <w:rFonts w:ascii="Times New Roman" w:hAnsi="Times New Roman" w:cs="Times New Roman"/>
          <w:sz w:val="24"/>
          <w:szCs w:val="24"/>
          <w:vertAlign w:val="superscript"/>
        </w:rPr>
        <w:t>13</w:t>
      </w:r>
      <w:r w:rsidRPr="0058342D">
        <w:rPr>
          <w:rFonts w:ascii="Times New Roman" w:hAnsi="Times New Roman" w:cs="Times New Roman"/>
          <w:sz w:val="24"/>
          <w:szCs w:val="24"/>
        </w:rPr>
        <w:t xml:space="preserve">C values are not statistically significantly different (Table S4). This finding </w:t>
      </w:r>
      <w:r w:rsidR="00F851D5">
        <w:rPr>
          <w:rFonts w:ascii="Times New Roman" w:hAnsi="Times New Roman" w:cs="Times New Roman"/>
          <w:sz w:val="24"/>
          <w:szCs w:val="24"/>
        </w:rPr>
        <w:t>shows</w:t>
      </w:r>
      <w:r w:rsidR="00F851D5" w:rsidRPr="0058342D">
        <w:rPr>
          <w:rFonts w:ascii="Times New Roman" w:hAnsi="Times New Roman" w:cs="Times New Roman"/>
          <w:sz w:val="24"/>
          <w:szCs w:val="24"/>
        </w:rPr>
        <w:t xml:space="preserve"> </w:t>
      </w:r>
      <w:r w:rsidRPr="0058342D">
        <w:rPr>
          <w:rFonts w:ascii="Times New Roman" w:hAnsi="Times New Roman" w:cs="Times New Roman"/>
          <w:sz w:val="24"/>
          <w:szCs w:val="24"/>
        </w:rPr>
        <w:t>that a significant difference between archaeological rye and wheat may indicate that such crops were either cultivated in conditions of differential water availability, are from different years of cultivation</w:t>
      </w:r>
      <w:r w:rsidR="00F851D5">
        <w:rPr>
          <w:rFonts w:ascii="Times New Roman" w:hAnsi="Times New Roman" w:cs="Times New Roman"/>
          <w:sz w:val="24"/>
          <w:szCs w:val="24"/>
        </w:rPr>
        <w:t>,</w:t>
      </w:r>
      <w:r w:rsidRPr="0058342D">
        <w:rPr>
          <w:rFonts w:ascii="Times New Roman" w:hAnsi="Times New Roman" w:cs="Times New Roman"/>
          <w:sz w:val="24"/>
          <w:szCs w:val="24"/>
        </w:rPr>
        <w:t xml:space="preserve"> and/or were grown </w:t>
      </w:r>
      <w:r w:rsidR="00F851D5">
        <w:rPr>
          <w:rFonts w:ascii="Times New Roman" w:hAnsi="Times New Roman" w:cs="Times New Roman"/>
          <w:sz w:val="24"/>
          <w:szCs w:val="24"/>
        </w:rPr>
        <w:t>in</w:t>
      </w:r>
      <w:r w:rsidR="00F851D5" w:rsidRPr="0058342D">
        <w:rPr>
          <w:rFonts w:ascii="Times New Roman" w:hAnsi="Times New Roman" w:cs="Times New Roman"/>
          <w:sz w:val="24"/>
          <w:szCs w:val="24"/>
        </w:rPr>
        <w:t xml:space="preserve"> </w:t>
      </w:r>
      <w:r w:rsidRPr="0058342D">
        <w:rPr>
          <w:rFonts w:ascii="Times New Roman" w:hAnsi="Times New Roman" w:cs="Times New Roman"/>
          <w:sz w:val="24"/>
          <w:szCs w:val="24"/>
        </w:rPr>
        <w:t>different topographi</w:t>
      </w:r>
      <w:r w:rsidR="00F851D5">
        <w:rPr>
          <w:rFonts w:ascii="Times New Roman" w:hAnsi="Times New Roman" w:cs="Times New Roman"/>
          <w:sz w:val="24"/>
          <w:szCs w:val="24"/>
        </w:rPr>
        <w:t>cal locations</w:t>
      </w:r>
      <w:r w:rsidRPr="0058342D">
        <w:rPr>
          <w:rFonts w:ascii="Times New Roman" w:hAnsi="Times New Roman" w:cs="Times New Roman"/>
          <w:sz w:val="24"/>
          <w:szCs w:val="24"/>
        </w:rPr>
        <w:t>. A second analysis, conducted on a rye crop with contaminants of oat, indicated that in the same cultivation conditions oat is statistically significantly different from rye and up to 2.5 ‰ lower in δ</w:t>
      </w:r>
      <w:r w:rsidRPr="0058342D">
        <w:rPr>
          <w:rFonts w:ascii="Times New Roman" w:hAnsi="Times New Roman" w:cs="Times New Roman"/>
          <w:sz w:val="24"/>
          <w:szCs w:val="24"/>
          <w:vertAlign w:val="superscript"/>
        </w:rPr>
        <w:t>13</w:t>
      </w:r>
      <w:r w:rsidRPr="0058342D">
        <w:rPr>
          <w:rFonts w:ascii="Times New Roman" w:hAnsi="Times New Roman" w:cs="Times New Roman"/>
          <w:sz w:val="24"/>
          <w:szCs w:val="24"/>
        </w:rPr>
        <w:t>C. The offset of oat δ</w:t>
      </w:r>
      <w:r w:rsidRPr="0058342D">
        <w:rPr>
          <w:rFonts w:ascii="Times New Roman" w:hAnsi="Times New Roman" w:cs="Times New Roman"/>
          <w:sz w:val="24"/>
          <w:szCs w:val="24"/>
          <w:vertAlign w:val="superscript"/>
        </w:rPr>
        <w:t>13</w:t>
      </w:r>
      <w:r w:rsidRPr="0058342D">
        <w:rPr>
          <w:rFonts w:ascii="Times New Roman" w:hAnsi="Times New Roman" w:cs="Times New Roman"/>
          <w:sz w:val="24"/>
          <w:szCs w:val="24"/>
        </w:rPr>
        <w:t xml:space="preserve">C from the other crops values suggests a physiological cause and is </w:t>
      </w:r>
      <w:proofErr w:type="gramStart"/>
      <w:r w:rsidRPr="0058342D">
        <w:rPr>
          <w:rFonts w:ascii="Times New Roman" w:hAnsi="Times New Roman" w:cs="Times New Roman"/>
          <w:sz w:val="24"/>
          <w:szCs w:val="24"/>
        </w:rPr>
        <w:t xml:space="preserve">similar </w:t>
      </w:r>
      <w:r w:rsidR="00705175" w:rsidRPr="0058342D">
        <w:rPr>
          <w:rFonts w:ascii="Times New Roman" w:hAnsi="Times New Roman" w:cs="Times New Roman"/>
          <w:sz w:val="24"/>
          <w:szCs w:val="24"/>
        </w:rPr>
        <w:t>to</w:t>
      </w:r>
      <w:proofErr w:type="gramEnd"/>
      <w:r w:rsidR="00705175" w:rsidRPr="0058342D">
        <w:rPr>
          <w:rFonts w:ascii="Times New Roman" w:hAnsi="Times New Roman" w:cs="Times New Roman"/>
          <w:sz w:val="24"/>
          <w:szCs w:val="24"/>
        </w:rPr>
        <w:t xml:space="preserve">, </w:t>
      </w:r>
      <w:r w:rsidRPr="0058342D">
        <w:rPr>
          <w:rFonts w:ascii="Times New Roman" w:hAnsi="Times New Roman" w:cs="Times New Roman"/>
          <w:sz w:val="24"/>
          <w:szCs w:val="24"/>
        </w:rPr>
        <w:t>or possible slightly larger</w:t>
      </w:r>
      <w:r w:rsidR="00705175" w:rsidRPr="0058342D">
        <w:rPr>
          <w:rFonts w:ascii="Times New Roman" w:hAnsi="Times New Roman" w:cs="Times New Roman"/>
          <w:sz w:val="24"/>
          <w:szCs w:val="24"/>
        </w:rPr>
        <w:t xml:space="preserve"> than,</w:t>
      </w:r>
      <w:r w:rsidRPr="0058342D">
        <w:rPr>
          <w:rFonts w:ascii="Times New Roman" w:hAnsi="Times New Roman" w:cs="Times New Roman"/>
          <w:sz w:val="24"/>
          <w:szCs w:val="24"/>
        </w:rPr>
        <w:t xml:space="preserve"> the expected offset of barley from free-threshing wheat </w:t>
      </w:r>
      <w:r w:rsidRPr="0058342D">
        <w:rPr>
          <w:rFonts w:ascii="Times New Roman" w:hAnsi="Times New Roman" w:cs="Times New Roman"/>
          <w:noProof/>
          <w:sz w:val="24"/>
          <w:szCs w:val="24"/>
        </w:rPr>
        <w:t>(Wallace et al., 2013; Styring et al., 2017)</w:t>
      </w:r>
      <w:r w:rsidRPr="0058342D">
        <w:rPr>
          <w:rFonts w:ascii="Times New Roman" w:hAnsi="Times New Roman" w:cs="Times New Roman"/>
          <w:sz w:val="24"/>
          <w:szCs w:val="24"/>
        </w:rPr>
        <w:t xml:space="preserve">. </w:t>
      </w:r>
    </w:p>
    <w:p w14:paraId="2777C5B1" w14:textId="77777777" w:rsidR="00945365" w:rsidRPr="0058342D" w:rsidRDefault="00945365" w:rsidP="0058342D">
      <w:pPr>
        <w:spacing w:after="0" w:line="360" w:lineRule="auto"/>
        <w:rPr>
          <w:rFonts w:ascii="Times New Roman" w:hAnsi="Times New Roman" w:cs="Times New Roman"/>
          <w:sz w:val="24"/>
          <w:szCs w:val="24"/>
        </w:rPr>
      </w:pPr>
    </w:p>
    <w:p w14:paraId="4DF60C23" w14:textId="77777777" w:rsidR="00887F33" w:rsidRDefault="00887F33">
      <w:pPr>
        <w:rPr>
          <w:rFonts w:ascii="Times New Roman" w:hAnsi="Times New Roman" w:cs="Times New Roman"/>
          <w:b/>
          <w:i/>
          <w:iCs/>
          <w:sz w:val="24"/>
          <w:szCs w:val="24"/>
        </w:rPr>
      </w:pPr>
      <w:r>
        <w:rPr>
          <w:rFonts w:ascii="Times New Roman" w:hAnsi="Times New Roman" w:cs="Times New Roman"/>
          <w:b/>
          <w:i/>
          <w:iCs/>
          <w:sz w:val="24"/>
          <w:szCs w:val="24"/>
        </w:rPr>
        <w:br w:type="page"/>
      </w:r>
    </w:p>
    <w:p w14:paraId="38E7D2DF" w14:textId="63625224" w:rsidR="00945365" w:rsidRPr="00D0057A" w:rsidRDefault="00945365" w:rsidP="0058342D">
      <w:pPr>
        <w:spacing w:after="0" w:line="360" w:lineRule="auto"/>
        <w:rPr>
          <w:rFonts w:ascii="Times New Roman" w:hAnsi="Times New Roman" w:cs="Times New Roman"/>
          <w:i/>
          <w:iCs/>
          <w:sz w:val="24"/>
          <w:szCs w:val="24"/>
        </w:rPr>
      </w:pPr>
      <w:r w:rsidRPr="00D0057A">
        <w:rPr>
          <w:rFonts w:ascii="Times New Roman" w:hAnsi="Times New Roman" w:cs="Times New Roman"/>
          <w:b/>
          <w:i/>
          <w:iCs/>
          <w:sz w:val="24"/>
          <w:szCs w:val="24"/>
        </w:rPr>
        <w:lastRenderedPageBreak/>
        <w:t xml:space="preserve">Table </w:t>
      </w:r>
      <w:proofErr w:type="spellStart"/>
      <w:r w:rsidRPr="00D0057A">
        <w:rPr>
          <w:rFonts w:ascii="Times New Roman" w:hAnsi="Times New Roman" w:cs="Times New Roman"/>
          <w:b/>
          <w:i/>
          <w:iCs/>
          <w:sz w:val="24"/>
          <w:szCs w:val="24"/>
        </w:rPr>
        <w:t>S4</w:t>
      </w:r>
      <w:proofErr w:type="spellEnd"/>
      <w:r w:rsidRPr="00D0057A">
        <w:rPr>
          <w:rFonts w:ascii="Times New Roman" w:hAnsi="Times New Roman" w:cs="Times New Roman"/>
          <w:b/>
          <w:i/>
          <w:iCs/>
          <w:sz w:val="24"/>
          <w:szCs w:val="24"/>
        </w:rPr>
        <w:t>.</w:t>
      </w:r>
      <w:r w:rsidR="00705175" w:rsidRPr="00D0057A">
        <w:rPr>
          <w:rFonts w:ascii="Times New Roman" w:hAnsi="Times New Roman" w:cs="Times New Roman"/>
          <w:i/>
          <w:iCs/>
          <w:sz w:val="24"/>
          <w:szCs w:val="24"/>
        </w:rPr>
        <w:t xml:space="preserve"> </w:t>
      </w:r>
      <w:r w:rsidR="00F851D5" w:rsidRPr="00D0057A">
        <w:rPr>
          <w:rFonts w:ascii="Times New Roman" w:hAnsi="Times New Roman" w:cs="Times New Roman"/>
          <w:i/>
          <w:iCs/>
          <w:sz w:val="24"/>
          <w:szCs w:val="24"/>
        </w:rPr>
        <w:t xml:space="preserve">Summary </w:t>
      </w:r>
      <w:r w:rsidR="00705175" w:rsidRPr="00D0057A">
        <w:rPr>
          <w:rFonts w:ascii="Times New Roman" w:hAnsi="Times New Roman" w:cs="Times New Roman"/>
          <w:i/>
          <w:iCs/>
          <w:sz w:val="24"/>
          <w:szCs w:val="24"/>
        </w:rPr>
        <w:t>of analyses</w:t>
      </w:r>
      <w:r w:rsidRPr="00D0057A">
        <w:rPr>
          <w:rFonts w:ascii="Times New Roman" w:hAnsi="Times New Roman" w:cs="Times New Roman"/>
          <w:i/>
          <w:iCs/>
          <w:sz w:val="24"/>
          <w:szCs w:val="24"/>
        </w:rPr>
        <w:t xml:space="preserve"> of rye, wheat and oat, including the mean δ</w:t>
      </w:r>
      <w:r w:rsidRPr="00D0057A">
        <w:rPr>
          <w:rFonts w:ascii="Times New Roman" w:hAnsi="Times New Roman" w:cs="Times New Roman"/>
          <w:i/>
          <w:iCs/>
          <w:sz w:val="24"/>
          <w:szCs w:val="24"/>
          <w:vertAlign w:val="superscript"/>
        </w:rPr>
        <w:t>13</w:t>
      </w:r>
      <w:r w:rsidRPr="00D0057A">
        <w:rPr>
          <w:rFonts w:ascii="Times New Roman" w:hAnsi="Times New Roman" w:cs="Times New Roman"/>
          <w:i/>
          <w:iCs/>
          <w:sz w:val="24"/>
          <w:szCs w:val="24"/>
        </w:rPr>
        <w:t xml:space="preserve">C value, standard deviation and t.test results. </w:t>
      </w:r>
    </w:p>
    <w:tbl>
      <w:tblPr>
        <w:tblStyle w:val="TableGrid"/>
        <w:tblW w:w="0" w:type="auto"/>
        <w:tblLook w:val="04A0" w:firstRow="1" w:lastRow="0" w:firstColumn="1" w:lastColumn="0" w:noHBand="0" w:noVBand="1"/>
      </w:tblPr>
      <w:tblGrid>
        <w:gridCol w:w="1413"/>
        <w:gridCol w:w="1843"/>
        <w:gridCol w:w="2693"/>
        <w:gridCol w:w="3061"/>
      </w:tblGrid>
      <w:tr w:rsidR="00945365" w:rsidRPr="000471CA" w14:paraId="695B965C" w14:textId="77777777" w:rsidTr="0031109F">
        <w:tc>
          <w:tcPr>
            <w:tcW w:w="1413" w:type="dxa"/>
          </w:tcPr>
          <w:p w14:paraId="30917800" w14:textId="77777777" w:rsidR="00945365" w:rsidRPr="00887F33" w:rsidRDefault="00945365" w:rsidP="0031109F">
            <w:pPr>
              <w:rPr>
                <w:rFonts w:ascii="Times New Roman" w:hAnsi="Times New Roman" w:cs="Times New Roman"/>
                <w:sz w:val="24"/>
                <w:szCs w:val="24"/>
              </w:rPr>
            </w:pPr>
          </w:p>
        </w:tc>
        <w:tc>
          <w:tcPr>
            <w:tcW w:w="1843" w:type="dxa"/>
          </w:tcPr>
          <w:p w14:paraId="57B55A4F" w14:textId="77777777" w:rsidR="00945365" w:rsidRPr="00887F33" w:rsidRDefault="00945365" w:rsidP="0031109F">
            <w:pPr>
              <w:rPr>
                <w:rFonts w:ascii="Times New Roman" w:hAnsi="Times New Roman" w:cs="Times New Roman"/>
                <w:b/>
                <w:sz w:val="24"/>
                <w:szCs w:val="24"/>
              </w:rPr>
            </w:pPr>
            <w:r w:rsidRPr="00887F33">
              <w:rPr>
                <w:rFonts w:ascii="Times New Roman" w:hAnsi="Times New Roman" w:cs="Times New Roman"/>
                <w:b/>
                <w:sz w:val="24"/>
                <w:szCs w:val="24"/>
              </w:rPr>
              <w:t>Crops</w:t>
            </w:r>
          </w:p>
        </w:tc>
        <w:tc>
          <w:tcPr>
            <w:tcW w:w="2693" w:type="dxa"/>
          </w:tcPr>
          <w:p w14:paraId="63567F62" w14:textId="77777777" w:rsidR="00945365" w:rsidRPr="00887F33" w:rsidRDefault="00945365" w:rsidP="0031109F">
            <w:pPr>
              <w:rPr>
                <w:rFonts w:ascii="Times New Roman" w:hAnsi="Times New Roman" w:cs="Times New Roman"/>
                <w:b/>
                <w:sz w:val="24"/>
                <w:szCs w:val="24"/>
              </w:rPr>
            </w:pPr>
            <w:r w:rsidRPr="00887F33">
              <w:rPr>
                <w:rFonts w:ascii="Times New Roman" w:hAnsi="Times New Roman" w:cs="Times New Roman"/>
                <w:b/>
                <w:sz w:val="24"/>
                <w:szCs w:val="24"/>
              </w:rPr>
              <w:t>Mean</w:t>
            </w:r>
          </w:p>
        </w:tc>
        <w:tc>
          <w:tcPr>
            <w:tcW w:w="3061" w:type="dxa"/>
          </w:tcPr>
          <w:p w14:paraId="2A430D22" w14:textId="3955C6DC" w:rsidR="00945365" w:rsidRPr="00887F33" w:rsidRDefault="00945365" w:rsidP="0031109F">
            <w:pPr>
              <w:rPr>
                <w:rFonts w:ascii="Times New Roman" w:hAnsi="Times New Roman" w:cs="Times New Roman"/>
                <w:b/>
                <w:sz w:val="24"/>
                <w:szCs w:val="24"/>
              </w:rPr>
            </w:pPr>
            <w:r w:rsidRPr="00887F33">
              <w:rPr>
                <w:rFonts w:ascii="Times New Roman" w:hAnsi="Times New Roman" w:cs="Times New Roman"/>
                <w:b/>
                <w:sz w:val="24"/>
                <w:szCs w:val="24"/>
              </w:rPr>
              <w:t>Statistical results</w:t>
            </w:r>
          </w:p>
        </w:tc>
      </w:tr>
      <w:tr w:rsidR="00945365" w:rsidRPr="000471CA" w14:paraId="4817354B" w14:textId="77777777" w:rsidTr="0031109F">
        <w:tc>
          <w:tcPr>
            <w:tcW w:w="1413" w:type="dxa"/>
          </w:tcPr>
          <w:p w14:paraId="79A42C6C" w14:textId="77777777" w:rsidR="00945365" w:rsidRPr="00887F33" w:rsidRDefault="00945365" w:rsidP="0031109F">
            <w:pPr>
              <w:rPr>
                <w:rFonts w:ascii="Times New Roman" w:hAnsi="Times New Roman" w:cs="Times New Roman"/>
                <w:b/>
                <w:sz w:val="24"/>
                <w:szCs w:val="24"/>
              </w:rPr>
            </w:pPr>
            <w:r w:rsidRPr="00887F33">
              <w:rPr>
                <w:rFonts w:ascii="Times New Roman" w:hAnsi="Times New Roman" w:cs="Times New Roman"/>
                <w:b/>
                <w:sz w:val="24"/>
                <w:szCs w:val="24"/>
              </w:rPr>
              <w:t xml:space="preserve">Analysis 1 </w:t>
            </w:r>
          </w:p>
        </w:tc>
        <w:tc>
          <w:tcPr>
            <w:tcW w:w="1843" w:type="dxa"/>
          </w:tcPr>
          <w:p w14:paraId="2A4925BE" w14:textId="77777777" w:rsidR="00945365" w:rsidRPr="00887F33" w:rsidRDefault="00945365" w:rsidP="0031109F">
            <w:pPr>
              <w:rPr>
                <w:rFonts w:ascii="Times New Roman" w:hAnsi="Times New Roman" w:cs="Times New Roman"/>
                <w:sz w:val="24"/>
                <w:szCs w:val="24"/>
              </w:rPr>
            </w:pPr>
            <w:r w:rsidRPr="00887F33">
              <w:rPr>
                <w:rFonts w:ascii="Times New Roman" w:hAnsi="Times New Roman" w:cs="Times New Roman"/>
                <w:sz w:val="24"/>
                <w:szCs w:val="24"/>
              </w:rPr>
              <w:t>Rye and Wheat</w:t>
            </w:r>
          </w:p>
        </w:tc>
        <w:tc>
          <w:tcPr>
            <w:tcW w:w="2693" w:type="dxa"/>
          </w:tcPr>
          <w:p w14:paraId="5339C343" w14:textId="77777777" w:rsidR="00945365" w:rsidRPr="00887F33" w:rsidRDefault="00945365" w:rsidP="0031109F">
            <w:pPr>
              <w:rPr>
                <w:rFonts w:ascii="Times New Roman" w:hAnsi="Times New Roman" w:cs="Times New Roman"/>
                <w:sz w:val="24"/>
                <w:szCs w:val="24"/>
              </w:rPr>
            </w:pPr>
            <w:r w:rsidRPr="00887F33">
              <w:rPr>
                <w:rFonts w:ascii="Times New Roman" w:hAnsi="Times New Roman" w:cs="Times New Roman"/>
                <w:sz w:val="24"/>
                <w:szCs w:val="24"/>
              </w:rPr>
              <w:t>Rye=-25.62± 0.34‰</w:t>
            </w:r>
          </w:p>
          <w:p w14:paraId="6A04C7FD" w14:textId="77777777" w:rsidR="00945365" w:rsidRPr="00887F33" w:rsidRDefault="00945365" w:rsidP="0031109F">
            <w:pPr>
              <w:rPr>
                <w:rFonts w:ascii="Times New Roman" w:hAnsi="Times New Roman" w:cs="Times New Roman"/>
                <w:sz w:val="24"/>
                <w:szCs w:val="24"/>
              </w:rPr>
            </w:pPr>
            <w:r w:rsidRPr="00887F33">
              <w:rPr>
                <w:rFonts w:ascii="Times New Roman" w:hAnsi="Times New Roman" w:cs="Times New Roman"/>
                <w:sz w:val="24"/>
                <w:szCs w:val="24"/>
              </w:rPr>
              <w:t>Wheat =-25.09±0.11‰</w:t>
            </w:r>
          </w:p>
        </w:tc>
        <w:tc>
          <w:tcPr>
            <w:tcW w:w="3061" w:type="dxa"/>
          </w:tcPr>
          <w:p w14:paraId="54792F44" w14:textId="77777777" w:rsidR="00945365" w:rsidRPr="00887F33" w:rsidRDefault="00945365" w:rsidP="0031109F">
            <w:pPr>
              <w:rPr>
                <w:rFonts w:ascii="Times New Roman" w:hAnsi="Times New Roman" w:cs="Times New Roman"/>
                <w:sz w:val="24"/>
                <w:szCs w:val="24"/>
              </w:rPr>
            </w:pPr>
            <w:proofErr w:type="gramStart"/>
            <w:r w:rsidRPr="00887F33">
              <w:rPr>
                <w:rFonts w:ascii="Times New Roman" w:hAnsi="Times New Roman" w:cs="Times New Roman"/>
                <w:sz w:val="24"/>
                <w:szCs w:val="24"/>
              </w:rPr>
              <w:t>t(</w:t>
            </w:r>
            <w:proofErr w:type="gramEnd"/>
            <w:r w:rsidRPr="00887F33">
              <w:rPr>
                <w:rFonts w:ascii="Times New Roman" w:hAnsi="Times New Roman" w:cs="Times New Roman"/>
                <w:sz w:val="24"/>
                <w:szCs w:val="24"/>
              </w:rPr>
              <w:t>-2.6)2.3, p=0.1047</w:t>
            </w:r>
          </w:p>
        </w:tc>
      </w:tr>
      <w:tr w:rsidR="00945365" w:rsidRPr="000471CA" w14:paraId="03FECBDD" w14:textId="77777777" w:rsidTr="0031109F">
        <w:tc>
          <w:tcPr>
            <w:tcW w:w="1413" w:type="dxa"/>
          </w:tcPr>
          <w:p w14:paraId="3D64662C" w14:textId="77777777" w:rsidR="00945365" w:rsidRPr="00887F33" w:rsidRDefault="00945365" w:rsidP="0031109F">
            <w:pPr>
              <w:rPr>
                <w:rFonts w:ascii="Times New Roman" w:hAnsi="Times New Roman" w:cs="Times New Roman"/>
                <w:b/>
                <w:sz w:val="24"/>
                <w:szCs w:val="24"/>
              </w:rPr>
            </w:pPr>
            <w:r w:rsidRPr="00887F33">
              <w:rPr>
                <w:rFonts w:ascii="Times New Roman" w:hAnsi="Times New Roman" w:cs="Times New Roman"/>
                <w:b/>
                <w:sz w:val="24"/>
                <w:szCs w:val="24"/>
              </w:rPr>
              <w:t>Analysis 2</w:t>
            </w:r>
          </w:p>
        </w:tc>
        <w:tc>
          <w:tcPr>
            <w:tcW w:w="1843" w:type="dxa"/>
          </w:tcPr>
          <w:p w14:paraId="4FB07D5A" w14:textId="77777777" w:rsidR="00945365" w:rsidRPr="00887F33" w:rsidRDefault="00945365" w:rsidP="0031109F">
            <w:pPr>
              <w:rPr>
                <w:rFonts w:ascii="Times New Roman" w:hAnsi="Times New Roman" w:cs="Times New Roman"/>
                <w:sz w:val="24"/>
                <w:szCs w:val="24"/>
              </w:rPr>
            </w:pPr>
            <w:r w:rsidRPr="00887F33">
              <w:rPr>
                <w:rFonts w:ascii="Times New Roman" w:hAnsi="Times New Roman" w:cs="Times New Roman"/>
                <w:sz w:val="24"/>
                <w:szCs w:val="24"/>
              </w:rPr>
              <w:t>Rye and Oat</w:t>
            </w:r>
          </w:p>
        </w:tc>
        <w:tc>
          <w:tcPr>
            <w:tcW w:w="2693" w:type="dxa"/>
          </w:tcPr>
          <w:p w14:paraId="40C5B798" w14:textId="77777777" w:rsidR="00945365" w:rsidRPr="00887F33" w:rsidRDefault="00945365" w:rsidP="0031109F">
            <w:pPr>
              <w:rPr>
                <w:rFonts w:ascii="Times New Roman" w:hAnsi="Times New Roman" w:cs="Times New Roman"/>
                <w:sz w:val="24"/>
                <w:szCs w:val="24"/>
              </w:rPr>
            </w:pPr>
            <w:r w:rsidRPr="00887F33">
              <w:rPr>
                <w:rFonts w:ascii="Times New Roman" w:hAnsi="Times New Roman" w:cs="Times New Roman"/>
                <w:sz w:val="24"/>
                <w:szCs w:val="24"/>
              </w:rPr>
              <w:t>Rye= -26.07±0.11‰</w:t>
            </w:r>
          </w:p>
          <w:p w14:paraId="7C210A26" w14:textId="77777777" w:rsidR="00945365" w:rsidRPr="00887F33" w:rsidRDefault="00945365" w:rsidP="0031109F">
            <w:pPr>
              <w:rPr>
                <w:rFonts w:ascii="Times New Roman" w:hAnsi="Times New Roman" w:cs="Times New Roman"/>
                <w:sz w:val="24"/>
                <w:szCs w:val="24"/>
              </w:rPr>
            </w:pPr>
            <w:r w:rsidRPr="00887F33">
              <w:rPr>
                <w:rFonts w:ascii="Times New Roman" w:hAnsi="Times New Roman" w:cs="Times New Roman"/>
                <w:sz w:val="24"/>
                <w:szCs w:val="24"/>
              </w:rPr>
              <w:t>Oat=-28.84±0.32‰</w:t>
            </w:r>
          </w:p>
        </w:tc>
        <w:tc>
          <w:tcPr>
            <w:tcW w:w="3061" w:type="dxa"/>
          </w:tcPr>
          <w:p w14:paraId="1A8F3C08" w14:textId="77777777" w:rsidR="00945365" w:rsidRPr="00887F33" w:rsidRDefault="00945365" w:rsidP="0031109F">
            <w:pPr>
              <w:rPr>
                <w:rFonts w:ascii="Times New Roman" w:hAnsi="Times New Roman" w:cs="Times New Roman"/>
                <w:sz w:val="24"/>
                <w:szCs w:val="24"/>
              </w:rPr>
            </w:pPr>
            <w:proofErr w:type="gramStart"/>
            <w:r w:rsidRPr="00887F33">
              <w:rPr>
                <w:rFonts w:ascii="Times New Roman" w:hAnsi="Times New Roman" w:cs="Times New Roman"/>
                <w:sz w:val="24"/>
                <w:szCs w:val="24"/>
              </w:rPr>
              <w:t>t(</w:t>
            </w:r>
            <w:proofErr w:type="gramEnd"/>
            <w:r w:rsidRPr="00887F33">
              <w:rPr>
                <w:rFonts w:ascii="Times New Roman" w:hAnsi="Times New Roman" w:cs="Times New Roman"/>
                <w:sz w:val="24"/>
                <w:szCs w:val="24"/>
              </w:rPr>
              <w:t>-13.9) 2.5, p=0.002</w:t>
            </w:r>
          </w:p>
        </w:tc>
      </w:tr>
    </w:tbl>
    <w:p w14:paraId="792398A4" w14:textId="77777777" w:rsidR="00945365" w:rsidRDefault="00945365" w:rsidP="00F851D5">
      <w:pPr>
        <w:spacing w:after="0" w:line="360" w:lineRule="auto"/>
        <w:ind w:left="284" w:hanging="284"/>
      </w:pPr>
    </w:p>
    <w:p w14:paraId="6393EDEB" w14:textId="614DE844" w:rsidR="00945365" w:rsidRPr="00D0057A" w:rsidRDefault="00945365" w:rsidP="00F851D5">
      <w:pPr>
        <w:pStyle w:val="Heading1"/>
        <w:spacing w:after="0" w:line="360" w:lineRule="auto"/>
        <w:ind w:left="284" w:hanging="284"/>
        <w:rPr>
          <w:rFonts w:ascii="Times New Roman" w:hAnsi="Times New Roman" w:cs="Times New Roman"/>
          <w:sz w:val="24"/>
          <w:szCs w:val="24"/>
        </w:rPr>
      </w:pPr>
      <w:r w:rsidRPr="00D0057A">
        <w:rPr>
          <w:rFonts w:ascii="Times New Roman" w:hAnsi="Times New Roman" w:cs="Times New Roman"/>
          <w:sz w:val="24"/>
          <w:szCs w:val="24"/>
        </w:rPr>
        <w:t>References</w:t>
      </w:r>
    </w:p>
    <w:p w14:paraId="4E42677C" w14:textId="6488EC9E" w:rsidR="00F851D5" w:rsidRDefault="00945365" w:rsidP="00F851D5">
      <w:pPr>
        <w:widowControl w:val="0"/>
        <w:autoSpaceDE w:val="0"/>
        <w:autoSpaceDN w:val="0"/>
        <w:adjustRightInd w:val="0"/>
        <w:spacing w:after="0" w:line="360" w:lineRule="auto"/>
        <w:ind w:left="284" w:hanging="284"/>
        <w:rPr>
          <w:rFonts w:ascii="Times New Roman" w:hAnsi="Times New Roman" w:cs="Times New Roman"/>
          <w:noProof/>
          <w:sz w:val="24"/>
          <w:szCs w:val="24"/>
          <w:lang w:val="en-US"/>
        </w:rPr>
      </w:pPr>
      <w:r w:rsidRPr="00D0057A">
        <w:rPr>
          <w:rFonts w:ascii="Times New Roman" w:hAnsi="Times New Roman" w:cs="Times New Roman"/>
          <w:noProof/>
          <w:sz w:val="24"/>
          <w:szCs w:val="24"/>
          <w:lang w:val="en-US"/>
        </w:rPr>
        <w:t>Charles, M., Forster, E., Wallace, M. &amp; Jones, G. 2015.</w:t>
      </w:r>
      <w:r w:rsidR="00F851D5">
        <w:rPr>
          <w:rFonts w:ascii="Times New Roman" w:hAnsi="Times New Roman" w:cs="Times New Roman"/>
          <w:noProof/>
          <w:sz w:val="24"/>
          <w:szCs w:val="24"/>
          <w:lang w:val="en-US"/>
        </w:rPr>
        <w:t xml:space="preserve"> </w:t>
      </w:r>
      <w:r w:rsidR="00F851D5" w:rsidRPr="00F851D5">
        <w:rPr>
          <w:rFonts w:ascii="Times New Roman" w:hAnsi="Times New Roman" w:cs="Times New Roman"/>
          <w:noProof/>
          <w:sz w:val="24"/>
          <w:szCs w:val="24"/>
        </w:rPr>
        <w:t xml:space="preserve">Nor ever lightning char thy grain’: Establishing Archaeologically Relevant Charring Conditions and their Effect on Glume Wheat Grain Morphology. </w:t>
      </w:r>
      <w:r w:rsidR="00F851D5" w:rsidRPr="00F851D5">
        <w:rPr>
          <w:rFonts w:ascii="Times New Roman" w:hAnsi="Times New Roman" w:cs="Times New Roman"/>
          <w:i/>
          <w:noProof/>
          <w:sz w:val="24"/>
          <w:szCs w:val="24"/>
        </w:rPr>
        <w:t>STAR: Science &amp; Technology of Archaeological Research</w:t>
      </w:r>
      <w:r w:rsidR="00F851D5" w:rsidRPr="00F851D5">
        <w:rPr>
          <w:rFonts w:ascii="Times New Roman" w:hAnsi="Times New Roman" w:cs="Times New Roman"/>
          <w:noProof/>
          <w:sz w:val="24"/>
          <w:szCs w:val="24"/>
        </w:rPr>
        <w:t xml:space="preserve">, 1: 1–6. </w:t>
      </w:r>
      <w:hyperlink r:id="rId7" w:history="1">
        <w:r w:rsidR="00F851D5" w:rsidRPr="00F851D5">
          <w:rPr>
            <w:rStyle w:val="Hyperlink"/>
            <w:rFonts w:ascii="Times New Roman" w:hAnsi="Times New Roman" w:cs="Times New Roman"/>
            <w:noProof/>
            <w:sz w:val="24"/>
            <w:szCs w:val="24"/>
          </w:rPr>
          <w:t>https://doi.org/10.1179/2054892315Y.0000000008</w:t>
        </w:r>
      </w:hyperlink>
      <w:r w:rsidR="00F851D5" w:rsidRPr="00F851D5">
        <w:rPr>
          <w:rFonts w:ascii="Times New Roman" w:hAnsi="Times New Roman" w:cs="Times New Roman"/>
          <w:noProof/>
          <w:sz w:val="24"/>
          <w:szCs w:val="24"/>
        </w:rPr>
        <w:t xml:space="preserve"> </w:t>
      </w:r>
    </w:p>
    <w:p w14:paraId="152ED752" w14:textId="6771FEB5" w:rsidR="00945365" w:rsidRPr="00D0057A" w:rsidRDefault="00945365" w:rsidP="00F851D5">
      <w:pPr>
        <w:widowControl w:val="0"/>
        <w:autoSpaceDE w:val="0"/>
        <w:autoSpaceDN w:val="0"/>
        <w:adjustRightInd w:val="0"/>
        <w:spacing w:after="0" w:line="360" w:lineRule="auto"/>
        <w:ind w:left="284" w:hanging="284"/>
        <w:rPr>
          <w:rFonts w:ascii="Times New Roman" w:hAnsi="Times New Roman" w:cs="Times New Roman"/>
          <w:noProof/>
          <w:sz w:val="24"/>
          <w:szCs w:val="24"/>
          <w:lang w:val="en-US"/>
        </w:rPr>
      </w:pPr>
      <w:r w:rsidRPr="00D0057A">
        <w:rPr>
          <w:rFonts w:ascii="Times New Roman" w:hAnsi="Times New Roman" w:cs="Times New Roman"/>
          <w:noProof/>
          <w:sz w:val="24"/>
          <w:szCs w:val="24"/>
          <w:lang w:val="en-US"/>
        </w:rPr>
        <w:t xml:space="preserve">Kragten, J. 1994. Calculating </w:t>
      </w:r>
      <w:r w:rsidR="00106819" w:rsidRPr="00D0057A">
        <w:rPr>
          <w:rFonts w:ascii="Times New Roman" w:hAnsi="Times New Roman" w:cs="Times New Roman"/>
          <w:noProof/>
          <w:sz w:val="24"/>
          <w:szCs w:val="24"/>
          <w:lang w:val="en-US"/>
        </w:rPr>
        <w:t xml:space="preserve">Standard Deviations </w:t>
      </w:r>
      <w:r w:rsidRPr="00D0057A">
        <w:rPr>
          <w:rFonts w:ascii="Times New Roman" w:hAnsi="Times New Roman" w:cs="Times New Roman"/>
          <w:noProof/>
          <w:sz w:val="24"/>
          <w:szCs w:val="24"/>
          <w:lang w:val="en-US"/>
        </w:rPr>
        <w:t xml:space="preserve">and </w:t>
      </w:r>
      <w:r w:rsidR="00106819" w:rsidRPr="00D0057A">
        <w:rPr>
          <w:rFonts w:ascii="Times New Roman" w:hAnsi="Times New Roman" w:cs="Times New Roman"/>
          <w:noProof/>
          <w:sz w:val="24"/>
          <w:szCs w:val="24"/>
          <w:lang w:val="en-US"/>
        </w:rPr>
        <w:t xml:space="preserve">Confidence </w:t>
      </w:r>
      <w:r w:rsidRPr="00D0057A">
        <w:rPr>
          <w:rFonts w:ascii="Times New Roman" w:hAnsi="Times New Roman" w:cs="Times New Roman"/>
          <w:noProof/>
          <w:sz w:val="24"/>
          <w:szCs w:val="24"/>
          <w:lang w:val="en-US"/>
        </w:rPr>
        <w:t xml:space="preserve">Intervals with a </w:t>
      </w:r>
      <w:r w:rsidR="00106819" w:rsidRPr="00D0057A">
        <w:rPr>
          <w:rFonts w:ascii="Times New Roman" w:hAnsi="Times New Roman" w:cs="Times New Roman"/>
          <w:noProof/>
          <w:sz w:val="24"/>
          <w:szCs w:val="24"/>
          <w:lang w:val="en-US"/>
        </w:rPr>
        <w:t>Universally Applicable Spreadsheet Technique</w:t>
      </w:r>
      <w:r w:rsidRPr="00D0057A">
        <w:rPr>
          <w:rFonts w:ascii="Times New Roman" w:hAnsi="Times New Roman" w:cs="Times New Roman"/>
          <w:noProof/>
          <w:sz w:val="24"/>
          <w:szCs w:val="24"/>
          <w:lang w:val="en-US"/>
        </w:rPr>
        <w:t xml:space="preserve">. </w:t>
      </w:r>
      <w:r w:rsidRPr="00D0057A">
        <w:rPr>
          <w:rFonts w:ascii="Times New Roman" w:hAnsi="Times New Roman" w:cs="Times New Roman"/>
          <w:i/>
          <w:noProof/>
          <w:sz w:val="24"/>
          <w:szCs w:val="24"/>
          <w:lang w:val="en-US"/>
        </w:rPr>
        <w:t>Analyst</w:t>
      </w:r>
      <w:r w:rsidRPr="00D0057A">
        <w:rPr>
          <w:rFonts w:ascii="Times New Roman" w:hAnsi="Times New Roman" w:cs="Times New Roman"/>
          <w:noProof/>
          <w:sz w:val="24"/>
          <w:szCs w:val="24"/>
          <w:lang w:val="en-US"/>
        </w:rPr>
        <w:t>, 11: 2161–65.</w:t>
      </w:r>
    </w:p>
    <w:p w14:paraId="4107302B" w14:textId="3C0131D8" w:rsidR="00945365" w:rsidRPr="00D0057A" w:rsidRDefault="00945365" w:rsidP="00F851D5">
      <w:pPr>
        <w:widowControl w:val="0"/>
        <w:autoSpaceDE w:val="0"/>
        <w:autoSpaceDN w:val="0"/>
        <w:adjustRightInd w:val="0"/>
        <w:spacing w:after="0" w:line="360" w:lineRule="auto"/>
        <w:ind w:left="284" w:hanging="284"/>
        <w:rPr>
          <w:rFonts w:ascii="Times New Roman" w:hAnsi="Times New Roman" w:cs="Times New Roman"/>
          <w:noProof/>
          <w:sz w:val="24"/>
          <w:szCs w:val="24"/>
          <w:lang w:val="en-US"/>
        </w:rPr>
      </w:pPr>
      <w:r w:rsidRPr="00D0057A">
        <w:rPr>
          <w:rFonts w:ascii="Times New Roman" w:hAnsi="Times New Roman" w:cs="Times New Roman"/>
          <w:noProof/>
          <w:sz w:val="24"/>
          <w:szCs w:val="24"/>
          <w:lang w:val="en-US"/>
        </w:rPr>
        <w:t xml:space="preserve">Nitsch, E., Charles, M. &amp; Bogaard, A. 2015. Calculating a </w:t>
      </w:r>
      <w:r w:rsidR="00106819" w:rsidRPr="00D0057A">
        <w:rPr>
          <w:rFonts w:ascii="Times New Roman" w:hAnsi="Times New Roman" w:cs="Times New Roman"/>
          <w:noProof/>
          <w:sz w:val="24"/>
          <w:szCs w:val="24"/>
          <w:lang w:val="en-US"/>
        </w:rPr>
        <w:t xml:space="preserve">Statistically Robust </w:t>
      </w:r>
      <w:r w:rsidRPr="00D0057A">
        <w:rPr>
          <w:rFonts w:ascii="Times New Roman" w:hAnsi="Times New Roman" w:cs="Times New Roman"/>
          <w:noProof/>
          <w:sz w:val="24"/>
          <w:szCs w:val="24"/>
          <w:lang w:val="en-US"/>
        </w:rPr>
        <w:t xml:space="preserve">δ </w:t>
      </w:r>
      <w:r w:rsidRPr="00D0057A">
        <w:rPr>
          <w:rFonts w:ascii="Times New Roman" w:hAnsi="Times New Roman" w:cs="Times New Roman"/>
          <w:noProof/>
          <w:sz w:val="24"/>
          <w:szCs w:val="24"/>
          <w:vertAlign w:val="superscript"/>
          <w:lang w:val="en-US"/>
        </w:rPr>
        <w:t>13</w:t>
      </w:r>
      <w:r w:rsidRPr="00D0057A">
        <w:rPr>
          <w:rFonts w:ascii="Times New Roman" w:hAnsi="Times New Roman" w:cs="Times New Roman"/>
          <w:noProof/>
          <w:sz w:val="24"/>
          <w:szCs w:val="24"/>
          <w:lang w:val="en-US"/>
        </w:rPr>
        <w:t xml:space="preserve"> C and δ </w:t>
      </w:r>
      <w:r w:rsidRPr="00D0057A">
        <w:rPr>
          <w:rFonts w:ascii="Times New Roman" w:hAnsi="Times New Roman" w:cs="Times New Roman"/>
          <w:noProof/>
          <w:sz w:val="24"/>
          <w:szCs w:val="24"/>
          <w:vertAlign w:val="superscript"/>
          <w:lang w:val="en-US"/>
        </w:rPr>
        <w:t>15</w:t>
      </w:r>
      <w:r w:rsidRPr="00D0057A">
        <w:rPr>
          <w:rFonts w:ascii="Times New Roman" w:hAnsi="Times New Roman" w:cs="Times New Roman"/>
          <w:noProof/>
          <w:sz w:val="24"/>
          <w:szCs w:val="24"/>
          <w:lang w:val="en-US"/>
        </w:rPr>
        <w:t xml:space="preserve"> N </w:t>
      </w:r>
      <w:r w:rsidR="00106819" w:rsidRPr="00D0057A">
        <w:rPr>
          <w:rFonts w:ascii="Times New Roman" w:hAnsi="Times New Roman" w:cs="Times New Roman"/>
          <w:noProof/>
          <w:sz w:val="24"/>
          <w:szCs w:val="24"/>
          <w:lang w:val="en-US"/>
        </w:rPr>
        <w:t xml:space="preserve">Offset </w:t>
      </w:r>
      <w:r w:rsidRPr="00D0057A">
        <w:rPr>
          <w:rFonts w:ascii="Times New Roman" w:hAnsi="Times New Roman" w:cs="Times New Roman"/>
          <w:noProof/>
          <w:sz w:val="24"/>
          <w:szCs w:val="24"/>
          <w:lang w:val="en-US"/>
        </w:rPr>
        <w:t xml:space="preserve">for </w:t>
      </w:r>
      <w:r w:rsidR="00106819" w:rsidRPr="00D0057A">
        <w:rPr>
          <w:rFonts w:ascii="Times New Roman" w:hAnsi="Times New Roman" w:cs="Times New Roman"/>
          <w:noProof/>
          <w:sz w:val="24"/>
          <w:szCs w:val="24"/>
          <w:lang w:val="en-US"/>
        </w:rPr>
        <w:t xml:space="preserve">Charred Cereal </w:t>
      </w:r>
      <w:r w:rsidRPr="00D0057A">
        <w:rPr>
          <w:rFonts w:ascii="Times New Roman" w:hAnsi="Times New Roman" w:cs="Times New Roman"/>
          <w:noProof/>
          <w:sz w:val="24"/>
          <w:szCs w:val="24"/>
          <w:lang w:val="en-US"/>
        </w:rPr>
        <w:t xml:space="preserve">and </w:t>
      </w:r>
      <w:r w:rsidR="00106819" w:rsidRPr="00D0057A">
        <w:rPr>
          <w:rFonts w:ascii="Times New Roman" w:hAnsi="Times New Roman" w:cs="Times New Roman"/>
          <w:noProof/>
          <w:sz w:val="24"/>
          <w:szCs w:val="24"/>
          <w:lang w:val="en-US"/>
        </w:rPr>
        <w:t>Pulse Seeds</w:t>
      </w:r>
      <w:r w:rsidRPr="00D0057A">
        <w:rPr>
          <w:rFonts w:ascii="Times New Roman" w:hAnsi="Times New Roman" w:cs="Times New Roman"/>
          <w:noProof/>
          <w:sz w:val="24"/>
          <w:szCs w:val="24"/>
          <w:lang w:val="en-US"/>
        </w:rPr>
        <w:t xml:space="preserve">. </w:t>
      </w:r>
      <w:r w:rsidR="00106819" w:rsidRPr="00F851D5">
        <w:rPr>
          <w:rFonts w:ascii="Times New Roman" w:hAnsi="Times New Roman" w:cs="Times New Roman"/>
          <w:i/>
          <w:noProof/>
          <w:sz w:val="24"/>
          <w:szCs w:val="24"/>
        </w:rPr>
        <w:t>STAR: Science &amp; Technology of Archaeological Research</w:t>
      </w:r>
      <w:r w:rsidR="00106819" w:rsidRPr="00F851D5">
        <w:rPr>
          <w:rFonts w:ascii="Times New Roman" w:hAnsi="Times New Roman" w:cs="Times New Roman"/>
          <w:noProof/>
          <w:sz w:val="24"/>
          <w:szCs w:val="24"/>
        </w:rPr>
        <w:t xml:space="preserve">, 1: </w:t>
      </w:r>
      <w:r w:rsidRPr="00D0057A">
        <w:rPr>
          <w:rFonts w:ascii="Times New Roman" w:hAnsi="Times New Roman" w:cs="Times New Roman"/>
          <w:noProof/>
          <w:sz w:val="24"/>
          <w:szCs w:val="24"/>
          <w:lang w:val="en-US"/>
        </w:rPr>
        <w:t xml:space="preserve">1–8. </w:t>
      </w:r>
      <w:hyperlink r:id="rId8" w:history="1">
        <w:r w:rsidR="00106819" w:rsidRPr="009B4ADA">
          <w:rPr>
            <w:rStyle w:val="Hyperlink"/>
            <w:rFonts w:ascii="Times New Roman" w:hAnsi="Times New Roman" w:cs="Times New Roman"/>
            <w:noProof/>
            <w:sz w:val="24"/>
            <w:szCs w:val="24"/>
            <w:lang w:val="en-US"/>
          </w:rPr>
          <w:t>https://doi.org/10.1179/2054892315Y.0000000001</w:t>
        </w:r>
      </w:hyperlink>
      <w:r w:rsidR="00106819">
        <w:rPr>
          <w:rFonts w:ascii="Times New Roman" w:hAnsi="Times New Roman" w:cs="Times New Roman"/>
          <w:noProof/>
          <w:sz w:val="24"/>
          <w:szCs w:val="24"/>
          <w:lang w:val="en-US"/>
        </w:rPr>
        <w:t xml:space="preserve"> </w:t>
      </w:r>
    </w:p>
    <w:p w14:paraId="4BCFB11F" w14:textId="409C75CF" w:rsidR="00945365" w:rsidRPr="00D0057A" w:rsidRDefault="00945365" w:rsidP="00F851D5">
      <w:pPr>
        <w:widowControl w:val="0"/>
        <w:autoSpaceDE w:val="0"/>
        <w:autoSpaceDN w:val="0"/>
        <w:adjustRightInd w:val="0"/>
        <w:spacing w:after="0" w:line="360" w:lineRule="auto"/>
        <w:ind w:left="284" w:hanging="284"/>
        <w:rPr>
          <w:rFonts w:ascii="Times New Roman" w:hAnsi="Times New Roman" w:cs="Times New Roman"/>
          <w:sz w:val="24"/>
          <w:szCs w:val="24"/>
        </w:rPr>
      </w:pPr>
      <w:r w:rsidRPr="00D0057A">
        <w:rPr>
          <w:rFonts w:ascii="Times New Roman" w:hAnsi="Times New Roman" w:cs="Times New Roman"/>
          <w:noProof/>
          <w:sz w:val="24"/>
          <w:szCs w:val="24"/>
        </w:rPr>
        <w:t xml:space="preserve">Styring, A., Charles, M., Fantone, F., Hald, M., McMahon, A., Meadow, R., Nicholls, G., Patel, A., Pitre, M., Smith, A., Sołtysiak, A., Stein, G., Weber, J., Weiss, H. &amp; Bogaard, A. 2017. Isotope </w:t>
      </w:r>
      <w:r w:rsidR="00106819" w:rsidRPr="00D0057A">
        <w:rPr>
          <w:rFonts w:ascii="Times New Roman" w:hAnsi="Times New Roman" w:cs="Times New Roman"/>
          <w:noProof/>
          <w:sz w:val="24"/>
          <w:szCs w:val="24"/>
        </w:rPr>
        <w:t>Evidence for Agricultural Extensification Reveals How the World’s First Cities Were Fed.</w:t>
      </w:r>
      <w:r w:rsidRPr="00D0057A">
        <w:rPr>
          <w:rFonts w:ascii="Times New Roman" w:hAnsi="Times New Roman" w:cs="Times New Roman"/>
          <w:noProof/>
          <w:sz w:val="24"/>
          <w:szCs w:val="24"/>
        </w:rPr>
        <w:t xml:space="preserve"> </w:t>
      </w:r>
      <w:r w:rsidRPr="00D0057A">
        <w:rPr>
          <w:rFonts w:ascii="Times New Roman" w:hAnsi="Times New Roman" w:cs="Times New Roman"/>
          <w:i/>
          <w:noProof/>
          <w:sz w:val="24"/>
          <w:szCs w:val="24"/>
        </w:rPr>
        <w:t>Nat</w:t>
      </w:r>
      <w:r w:rsidR="00106819">
        <w:rPr>
          <w:rFonts w:ascii="Times New Roman" w:hAnsi="Times New Roman" w:cs="Times New Roman"/>
          <w:i/>
          <w:noProof/>
          <w:sz w:val="24"/>
          <w:szCs w:val="24"/>
        </w:rPr>
        <w:t>ure</w:t>
      </w:r>
      <w:r w:rsidRPr="00D0057A">
        <w:rPr>
          <w:rFonts w:ascii="Times New Roman" w:hAnsi="Times New Roman" w:cs="Times New Roman"/>
          <w:i/>
          <w:noProof/>
          <w:sz w:val="24"/>
          <w:szCs w:val="24"/>
        </w:rPr>
        <w:t xml:space="preserve"> Plants</w:t>
      </w:r>
      <w:r w:rsidRPr="00D0057A">
        <w:rPr>
          <w:rFonts w:ascii="Times New Roman" w:hAnsi="Times New Roman" w:cs="Times New Roman"/>
          <w:noProof/>
          <w:sz w:val="24"/>
          <w:szCs w:val="24"/>
        </w:rPr>
        <w:t xml:space="preserve">, 3: 1–11. </w:t>
      </w:r>
      <w:hyperlink r:id="rId9" w:history="1">
        <w:r w:rsidR="00106819" w:rsidRPr="009B4ADA">
          <w:rPr>
            <w:rStyle w:val="Hyperlink"/>
            <w:rFonts w:ascii="Times New Roman" w:hAnsi="Times New Roman" w:cs="Times New Roman"/>
            <w:noProof/>
            <w:sz w:val="24"/>
            <w:szCs w:val="24"/>
          </w:rPr>
          <w:t>https://doi.org/10.1038/nplants.2017.76</w:t>
        </w:r>
      </w:hyperlink>
      <w:r w:rsidR="00106819">
        <w:rPr>
          <w:rFonts w:ascii="Times New Roman" w:hAnsi="Times New Roman" w:cs="Times New Roman"/>
          <w:noProof/>
          <w:sz w:val="24"/>
          <w:szCs w:val="24"/>
        </w:rPr>
        <w:t xml:space="preserve"> </w:t>
      </w:r>
    </w:p>
    <w:p w14:paraId="79CAC162" w14:textId="37E30536" w:rsidR="00945365" w:rsidRPr="00D0057A" w:rsidRDefault="00945365" w:rsidP="00F851D5">
      <w:pPr>
        <w:widowControl w:val="0"/>
        <w:autoSpaceDE w:val="0"/>
        <w:autoSpaceDN w:val="0"/>
        <w:adjustRightInd w:val="0"/>
        <w:spacing w:after="0" w:line="360" w:lineRule="auto"/>
        <w:ind w:left="284" w:hanging="284"/>
        <w:rPr>
          <w:rFonts w:ascii="Times New Roman" w:hAnsi="Times New Roman" w:cs="Times New Roman"/>
          <w:sz w:val="24"/>
          <w:szCs w:val="24"/>
        </w:rPr>
      </w:pPr>
      <w:r w:rsidRPr="00D0057A">
        <w:rPr>
          <w:rFonts w:ascii="Times New Roman" w:hAnsi="Times New Roman" w:cs="Times New Roman"/>
          <w:noProof/>
          <w:sz w:val="24"/>
          <w:szCs w:val="24"/>
          <w:lang w:val="en-US"/>
        </w:rPr>
        <w:t xml:space="preserve">Szpak, P., Metcalfe, J. &amp; Macdonald, R. 2017. Best </w:t>
      </w:r>
      <w:r w:rsidR="00106819" w:rsidRPr="00D0057A">
        <w:rPr>
          <w:rFonts w:ascii="Times New Roman" w:hAnsi="Times New Roman" w:cs="Times New Roman"/>
          <w:noProof/>
          <w:sz w:val="24"/>
          <w:szCs w:val="24"/>
          <w:lang w:val="en-US"/>
        </w:rPr>
        <w:t xml:space="preserve">Practices </w:t>
      </w:r>
      <w:r w:rsidRPr="00D0057A">
        <w:rPr>
          <w:rFonts w:ascii="Times New Roman" w:hAnsi="Times New Roman" w:cs="Times New Roman"/>
          <w:noProof/>
          <w:sz w:val="24"/>
          <w:szCs w:val="24"/>
          <w:lang w:val="en-US"/>
        </w:rPr>
        <w:t xml:space="preserve">for </w:t>
      </w:r>
      <w:r w:rsidR="00106819" w:rsidRPr="00D0057A">
        <w:rPr>
          <w:rFonts w:ascii="Times New Roman" w:hAnsi="Times New Roman" w:cs="Times New Roman"/>
          <w:noProof/>
          <w:sz w:val="24"/>
          <w:szCs w:val="24"/>
          <w:lang w:val="en-US"/>
        </w:rPr>
        <w:t xml:space="preserve">Calibrating </w:t>
      </w:r>
      <w:r w:rsidRPr="00D0057A">
        <w:rPr>
          <w:rFonts w:ascii="Times New Roman" w:hAnsi="Times New Roman" w:cs="Times New Roman"/>
          <w:noProof/>
          <w:sz w:val="24"/>
          <w:szCs w:val="24"/>
          <w:lang w:val="en-US"/>
        </w:rPr>
        <w:t xml:space="preserve">and </w:t>
      </w:r>
      <w:r w:rsidR="00106819" w:rsidRPr="00D0057A">
        <w:rPr>
          <w:rFonts w:ascii="Times New Roman" w:hAnsi="Times New Roman" w:cs="Times New Roman"/>
          <w:noProof/>
          <w:sz w:val="24"/>
          <w:szCs w:val="24"/>
          <w:lang w:val="en-US"/>
        </w:rPr>
        <w:t>Reporting Stable Isotope Measurements</w:t>
      </w:r>
      <w:r w:rsidRPr="00D0057A">
        <w:rPr>
          <w:rFonts w:ascii="Times New Roman" w:hAnsi="Times New Roman" w:cs="Times New Roman"/>
          <w:noProof/>
          <w:sz w:val="24"/>
          <w:szCs w:val="24"/>
          <w:lang w:val="en-US"/>
        </w:rPr>
        <w:t xml:space="preserve"> in </w:t>
      </w:r>
      <w:r w:rsidR="00106819" w:rsidRPr="00D0057A">
        <w:rPr>
          <w:rFonts w:ascii="Times New Roman" w:hAnsi="Times New Roman" w:cs="Times New Roman"/>
          <w:noProof/>
          <w:sz w:val="24"/>
          <w:szCs w:val="24"/>
          <w:lang w:val="en-US"/>
        </w:rPr>
        <w:t>Archaeology</w:t>
      </w:r>
      <w:r w:rsidRPr="00D0057A">
        <w:rPr>
          <w:rFonts w:ascii="Times New Roman" w:hAnsi="Times New Roman" w:cs="Times New Roman"/>
          <w:noProof/>
          <w:sz w:val="24"/>
          <w:szCs w:val="24"/>
          <w:lang w:val="en-US"/>
        </w:rPr>
        <w:t xml:space="preserve">. </w:t>
      </w:r>
      <w:r w:rsidRPr="00D0057A">
        <w:rPr>
          <w:rFonts w:ascii="Times New Roman" w:hAnsi="Times New Roman" w:cs="Times New Roman"/>
          <w:i/>
          <w:noProof/>
          <w:sz w:val="24"/>
          <w:szCs w:val="24"/>
          <w:lang w:val="en-US"/>
        </w:rPr>
        <w:t>J</w:t>
      </w:r>
      <w:r w:rsidR="00106819">
        <w:rPr>
          <w:rFonts w:ascii="Times New Roman" w:hAnsi="Times New Roman" w:cs="Times New Roman"/>
          <w:i/>
          <w:noProof/>
          <w:sz w:val="24"/>
          <w:szCs w:val="24"/>
          <w:lang w:val="en-US"/>
        </w:rPr>
        <w:t>ournal of</w:t>
      </w:r>
      <w:r w:rsidRPr="00D0057A">
        <w:rPr>
          <w:rFonts w:ascii="Times New Roman" w:hAnsi="Times New Roman" w:cs="Times New Roman"/>
          <w:i/>
          <w:noProof/>
          <w:sz w:val="24"/>
          <w:szCs w:val="24"/>
          <w:lang w:val="en-US"/>
        </w:rPr>
        <w:t xml:space="preserve"> Archaeol</w:t>
      </w:r>
      <w:r w:rsidR="00106819">
        <w:rPr>
          <w:rFonts w:ascii="Times New Roman" w:hAnsi="Times New Roman" w:cs="Times New Roman"/>
          <w:i/>
          <w:noProof/>
          <w:sz w:val="24"/>
          <w:szCs w:val="24"/>
          <w:lang w:val="en-US"/>
        </w:rPr>
        <w:t>ical</w:t>
      </w:r>
      <w:r w:rsidRPr="00D0057A">
        <w:rPr>
          <w:rFonts w:ascii="Times New Roman" w:hAnsi="Times New Roman" w:cs="Times New Roman"/>
          <w:i/>
          <w:noProof/>
          <w:sz w:val="24"/>
          <w:szCs w:val="24"/>
          <w:lang w:val="en-US"/>
        </w:rPr>
        <w:t xml:space="preserve"> Sci</w:t>
      </w:r>
      <w:r w:rsidR="00106819">
        <w:rPr>
          <w:rFonts w:ascii="Times New Roman" w:hAnsi="Times New Roman" w:cs="Times New Roman"/>
          <w:i/>
          <w:noProof/>
          <w:sz w:val="24"/>
          <w:szCs w:val="24"/>
          <w:lang w:val="en-US"/>
        </w:rPr>
        <w:t>ence</w:t>
      </w:r>
      <w:r w:rsidRPr="00D0057A">
        <w:rPr>
          <w:rFonts w:ascii="Times New Roman" w:hAnsi="Times New Roman" w:cs="Times New Roman"/>
          <w:i/>
          <w:noProof/>
          <w:sz w:val="24"/>
          <w:szCs w:val="24"/>
          <w:lang w:val="en-US"/>
        </w:rPr>
        <w:t xml:space="preserve"> Reports</w:t>
      </w:r>
      <w:r w:rsidRPr="00D0057A">
        <w:rPr>
          <w:rFonts w:ascii="Times New Roman" w:hAnsi="Times New Roman" w:cs="Times New Roman"/>
          <w:noProof/>
          <w:sz w:val="24"/>
          <w:szCs w:val="24"/>
          <w:lang w:val="en-US"/>
        </w:rPr>
        <w:t xml:space="preserve">, 13: 609–16. </w:t>
      </w:r>
      <w:hyperlink r:id="rId10" w:history="1">
        <w:r w:rsidR="00106819" w:rsidRPr="009B4ADA">
          <w:rPr>
            <w:rStyle w:val="Hyperlink"/>
            <w:rFonts w:ascii="Times New Roman" w:hAnsi="Times New Roman" w:cs="Times New Roman"/>
            <w:noProof/>
            <w:sz w:val="24"/>
            <w:szCs w:val="24"/>
            <w:lang w:val="en-US"/>
          </w:rPr>
          <w:t>https://doi.org/10.1016/j.jasrep.2017.05.007</w:t>
        </w:r>
      </w:hyperlink>
      <w:r w:rsidR="00106819">
        <w:rPr>
          <w:rFonts w:ascii="Times New Roman" w:hAnsi="Times New Roman" w:cs="Times New Roman"/>
          <w:noProof/>
          <w:sz w:val="24"/>
          <w:szCs w:val="24"/>
          <w:lang w:val="en-US"/>
        </w:rPr>
        <w:t xml:space="preserve"> </w:t>
      </w:r>
    </w:p>
    <w:p w14:paraId="277B3964" w14:textId="733C8B7B" w:rsidR="00945365" w:rsidRPr="00887F33" w:rsidRDefault="00945365" w:rsidP="00887F33">
      <w:pPr>
        <w:widowControl w:val="0"/>
        <w:autoSpaceDE w:val="0"/>
        <w:autoSpaceDN w:val="0"/>
        <w:adjustRightInd w:val="0"/>
        <w:spacing w:after="0" w:line="360" w:lineRule="auto"/>
        <w:ind w:left="284" w:hanging="284"/>
        <w:rPr>
          <w:rFonts w:ascii="Times New Roman" w:hAnsi="Times New Roman" w:cs="Times New Roman"/>
          <w:noProof/>
          <w:sz w:val="24"/>
          <w:szCs w:val="24"/>
          <w:lang w:val="en-US"/>
        </w:rPr>
      </w:pPr>
      <w:r w:rsidRPr="00D0057A">
        <w:rPr>
          <w:rFonts w:ascii="Times New Roman" w:hAnsi="Times New Roman" w:cs="Times New Roman"/>
          <w:noProof/>
          <w:sz w:val="24"/>
          <w:szCs w:val="24"/>
        </w:rPr>
        <w:t>Wallace, M., Jones, G., Charles, M., Frase</w:t>
      </w:r>
      <w:r w:rsidR="000122A2" w:rsidRPr="00D0057A">
        <w:rPr>
          <w:rFonts w:ascii="Times New Roman" w:hAnsi="Times New Roman" w:cs="Times New Roman"/>
          <w:noProof/>
          <w:sz w:val="24"/>
          <w:szCs w:val="24"/>
        </w:rPr>
        <w:t>r, R., Halstead, P., Heaton, T. &amp; Bogaard, A.</w:t>
      </w:r>
      <w:r w:rsidRPr="00D0057A">
        <w:rPr>
          <w:rFonts w:ascii="Times New Roman" w:hAnsi="Times New Roman" w:cs="Times New Roman"/>
          <w:noProof/>
          <w:sz w:val="24"/>
          <w:szCs w:val="24"/>
        </w:rPr>
        <w:t xml:space="preserve"> 2013. </w:t>
      </w:r>
      <w:r w:rsidR="00106819" w:rsidRPr="00D0057A">
        <w:rPr>
          <w:rFonts w:ascii="Times New Roman" w:hAnsi="Times New Roman" w:cs="Times New Roman"/>
          <w:noProof/>
          <w:sz w:val="24"/>
          <w:szCs w:val="24"/>
        </w:rPr>
        <w:t>Stable Carbon Isotope Analysis as a Direct Means of Inferring Crop Water Status and Water Management Practices</w:t>
      </w:r>
      <w:r w:rsidRPr="00D0057A">
        <w:rPr>
          <w:rFonts w:ascii="Times New Roman" w:hAnsi="Times New Roman" w:cs="Times New Roman"/>
          <w:noProof/>
          <w:sz w:val="24"/>
          <w:szCs w:val="24"/>
        </w:rPr>
        <w:t xml:space="preserve">. </w:t>
      </w:r>
      <w:r w:rsidRPr="00D0057A">
        <w:rPr>
          <w:rFonts w:ascii="Times New Roman" w:hAnsi="Times New Roman" w:cs="Times New Roman"/>
          <w:i/>
          <w:noProof/>
          <w:sz w:val="24"/>
          <w:szCs w:val="24"/>
        </w:rPr>
        <w:t>World Archaeol</w:t>
      </w:r>
      <w:r w:rsidR="000122A2" w:rsidRPr="00D0057A">
        <w:rPr>
          <w:rFonts w:ascii="Times New Roman" w:hAnsi="Times New Roman" w:cs="Times New Roman"/>
          <w:i/>
          <w:noProof/>
          <w:sz w:val="24"/>
          <w:szCs w:val="24"/>
        </w:rPr>
        <w:t>ogy</w:t>
      </w:r>
      <w:r w:rsidR="000122A2" w:rsidRPr="00D0057A">
        <w:rPr>
          <w:rFonts w:ascii="Times New Roman" w:hAnsi="Times New Roman" w:cs="Times New Roman"/>
          <w:noProof/>
          <w:sz w:val="24"/>
          <w:szCs w:val="24"/>
        </w:rPr>
        <w:t>,</w:t>
      </w:r>
      <w:r w:rsidRPr="00D0057A">
        <w:rPr>
          <w:rFonts w:ascii="Times New Roman" w:hAnsi="Times New Roman" w:cs="Times New Roman"/>
          <w:noProof/>
          <w:sz w:val="24"/>
          <w:szCs w:val="24"/>
        </w:rPr>
        <w:t xml:space="preserve"> 45</w:t>
      </w:r>
      <w:r w:rsidR="000122A2" w:rsidRPr="00D0057A">
        <w:rPr>
          <w:rFonts w:ascii="Times New Roman" w:hAnsi="Times New Roman" w:cs="Times New Roman"/>
          <w:noProof/>
          <w:sz w:val="24"/>
          <w:szCs w:val="24"/>
        </w:rPr>
        <w:t>:</w:t>
      </w:r>
      <w:r w:rsidRPr="00D0057A">
        <w:rPr>
          <w:rFonts w:ascii="Times New Roman" w:hAnsi="Times New Roman" w:cs="Times New Roman"/>
          <w:noProof/>
          <w:sz w:val="24"/>
          <w:szCs w:val="24"/>
        </w:rPr>
        <w:t xml:space="preserve"> 388–409. </w:t>
      </w:r>
      <w:hyperlink r:id="rId11" w:history="1">
        <w:r w:rsidR="00106819" w:rsidRPr="009B4ADA">
          <w:rPr>
            <w:rStyle w:val="Hyperlink"/>
            <w:rFonts w:ascii="Times New Roman" w:hAnsi="Times New Roman" w:cs="Times New Roman"/>
            <w:noProof/>
            <w:sz w:val="24"/>
            <w:szCs w:val="24"/>
          </w:rPr>
          <w:t>https://doi.org/10.1080/00438243.2013.821671</w:t>
        </w:r>
      </w:hyperlink>
      <w:r w:rsidR="00106819">
        <w:rPr>
          <w:rFonts w:ascii="Times New Roman" w:hAnsi="Times New Roman" w:cs="Times New Roman"/>
          <w:noProof/>
          <w:sz w:val="24"/>
          <w:szCs w:val="24"/>
        </w:rPr>
        <w:t xml:space="preserve"> </w:t>
      </w:r>
      <w:bookmarkStart w:id="0" w:name="_GoBack"/>
      <w:bookmarkEnd w:id="0"/>
    </w:p>
    <w:sectPr w:rsidR="00945365" w:rsidRPr="00887F33" w:rsidSect="00B37C4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A5BD5" w14:textId="77777777" w:rsidR="00F55196" w:rsidRDefault="00F55196" w:rsidP="00EE550B">
      <w:pPr>
        <w:spacing w:after="0" w:line="240" w:lineRule="auto"/>
      </w:pPr>
      <w:r>
        <w:separator/>
      </w:r>
    </w:p>
  </w:endnote>
  <w:endnote w:type="continuationSeparator" w:id="0">
    <w:p w14:paraId="7BDFFEFC" w14:textId="77777777" w:rsidR="00F55196" w:rsidRDefault="00F55196" w:rsidP="00EE5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CDD2FD" w14:textId="77777777" w:rsidR="00F55196" w:rsidRDefault="00F55196" w:rsidP="00EE550B">
      <w:pPr>
        <w:spacing w:after="0" w:line="240" w:lineRule="auto"/>
      </w:pPr>
      <w:r>
        <w:separator/>
      </w:r>
    </w:p>
  </w:footnote>
  <w:footnote w:type="continuationSeparator" w:id="0">
    <w:p w14:paraId="0947D1EC" w14:textId="77777777" w:rsidR="00F55196" w:rsidRDefault="00F55196" w:rsidP="00EE55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C3757"/>
    <w:multiLevelType w:val="hybridMultilevel"/>
    <w:tmpl w:val="44BAE328"/>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AC224E"/>
    <w:multiLevelType w:val="hybridMultilevel"/>
    <w:tmpl w:val="7F5EB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DC6949"/>
    <w:multiLevelType w:val="hybridMultilevel"/>
    <w:tmpl w:val="E4EA997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15:restartNumberingAfterBreak="0">
    <w:nsid w:val="198656E7"/>
    <w:multiLevelType w:val="hybridMultilevel"/>
    <w:tmpl w:val="5F2C900A"/>
    <w:lvl w:ilvl="0" w:tplc="D160E002">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FA22B2"/>
    <w:multiLevelType w:val="hybridMultilevel"/>
    <w:tmpl w:val="7F321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8D61E4"/>
    <w:multiLevelType w:val="hybridMultilevel"/>
    <w:tmpl w:val="4A0AD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0C7A18"/>
    <w:multiLevelType w:val="hybridMultilevel"/>
    <w:tmpl w:val="7C6E2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B6B7F1F"/>
    <w:multiLevelType w:val="hybridMultilevel"/>
    <w:tmpl w:val="51325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E70561A"/>
    <w:multiLevelType w:val="hybridMultilevel"/>
    <w:tmpl w:val="D1A2D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7"/>
  </w:num>
  <w:num w:numId="4">
    <w:abstractNumId w:val="2"/>
  </w:num>
  <w:num w:numId="5">
    <w:abstractNumId w:val="3"/>
  </w:num>
  <w:num w:numId="6">
    <w:abstractNumId w:val="5"/>
  </w:num>
  <w:num w:numId="7">
    <w:abstractNumId w:val="1"/>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50B"/>
    <w:rsid w:val="000122A2"/>
    <w:rsid w:val="00014B1B"/>
    <w:rsid w:val="00016EB3"/>
    <w:rsid w:val="000205C8"/>
    <w:rsid w:val="000209BD"/>
    <w:rsid w:val="00030824"/>
    <w:rsid w:val="00034BEE"/>
    <w:rsid w:val="00036C62"/>
    <w:rsid w:val="00036EC9"/>
    <w:rsid w:val="000471CA"/>
    <w:rsid w:val="00073A25"/>
    <w:rsid w:val="0008174D"/>
    <w:rsid w:val="000824B7"/>
    <w:rsid w:val="00087A4B"/>
    <w:rsid w:val="00093460"/>
    <w:rsid w:val="00093F5E"/>
    <w:rsid w:val="0009413D"/>
    <w:rsid w:val="00097763"/>
    <w:rsid w:val="000A1B31"/>
    <w:rsid w:val="000B3F26"/>
    <w:rsid w:val="000B6FFE"/>
    <w:rsid w:val="000C69D5"/>
    <w:rsid w:val="000E2C86"/>
    <w:rsid w:val="000E4417"/>
    <w:rsid w:val="000F05FC"/>
    <w:rsid w:val="000F4398"/>
    <w:rsid w:val="00102E66"/>
    <w:rsid w:val="00104F0B"/>
    <w:rsid w:val="00106819"/>
    <w:rsid w:val="001241C9"/>
    <w:rsid w:val="00160684"/>
    <w:rsid w:val="00160CDE"/>
    <w:rsid w:val="00163B54"/>
    <w:rsid w:val="00163F5A"/>
    <w:rsid w:val="0016707B"/>
    <w:rsid w:val="00193878"/>
    <w:rsid w:val="00195D09"/>
    <w:rsid w:val="001960EC"/>
    <w:rsid w:val="001A6A3F"/>
    <w:rsid w:val="001B1A1C"/>
    <w:rsid w:val="001B59DA"/>
    <w:rsid w:val="001C2FDD"/>
    <w:rsid w:val="001C6AF9"/>
    <w:rsid w:val="001E10C5"/>
    <w:rsid w:val="001F3274"/>
    <w:rsid w:val="00200372"/>
    <w:rsid w:val="002045F3"/>
    <w:rsid w:val="00212EC6"/>
    <w:rsid w:val="00221306"/>
    <w:rsid w:val="00240D1B"/>
    <w:rsid w:val="00242A9B"/>
    <w:rsid w:val="00243C78"/>
    <w:rsid w:val="00246685"/>
    <w:rsid w:val="002477D2"/>
    <w:rsid w:val="0025437D"/>
    <w:rsid w:val="00260F2B"/>
    <w:rsid w:val="00273224"/>
    <w:rsid w:val="002833A2"/>
    <w:rsid w:val="00284439"/>
    <w:rsid w:val="00293D96"/>
    <w:rsid w:val="002A0CED"/>
    <w:rsid w:val="002B6D4A"/>
    <w:rsid w:val="002C00B1"/>
    <w:rsid w:val="002C0A30"/>
    <w:rsid w:val="002C6FC9"/>
    <w:rsid w:val="002E0A71"/>
    <w:rsid w:val="002E2870"/>
    <w:rsid w:val="002E4B0F"/>
    <w:rsid w:val="002E4E6E"/>
    <w:rsid w:val="002E6B40"/>
    <w:rsid w:val="003139E3"/>
    <w:rsid w:val="00327438"/>
    <w:rsid w:val="00330FC5"/>
    <w:rsid w:val="00341011"/>
    <w:rsid w:val="00344268"/>
    <w:rsid w:val="0035318A"/>
    <w:rsid w:val="0035324E"/>
    <w:rsid w:val="00354244"/>
    <w:rsid w:val="00390424"/>
    <w:rsid w:val="0039082E"/>
    <w:rsid w:val="003A1989"/>
    <w:rsid w:val="003A6105"/>
    <w:rsid w:val="003A6401"/>
    <w:rsid w:val="003B3291"/>
    <w:rsid w:val="003C031C"/>
    <w:rsid w:val="003C06AD"/>
    <w:rsid w:val="003C12B7"/>
    <w:rsid w:val="003C3B98"/>
    <w:rsid w:val="003D29CA"/>
    <w:rsid w:val="003D6235"/>
    <w:rsid w:val="003E1184"/>
    <w:rsid w:val="003F2698"/>
    <w:rsid w:val="00400991"/>
    <w:rsid w:val="0040477F"/>
    <w:rsid w:val="00406F14"/>
    <w:rsid w:val="004115E1"/>
    <w:rsid w:val="00414ADA"/>
    <w:rsid w:val="00416B29"/>
    <w:rsid w:val="00426033"/>
    <w:rsid w:val="004325B1"/>
    <w:rsid w:val="0045270A"/>
    <w:rsid w:val="0046410C"/>
    <w:rsid w:val="00465576"/>
    <w:rsid w:val="0047471C"/>
    <w:rsid w:val="00485358"/>
    <w:rsid w:val="004873E0"/>
    <w:rsid w:val="004C454B"/>
    <w:rsid w:val="004D0F74"/>
    <w:rsid w:val="004D2D72"/>
    <w:rsid w:val="004D4BD9"/>
    <w:rsid w:val="004D6710"/>
    <w:rsid w:val="004E10E0"/>
    <w:rsid w:val="004E3D3F"/>
    <w:rsid w:val="004F706B"/>
    <w:rsid w:val="004F7D15"/>
    <w:rsid w:val="005022F5"/>
    <w:rsid w:val="00504D00"/>
    <w:rsid w:val="005129FB"/>
    <w:rsid w:val="00515590"/>
    <w:rsid w:val="00515D3F"/>
    <w:rsid w:val="005207C0"/>
    <w:rsid w:val="00543DEB"/>
    <w:rsid w:val="00547946"/>
    <w:rsid w:val="00553689"/>
    <w:rsid w:val="00555037"/>
    <w:rsid w:val="00557028"/>
    <w:rsid w:val="00560010"/>
    <w:rsid w:val="005615E8"/>
    <w:rsid w:val="00564218"/>
    <w:rsid w:val="00565C6B"/>
    <w:rsid w:val="00567380"/>
    <w:rsid w:val="005679BA"/>
    <w:rsid w:val="0057024D"/>
    <w:rsid w:val="00577CC4"/>
    <w:rsid w:val="0058342D"/>
    <w:rsid w:val="00583A87"/>
    <w:rsid w:val="00591485"/>
    <w:rsid w:val="0059514B"/>
    <w:rsid w:val="005A1757"/>
    <w:rsid w:val="005B707B"/>
    <w:rsid w:val="005D159A"/>
    <w:rsid w:val="005D2029"/>
    <w:rsid w:val="005D3B0C"/>
    <w:rsid w:val="005D4EC9"/>
    <w:rsid w:val="005D5208"/>
    <w:rsid w:val="005D7770"/>
    <w:rsid w:val="005E1D2C"/>
    <w:rsid w:val="005F3266"/>
    <w:rsid w:val="00602ACC"/>
    <w:rsid w:val="006059D3"/>
    <w:rsid w:val="00613246"/>
    <w:rsid w:val="00624BB8"/>
    <w:rsid w:val="0063053A"/>
    <w:rsid w:val="0063727A"/>
    <w:rsid w:val="0065759B"/>
    <w:rsid w:val="006634C2"/>
    <w:rsid w:val="00663A2B"/>
    <w:rsid w:val="00672170"/>
    <w:rsid w:val="00681D5A"/>
    <w:rsid w:val="0068740C"/>
    <w:rsid w:val="006901CF"/>
    <w:rsid w:val="00694CEA"/>
    <w:rsid w:val="00695B07"/>
    <w:rsid w:val="006C0A25"/>
    <w:rsid w:val="006E0EF2"/>
    <w:rsid w:val="006E4BE0"/>
    <w:rsid w:val="006F0AC5"/>
    <w:rsid w:val="006F450A"/>
    <w:rsid w:val="006F59FF"/>
    <w:rsid w:val="00700CEE"/>
    <w:rsid w:val="00701865"/>
    <w:rsid w:val="00705175"/>
    <w:rsid w:val="00720640"/>
    <w:rsid w:val="007217F0"/>
    <w:rsid w:val="00724182"/>
    <w:rsid w:val="007307F7"/>
    <w:rsid w:val="00733D2B"/>
    <w:rsid w:val="00734D30"/>
    <w:rsid w:val="00742AF9"/>
    <w:rsid w:val="00770601"/>
    <w:rsid w:val="00775743"/>
    <w:rsid w:val="007910A2"/>
    <w:rsid w:val="00795D01"/>
    <w:rsid w:val="00797E8D"/>
    <w:rsid w:val="007A01D2"/>
    <w:rsid w:val="007A66BB"/>
    <w:rsid w:val="007A7A00"/>
    <w:rsid w:val="007B103A"/>
    <w:rsid w:val="007B4704"/>
    <w:rsid w:val="007B5803"/>
    <w:rsid w:val="007B7141"/>
    <w:rsid w:val="007C174F"/>
    <w:rsid w:val="007C6EDE"/>
    <w:rsid w:val="007D2005"/>
    <w:rsid w:val="007D6BEB"/>
    <w:rsid w:val="007E4F4C"/>
    <w:rsid w:val="007F6896"/>
    <w:rsid w:val="0080566D"/>
    <w:rsid w:val="00813260"/>
    <w:rsid w:val="00816D30"/>
    <w:rsid w:val="00832B8B"/>
    <w:rsid w:val="00833FF0"/>
    <w:rsid w:val="008469A7"/>
    <w:rsid w:val="00857E72"/>
    <w:rsid w:val="00861316"/>
    <w:rsid w:val="00861BFF"/>
    <w:rsid w:val="0086606D"/>
    <w:rsid w:val="00887F33"/>
    <w:rsid w:val="00891D2D"/>
    <w:rsid w:val="0089292C"/>
    <w:rsid w:val="00893B7A"/>
    <w:rsid w:val="008A7FDB"/>
    <w:rsid w:val="008B02EA"/>
    <w:rsid w:val="008B4BD4"/>
    <w:rsid w:val="008C51D6"/>
    <w:rsid w:val="008C72AB"/>
    <w:rsid w:val="008D551F"/>
    <w:rsid w:val="008D6488"/>
    <w:rsid w:val="008E060E"/>
    <w:rsid w:val="008E1904"/>
    <w:rsid w:val="008E5DD1"/>
    <w:rsid w:val="00904998"/>
    <w:rsid w:val="0091143E"/>
    <w:rsid w:val="00913602"/>
    <w:rsid w:val="009162B9"/>
    <w:rsid w:val="00922959"/>
    <w:rsid w:val="00925663"/>
    <w:rsid w:val="00925EFC"/>
    <w:rsid w:val="00932A35"/>
    <w:rsid w:val="0093521F"/>
    <w:rsid w:val="0093605C"/>
    <w:rsid w:val="00945365"/>
    <w:rsid w:val="00946E01"/>
    <w:rsid w:val="00947BCD"/>
    <w:rsid w:val="0095364C"/>
    <w:rsid w:val="00956F1D"/>
    <w:rsid w:val="00961D06"/>
    <w:rsid w:val="00975DC2"/>
    <w:rsid w:val="009802A9"/>
    <w:rsid w:val="00984122"/>
    <w:rsid w:val="00986118"/>
    <w:rsid w:val="00990A91"/>
    <w:rsid w:val="009950A4"/>
    <w:rsid w:val="009B7ADB"/>
    <w:rsid w:val="009C262A"/>
    <w:rsid w:val="009D440E"/>
    <w:rsid w:val="009D7FC8"/>
    <w:rsid w:val="009E36CE"/>
    <w:rsid w:val="00A01FE5"/>
    <w:rsid w:val="00A04F01"/>
    <w:rsid w:val="00A06FD2"/>
    <w:rsid w:val="00A2232E"/>
    <w:rsid w:val="00A5351A"/>
    <w:rsid w:val="00A539FD"/>
    <w:rsid w:val="00A62CB6"/>
    <w:rsid w:val="00A655FA"/>
    <w:rsid w:val="00A70091"/>
    <w:rsid w:val="00A70B6E"/>
    <w:rsid w:val="00A81516"/>
    <w:rsid w:val="00A935DF"/>
    <w:rsid w:val="00A95538"/>
    <w:rsid w:val="00A96438"/>
    <w:rsid w:val="00AA5F29"/>
    <w:rsid w:val="00AB1CF0"/>
    <w:rsid w:val="00AB56BE"/>
    <w:rsid w:val="00AD49F3"/>
    <w:rsid w:val="00AE215A"/>
    <w:rsid w:val="00AE5415"/>
    <w:rsid w:val="00AE5B12"/>
    <w:rsid w:val="00B12128"/>
    <w:rsid w:val="00B12D3F"/>
    <w:rsid w:val="00B20C0D"/>
    <w:rsid w:val="00B23983"/>
    <w:rsid w:val="00B23B8D"/>
    <w:rsid w:val="00B265BD"/>
    <w:rsid w:val="00B37C43"/>
    <w:rsid w:val="00B47047"/>
    <w:rsid w:val="00B74010"/>
    <w:rsid w:val="00B758B4"/>
    <w:rsid w:val="00B857D2"/>
    <w:rsid w:val="00B955FC"/>
    <w:rsid w:val="00B97DF4"/>
    <w:rsid w:val="00BA351B"/>
    <w:rsid w:val="00BB0A3E"/>
    <w:rsid w:val="00BB0D02"/>
    <w:rsid w:val="00BB39FD"/>
    <w:rsid w:val="00BB41A5"/>
    <w:rsid w:val="00BC0D45"/>
    <w:rsid w:val="00BD002F"/>
    <w:rsid w:val="00BD06C1"/>
    <w:rsid w:val="00BE2126"/>
    <w:rsid w:val="00BE26A7"/>
    <w:rsid w:val="00BE5A9D"/>
    <w:rsid w:val="00BE5FF3"/>
    <w:rsid w:val="00BF19FB"/>
    <w:rsid w:val="00C173A5"/>
    <w:rsid w:val="00C22D99"/>
    <w:rsid w:val="00C2721E"/>
    <w:rsid w:val="00C43B83"/>
    <w:rsid w:val="00C51B3C"/>
    <w:rsid w:val="00C65FDE"/>
    <w:rsid w:val="00C765A4"/>
    <w:rsid w:val="00C87CFF"/>
    <w:rsid w:val="00C90DA6"/>
    <w:rsid w:val="00C92CE9"/>
    <w:rsid w:val="00C9598B"/>
    <w:rsid w:val="00CA031F"/>
    <w:rsid w:val="00CA2451"/>
    <w:rsid w:val="00CA5F81"/>
    <w:rsid w:val="00CB2EF1"/>
    <w:rsid w:val="00CB3925"/>
    <w:rsid w:val="00CC04D1"/>
    <w:rsid w:val="00CD0D3E"/>
    <w:rsid w:val="00CD151D"/>
    <w:rsid w:val="00CE0BCD"/>
    <w:rsid w:val="00CF7359"/>
    <w:rsid w:val="00D0057A"/>
    <w:rsid w:val="00D04E95"/>
    <w:rsid w:val="00D1796B"/>
    <w:rsid w:val="00D32945"/>
    <w:rsid w:val="00D336A9"/>
    <w:rsid w:val="00D351EF"/>
    <w:rsid w:val="00D37149"/>
    <w:rsid w:val="00D45038"/>
    <w:rsid w:val="00D507AF"/>
    <w:rsid w:val="00D74E1A"/>
    <w:rsid w:val="00D87E8D"/>
    <w:rsid w:val="00DA36D9"/>
    <w:rsid w:val="00DB0DCA"/>
    <w:rsid w:val="00DC3E92"/>
    <w:rsid w:val="00DE5C80"/>
    <w:rsid w:val="00DE7C24"/>
    <w:rsid w:val="00DF5A3F"/>
    <w:rsid w:val="00DF7D5F"/>
    <w:rsid w:val="00DF7DC2"/>
    <w:rsid w:val="00E06447"/>
    <w:rsid w:val="00E0762F"/>
    <w:rsid w:val="00E135B0"/>
    <w:rsid w:val="00E14439"/>
    <w:rsid w:val="00E1681A"/>
    <w:rsid w:val="00E2632D"/>
    <w:rsid w:val="00E36804"/>
    <w:rsid w:val="00E416A5"/>
    <w:rsid w:val="00E44B60"/>
    <w:rsid w:val="00E60519"/>
    <w:rsid w:val="00E70036"/>
    <w:rsid w:val="00E72827"/>
    <w:rsid w:val="00E80AB9"/>
    <w:rsid w:val="00E814DD"/>
    <w:rsid w:val="00E969E5"/>
    <w:rsid w:val="00E97ED6"/>
    <w:rsid w:val="00EA10C0"/>
    <w:rsid w:val="00EA2B7A"/>
    <w:rsid w:val="00EB35D0"/>
    <w:rsid w:val="00EB3BA0"/>
    <w:rsid w:val="00EB3DFA"/>
    <w:rsid w:val="00EC6762"/>
    <w:rsid w:val="00EC74B6"/>
    <w:rsid w:val="00ED6E4C"/>
    <w:rsid w:val="00EE44EE"/>
    <w:rsid w:val="00EE550B"/>
    <w:rsid w:val="00EF6457"/>
    <w:rsid w:val="00EF764D"/>
    <w:rsid w:val="00F03395"/>
    <w:rsid w:val="00F2039F"/>
    <w:rsid w:val="00F20A7C"/>
    <w:rsid w:val="00F2376B"/>
    <w:rsid w:val="00F25E3C"/>
    <w:rsid w:val="00F25F94"/>
    <w:rsid w:val="00F32C00"/>
    <w:rsid w:val="00F3474C"/>
    <w:rsid w:val="00F34A5F"/>
    <w:rsid w:val="00F35191"/>
    <w:rsid w:val="00F41AB4"/>
    <w:rsid w:val="00F55196"/>
    <w:rsid w:val="00F578E4"/>
    <w:rsid w:val="00F676DF"/>
    <w:rsid w:val="00F750AD"/>
    <w:rsid w:val="00F80948"/>
    <w:rsid w:val="00F821A3"/>
    <w:rsid w:val="00F851D5"/>
    <w:rsid w:val="00F93D3A"/>
    <w:rsid w:val="00F97551"/>
    <w:rsid w:val="00F97C2A"/>
    <w:rsid w:val="00FC6B7A"/>
    <w:rsid w:val="00FD330A"/>
    <w:rsid w:val="00FD3ABE"/>
    <w:rsid w:val="00FD5865"/>
    <w:rsid w:val="00FE075D"/>
    <w:rsid w:val="00FE08C4"/>
    <w:rsid w:val="00FE14AB"/>
    <w:rsid w:val="00FE4A80"/>
    <w:rsid w:val="00FE5548"/>
    <w:rsid w:val="00FF31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7DE55"/>
  <w15:docId w15:val="{BA806340-904F-344C-A804-315C850B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C43"/>
  </w:style>
  <w:style w:type="paragraph" w:styleId="Heading1">
    <w:name w:val="heading 1"/>
    <w:basedOn w:val="Normal"/>
    <w:next w:val="Normal"/>
    <w:link w:val="Heading1Char"/>
    <w:uiPriority w:val="9"/>
    <w:qFormat/>
    <w:rsid w:val="000122A2"/>
    <w:pPr>
      <w:outlineLvl w:val="0"/>
    </w:pPr>
    <w:rPr>
      <w:b/>
    </w:rPr>
  </w:style>
  <w:style w:type="paragraph" w:styleId="Heading2">
    <w:name w:val="heading 2"/>
    <w:basedOn w:val="Normal"/>
    <w:next w:val="Normal"/>
    <w:link w:val="Heading2Char"/>
    <w:uiPriority w:val="9"/>
    <w:unhideWhenUsed/>
    <w:qFormat/>
    <w:rsid w:val="00BE5FF3"/>
    <w:pPr>
      <w:outlineLvl w:val="1"/>
    </w:pPr>
    <w:rPr>
      <w:u w:val="single"/>
    </w:rPr>
  </w:style>
  <w:style w:type="paragraph" w:styleId="Heading3">
    <w:name w:val="heading 3"/>
    <w:basedOn w:val="Normal"/>
    <w:next w:val="Normal"/>
    <w:link w:val="Heading3Char"/>
    <w:uiPriority w:val="9"/>
    <w:unhideWhenUsed/>
    <w:qFormat/>
    <w:rsid w:val="00742AF9"/>
    <w:pPr>
      <w:keepNext/>
      <w:keepLines/>
      <w:spacing w:before="200" w:after="0"/>
      <w:outlineLvl w:val="2"/>
    </w:pPr>
    <w:rPr>
      <w:rFonts w:eastAsiaTheme="majorEastAsia" w:cstheme="minorHAns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A2"/>
    <w:rPr>
      <w:b/>
    </w:rPr>
  </w:style>
  <w:style w:type="paragraph" w:styleId="Header">
    <w:name w:val="header"/>
    <w:basedOn w:val="Normal"/>
    <w:link w:val="HeaderChar"/>
    <w:uiPriority w:val="99"/>
    <w:unhideWhenUsed/>
    <w:rsid w:val="00EE55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550B"/>
  </w:style>
  <w:style w:type="paragraph" w:styleId="Footer">
    <w:name w:val="footer"/>
    <w:basedOn w:val="Normal"/>
    <w:link w:val="FooterChar"/>
    <w:uiPriority w:val="99"/>
    <w:unhideWhenUsed/>
    <w:rsid w:val="00EE55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550B"/>
  </w:style>
  <w:style w:type="paragraph" w:styleId="BalloonText">
    <w:name w:val="Balloon Text"/>
    <w:basedOn w:val="Normal"/>
    <w:link w:val="BalloonTextChar"/>
    <w:uiPriority w:val="99"/>
    <w:semiHidden/>
    <w:unhideWhenUsed/>
    <w:rsid w:val="00EE5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50B"/>
    <w:rPr>
      <w:rFonts w:ascii="Tahoma" w:hAnsi="Tahoma" w:cs="Tahoma"/>
      <w:sz w:val="16"/>
      <w:szCs w:val="16"/>
    </w:rPr>
  </w:style>
  <w:style w:type="paragraph" w:styleId="DocumentMap">
    <w:name w:val="Document Map"/>
    <w:basedOn w:val="Normal"/>
    <w:link w:val="DocumentMapChar"/>
    <w:uiPriority w:val="99"/>
    <w:semiHidden/>
    <w:unhideWhenUsed/>
    <w:rsid w:val="00EE550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E550B"/>
    <w:rPr>
      <w:rFonts w:ascii="Tahoma" w:hAnsi="Tahoma" w:cs="Tahoma"/>
      <w:sz w:val="16"/>
      <w:szCs w:val="16"/>
    </w:rPr>
  </w:style>
  <w:style w:type="character" w:customStyle="1" w:styleId="Heading2Char">
    <w:name w:val="Heading 2 Char"/>
    <w:basedOn w:val="DefaultParagraphFont"/>
    <w:link w:val="Heading2"/>
    <w:uiPriority w:val="9"/>
    <w:rsid w:val="00BE5FF3"/>
    <w:rPr>
      <w:u w:val="single"/>
    </w:rPr>
  </w:style>
  <w:style w:type="paragraph" w:styleId="ListParagraph">
    <w:name w:val="List Paragraph"/>
    <w:basedOn w:val="Normal"/>
    <w:uiPriority w:val="34"/>
    <w:qFormat/>
    <w:rsid w:val="0063727A"/>
    <w:pPr>
      <w:ind w:left="720"/>
      <w:contextualSpacing/>
    </w:pPr>
  </w:style>
  <w:style w:type="table" w:styleId="TableGrid">
    <w:name w:val="Table Grid"/>
    <w:basedOn w:val="TableNormal"/>
    <w:uiPriority w:val="39"/>
    <w:unhideWhenUsed/>
    <w:rsid w:val="004E3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742AF9"/>
    <w:rPr>
      <w:rFonts w:eastAsiaTheme="majorEastAsia" w:cstheme="minorHAnsi"/>
      <w:b/>
      <w:bCs/>
      <w:i/>
    </w:rPr>
  </w:style>
  <w:style w:type="paragraph" w:styleId="Title">
    <w:name w:val="Title"/>
    <w:basedOn w:val="Heading1"/>
    <w:next w:val="Normal"/>
    <w:link w:val="TitleChar"/>
    <w:uiPriority w:val="10"/>
    <w:qFormat/>
    <w:rsid w:val="00344268"/>
    <w:rPr>
      <w:sz w:val="36"/>
      <w:u w:val="single"/>
    </w:rPr>
  </w:style>
  <w:style w:type="character" w:customStyle="1" w:styleId="TitleChar">
    <w:name w:val="Title Char"/>
    <w:basedOn w:val="DefaultParagraphFont"/>
    <w:link w:val="Title"/>
    <w:uiPriority w:val="10"/>
    <w:rsid w:val="00344268"/>
    <w:rPr>
      <w:rFonts w:ascii="Calibri" w:eastAsiaTheme="majorEastAsia" w:hAnsi="Calibri" w:cs="Calibri"/>
      <w:b/>
      <w:bCs/>
      <w:sz w:val="36"/>
      <w:szCs w:val="28"/>
      <w:u w:val="single"/>
    </w:rPr>
  </w:style>
  <w:style w:type="character" w:styleId="Hyperlink">
    <w:name w:val="Hyperlink"/>
    <w:basedOn w:val="DefaultParagraphFont"/>
    <w:uiPriority w:val="99"/>
    <w:unhideWhenUsed/>
    <w:rsid w:val="00945365"/>
    <w:rPr>
      <w:color w:val="0000FF" w:themeColor="hyperlink"/>
      <w:u w:val="single"/>
    </w:rPr>
  </w:style>
  <w:style w:type="character" w:styleId="CommentReference">
    <w:name w:val="annotation reference"/>
    <w:basedOn w:val="DefaultParagraphFont"/>
    <w:uiPriority w:val="99"/>
    <w:semiHidden/>
    <w:unhideWhenUsed/>
    <w:rsid w:val="00AE5415"/>
    <w:rPr>
      <w:sz w:val="16"/>
      <w:szCs w:val="16"/>
    </w:rPr>
  </w:style>
  <w:style w:type="paragraph" w:styleId="CommentText">
    <w:name w:val="annotation text"/>
    <w:basedOn w:val="Normal"/>
    <w:link w:val="CommentTextChar"/>
    <w:uiPriority w:val="99"/>
    <w:semiHidden/>
    <w:unhideWhenUsed/>
    <w:rsid w:val="00AE5415"/>
    <w:pPr>
      <w:spacing w:line="240" w:lineRule="auto"/>
    </w:pPr>
    <w:rPr>
      <w:sz w:val="20"/>
      <w:szCs w:val="20"/>
    </w:rPr>
  </w:style>
  <w:style w:type="character" w:customStyle="1" w:styleId="CommentTextChar">
    <w:name w:val="Comment Text Char"/>
    <w:basedOn w:val="DefaultParagraphFont"/>
    <w:link w:val="CommentText"/>
    <w:uiPriority w:val="99"/>
    <w:semiHidden/>
    <w:rsid w:val="00AE5415"/>
    <w:rPr>
      <w:sz w:val="20"/>
      <w:szCs w:val="20"/>
    </w:rPr>
  </w:style>
  <w:style w:type="paragraph" w:styleId="CommentSubject">
    <w:name w:val="annotation subject"/>
    <w:basedOn w:val="CommentText"/>
    <w:next w:val="CommentText"/>
    <w:link w:val="CommentSubjectChar"/>
    <w:uiPriority w:val="99"/>
    <w:semiHidden/>
    <w:unhideWhenUsed/>
    <w:rsid w:val="00AE5415"/>
    <w:rPr>
      <w:b/>
      <w:bCs/>
    </w:rPr>
  </w:style>
  <w:style w:type="character" w:customStyle="1" w:styleId="CommentSubjectChar">
    <w:name w:val="Comment Subject Char"/>
    <w:basedOn w:val="CommentTextChar"/>
    <w:link w:val="CommentSubject"/>
    <w:uiPriority w:val="99"/>
    <w:semiHidden/>
    <w:rsid w:val="00AE5415"/>
    <w:rPr>
      <w:b/>
      <w:bCs/>
      <w:sz w:val="20"/>
      <w:szCs w:val="20"/>
    </w:rPr>
  </w:style>
  <w:style w:type="character" w:styleId="UnresolvedMention">
    <w:name w:val="Unresolved Mention"/>
    <w:basedOn w:val="DefaultParagraphFont"/>
    <w:uiPriority w:val="99"/>
    <w:semiHidden/>
    <w:unhideWhenUsed/>
    <w:rsid w:val="00F851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20886">
      <w:bodyDiv w:val="1"/>
      <w:marLeft w:val="0"/>
      <w:marRight w:val="0"/>
      <w:marTop w:val="0"/>
      <w:marBottom w:val="0"/>
      <w:divBdr>
        <w:top w:val="none" w:sz="0" w:space="0" w:color="auto"/>
        <w:left w:val="none" w:sz="0" w:space="0" w:color="auto"/>
        <w:bottom w:val="none" w:sz="0" w:space="0" w:color="auto"/>
        <w:right w:val="none" w:sz="0" w:space="0" w:color="auto"/>
      </w:divBdr>
    </w:div>
    <w:div w:id="168375423">
      <w:bodyDiv w:val="1"/>
      <w:marLeft w:val="0"/>
      <w:marRight w:val="0"/>
      <w:marTop w:val="0"/>
      <w:marBottom w:val="0"/>
      <w:divBdr>
        <w:top w:val="none" w:sz="0" w:space="0" w:color="auto"/>
        <w:left w:val="none" w:sz="0" w:space="0" w:color="auto"/>
        <w:bottom w:val="none" w:sz="0" w:space="0" w:color="auto"/>
        <w:right w:val="none" w:sz="0" w:space="0" w:color="auto"/>
      </w:divBdr>
    </w:div>
    <w:div w:id="128164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179/2054892315Y.000000000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179/2054892315Y.000000000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80/00438243.2013.821671" TargetMode="External"/><Relationship Id="rId5" Type="http://schemas.openxmlformats.org/officeDocument/2006/relationships/footnotes" Target="footnotes.xml"/><Relationship Id="rId10" Type="http://schemas.openxmlformats.org/officeDocument/2006/relationships/hyperlink" Target="https://doi.org/10.1016/j.jasrep.2017.05.007" TargetMode="External"/><Relationship Id="rId4" Type="http://schemas.openxmlformats.org/officeDocument/2006/relationships/webSettings" Target="webSettings.xml"/><Relationship Id="rId9" Type="http://schemas.openxmlformats.org/officeDocument/2006/relationships/hyperlink" Target="https://doi.org/10.1038/nplants.2017.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1492</Words>
  <Characters>8511</Characters>
  <Application>Microsoft Office Word</Application>
  <DocSecurity>0</DocSecurity>
  <Lines>70</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McKerracher</dc:creator>
  <cp:keywords/>
  <dc:description/>
  <cp:lastModifiedBy>C. Frieman</cp:lastModifiedBy>
  <cp:revision>2</cp:revision>
  <dcterms:created xsi:type="dcterms:W3CDTF">2020-01-31T15:32:00Z</dcterms:created>
  <dcterms:modified xsi:type="dcterms:W3CDTF">2020-01-31T15:32:00Z</dcterms:modified>
</cp:coreProperties>
</file>