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DE69" w14:textId="77777777" w:rsidR="00DE1EB1" w:rsidRPr="002D63E2" w:rsidRDefault="00DE1EB1" w:rsidP="00DE1E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63342513"/>
      <w:r w:rsidRPr="002D63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From Glass to Glaze in </w:t>
      </w:r>
      <w:proofErr w:type="spellStart"/>
      <w:r w:rsidRPr="002D63E2">
        <w:rPr>
          <w:rFonts w:ascii="Times New Roman" w:hAnsi="Times New Roman" w:cs="Times New Roman"/>
          <w:b/>
          <w:sz w:val="24"/>
          <w:szCs w:val="24"/>
          <w:lang w:val="en-GB"/>
        </w:rPr>
        <w:t>al-Andalus</w:t>
      </w:r>
      <w:proofErr w:type="spellEnd"/>
      <w:r w:rsidRPr="002D63E2">
        <w:rPr>
          <w:rFonts w:ascii="Times New Roman" w:hAnsi="Times New Roman" w:cs="Times New Roman"/>
          <w:b/>
          <w:sz w:val="24"/>
          <w:szCs w:val="24"/>
          <w:lang w:val="en-GB"/>
        </w:rPr>
        <w:t>: Local Invention and Technological Transfer</w:t>
      </w:r>
    </w:p>
    <w:p w14:paraId="69722EB8" w14:textId="605EDE93" w:rsidR="00DE1EB1" w:rsidRPr="002D63E2" w:rsidRDefault="00DE1EB1" w:rsidP="00DE1EB1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</w:pPr>
      <w:r w:rsidRPr="002D63E2">
        <w:rPr>
          <w:rFonts w:ascii="Times New Roman" w:hAnsi="Times New Roman" w:cs="Times New Roman"/>
          <w:b/>
          <w:bCs/>
          <w:smallCaps/>
          <w:sz w:val="24"/>
          <w:szCs w:val="24"/>
        </w:rPr>
        <w:t>Elena Salinas</w:t>
      </w:r>
      <w:bookmarkEnd w:id="0"/>
      <w:r w:rsidRPr="002D63E2">
        <w:rPr>
          <w:rFonts w:ascii="Times New Roman" w:hAnsi="Times New Roman" w:cs="Times New Roman"/>
          <w:b/>
          <w:bCs/>
          <w:smallCaps/>
          <w:sz w:val="24"/>
          <w:szCs w:val="24"/>
        </w:rPr>
        <w:t>, Jorge De Juan, Juan M. Piñero, M. Teresa Casal, Nadine Schibille and Trinitat Pradell</w:t>
      </w:r>
    </w:p>
    <w:p w14:paraId="6F873F2C" w14:textId="77777777" w:rsidR="00DE1EB1" w:rsidRDefault="00DE1EB1">
      <w:pPr>
        <w:rPr>
          <w:b/>
          <w:sz w:val="28"/>
          <w:szCs w:val="28"/>
          <w:lang w:val="en-GB"/>
        </w:rPr>
      </w:pPr>
    </w:p>
    <w:p w14:paraId="4A374DBB" w14:textId="05C330A5" w:rsidR="00473E45" w:rsidRDefault="00063142" w:rsidP="00DE1EB1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DE1EB1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S</w:t>
      </w:r>
      <w:r w:rsidR="00DE1EB1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upplementary</w:t>
      </w:r>
      <w:r w:rsidRPr="00DE1EB1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 xml:space="preserve"> M</w:t>
      </w:r>
      <w:r w:rsidR="00DE1EB1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aterial</w:t>
      </w:r>
    </w:p>
    <w:p w14:paraId="2C2DCB5C" w14:textId="77777777" w:rsidR="00DE1EB1" w:rsidRPr="00DE1EB1" w:rsidRDefault="00DE1EB1" w:rsidP="00DE1EB1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</w:p>
    <w:p w14:paraId="46ADDD1F" w14:textId="77777777" w:rsidR="00063142" w:rsidRPr="002D63E2" w:rsidRDefault="00063142" w:rsidP="00243DD8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2D63E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Analytical Methods</w:t>
      </w:r>
    </w:p>
    <w:p w14:paraId="1708B991" w14:textId="77777777" w:rsidR="00063142" w:rsidRPr="002D63E2" w:rsidRDefault="00063142" w:rsidP="0006314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2D63E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Polished cross-sections through the glazes of the sherds and of the crucibles were prepared. The polished sections were examined both in reflected light with an optical microscope and in a scanning electron microscope with energy-dispersive spectroscopy (SEM-EDS). 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>A crossbeam workstation (Zeiss Neon 40) equipped with a SEM GEMINI (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Shottky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FE) column and EDS (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INCAPentaFETx3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detector,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30mm</w:t>
      </w:r>
      <w:r w:rsidRPr="002D63E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ATW2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window), operating at 20 KV with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120s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measuring times was employed. </w:t>
      </w:r>
      <w:r w:rsidRPr="002D63E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glaze and body microstructures were studied and recorded in backscatter mode (BSE), in which the different phases could be distinguished </w:t>
      </w:r>
      <w:proofErr w:type="gramStart"/>
      <w:r w:rsidRPr="002D63E2">
        <w:rPr>
          <w:rFonts w:ascii="Times New Roman" w:hAnsi="Times New Roman" w:cs="Times New Roman"/>
          <w:iCs/>
          <w:sz w:val="24"/>
          <w:szCs w:val="24"/>
          <w:lang w:val="en-GB"/>
        </w:rPr>
        <w:t>on the basis of</w:t>
      </w:r>
      <w:proofErr w:type="gramEnd"/>
      <w:r w:rsidRPr="002D63E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their atomic number contrast.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4C3B835" w14:textId="77777777" w:rsidR="00063142" w:rsidRPr="002D63E2" w:rsidRDefault="00063142" w:rsidP="00063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63E2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For the chemical compositions of the </w:t>
      </w:r>
      <w:r w:rsidRPr="002D63E2">
        <w:rPr>
          <w:rFonts w:ascii="Times New Roman" w:eastAsia="Times New Roman" w:hAnsi="Times New Roman" w:cs="Times New Roman"/>
          <w:bCs/>
          <w:sz w:val="24"/>
          <w:szCs w:val="24"/>
          <w:lang w:val="en-GB" w:eastAsia="es-ES_tradnl"/>
        </w:rPr>
        <w:t>glazes, areas of weathered glaze and areas near to the interface between the glaze and the fabric were avoided as far as possible. As a result, the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glaze totals varied between 97 and 99 per cent, mainly because of the variable state of preservation of the glazes. The analyses</w:t>
      </w:r>
      <w:r w:rsidRPr="002D63E2">
        <w:rPr>
          <w:rFonts w:ascii="Times New Roman" w:eastAsia="Times New Roman" w:hAnsi="Times New Roman" w:cs="Times New Roman"/>
          <w:bCs/>
          <w:sz w:val="24"/>
          <w:szCs w:val="24"/>
          <w:lang w:val="en-GB" w:eastAsia="es-ES_tradnl"/>
        </w:rPr>
        <w:t xml:space="preserve"> were therefore averaged without normali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s-ES_tradnl"/>
        </w:rPr>
        <w:t>z</w:t>
      </w:r>
      <w:r w:rsidRPr="002D63E2">
        <w:rPr>
          <w:rFonts w:ascii="Times New Roman" w:eastAsia="Times New Roman" w:hAnsi="Times New Roman" w:cs="Times New Roman"/>
          <w:bCs/>
          <w:sz w:val="24"/>
          <w:szCs w:val="24"/>
          <w:lang w:val="en-GB" w:eastAsia="es-ES_tradnl"/>
        </w:rPr>
        <w:t xml:space="preserve">ation. 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>An EDS elemental microanalysis system calibrated with oxide and mineral standards and a high lead glass (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K229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>) was used to determine the composition of the glazes (Geller Microanalytical Laboratory, MA, USA). Typical detection limits are 0.1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per cent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for Na, Mg, Al, P, K, Ca,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>, Mn and Fe, 0.2% for Si and Cu and 0.4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per cent</w:t>
      </w:r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for Pb. </w:t>
      </w:r>
    </w:p>
    <w:p w14:paraId="64F975F6" w14:textId="030AD004" w:rsidR="00DE1EB1" w:rsidRPr="00DE1EB1" w:rsidRDefault="00063142" w:rsidP="00DE1E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63E2">
        <w:rPr>
          <w:rFonts w:ascii="Times New Roman" w:hAnsi="Times New Roman" w:cs="Times New Roman"/>
          <w:sz w:val="24"/>
          <w:szCs w:val="24"/>
          <w:lang w:val="en-GB"/>
        </w:rPr>
        <w:t>The glass samples were mounted in epoxy resin and polished to remove possible corrosion layers. They were analysed by LA-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ICP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>-MS (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Schibille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et al, 2020). The instrumental setup was a mass spectrometer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Thermofisher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Element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XR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and the laser ablation system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Resonetic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UV laser microprobe (193 nm Excimer laser). The operating conditions were set at 5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mJ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with a frequency of 10 Hz and a spot size diameter of 100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that was </w:t>
      </w:r>
      <w:proofErr w:type="gramStart"/>
      <w:r w:rsidRPr="002D63E2">
        <w:rPr>
          <w:rFonts w:ascii="Times New Roman" w:hAnsi="Times New Roman" w:cs="Times New Roman"/>
          <w:sz w:val="24"/>
          <w:szCs w:val="24"/>
          <w:lang w:val="en-GB"/>
        </w:rPr>
        <w:t>reduced down</w:t>
      </w:r>
      <w:proofErr w:type="gram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to 40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for glasses with high lead concentrations. A pre-ablation time of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15s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was followed by a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30s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analysis time measuring fifty-eight elements (for details see </w:t>
      </w:r>
      <w:proofErr w:type="spellStart"/>
      <w:r w:rsidRPr="002D63E2">
        <w:rPr>
          <w:rFonts w:ascii="Times New Roman" w:hAnsi="Times New Roman" w:cs="Times New Roman"/>
          <w:sz w:val="24"/>
          <w:szCs w:val="24"/>
          <w:lang w:val="en-GB"/>
        </w:rPr>
        <w:t>Schibille</w:t>
      </w:r>
      <w:proofErr w:type="spellEnd"/>
      <w:r w:rsidRPr="002D63E2">
        <w:rPr>
          <w:rFonts w:ascii="Times New Roman" w:hAnsi="Times New Roman" w:cs="Times New Roman"/>
          <w:sz w:val="24"/>
          <w:szCs w:val="24"/>
          <w:lang w:val="en-GB"/>
        </w:rPr>
        <w:t xml:space="preserve"> et al, 2020). </w:t>
      </w:r>
      <w:r w:rsidR="00DE1EB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br w:type="page"/>
      </w:r>
    </w:p>
    <w:p w14:paraId="1140EE83" w14:textId="77777777" w:rsidR="00DE1EB1" w:rsidRDefault="00DE1EB1" w:rsidP="00243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sectPr w:rsidR="00DE1EB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2DC8E0B" w14:textId="26A8FCD8" w:rsidR="00243DD8" w:rsidRDefault="00243DD8" w:rsidP="00243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C0E7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 xml:space="preserve">Table </w:t>
      </w:r>
      <w:proofErr w:type="spellStart"/>
      <w:r w:rsidR="00DE1EB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</w:t>
      </w:r>
      <w:r w:rsidRPr="00DC0E7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</w:t>
      </w:r>
      <w:proofErr w:type="spellEnd"/>
      <w:r w:rsidRPr="00DC0E7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</w:t>
      </w:r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Average composition (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avg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) and standard deviation (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stdev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) of the Córdoba high-lead glass determined by LA-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ICP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-MS (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Schibille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et al., 2020), the compositional data of two Córdoba glass crucible determined by SEM-EDS (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wt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% normali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z</w:t>
      </w:r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ed to 100 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wt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%), and chemical composition of the Córdoba glazes determined by SEM-EDS (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wt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% normali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z</w:t>
      </w:r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ed to 100 </w:t>
      </w:r>
      <w:proofErr w:type="spellStart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wt</w:t>
      </w:r>
      <w:proofErr w:type="spellEnd"/>
      <w:r w:rsidRPr="00DC0E7D">
        <w:rPr>
          <w:rFonts w:ascii="Times New Roman" w:hAnsi="Times New Roman" w:cs="Times New Roman"/>
          <w:i/>
          <w:iCs/>
          <w:sz w:val="24"/>
          <w:szCs w:val="24"/>
          <w:lang w:val="en-GB"/>
        </w:rPr>
        <w:t>%).</w:t>
      </w:r>
    </w:p>
    <w:p w14:paraId="3BF8B3E6" w14:textId="77777777" w:rsidR="00A55033" w:rsidRDefault="00A55033" w:rsidP="00243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850"/>
        <w:gridCol w:w="1946"/>
        <w:gridCol w:w="1211"/>
        <w:gridCol w:w="681"/>
        <w:gridCol w:w="661"/>
        <w:gridCol w:w="702"/>
        <w:gridCol w:w="604"/>
        <w:gridCol w:w="624"/>
        <w:gridCol w:w="600"/>
        <w:gridCol w:w="600"/>
        <w:gridCol w:w="616"/>
        <w:gridCol w:w="626"/>
        <w:gridCol w:w="672"/>
        <w:gridCol w:w="713"/>
        <w:gridCol w:w="628"/>
        <w:gridCol w:w="605"/>
      </w:tblGrid>
      <w:tr w:rsidR="00A55033" w:rsidRPr="00A55033" w14:paraId="05815F33" w14:textId="77777777" w:rsidTr="00A55033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F58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FF0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CBE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Colour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D11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Object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300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Na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2E8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MgO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841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Al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ABF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SiO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CFA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P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5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B26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Cl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DB8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K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C5A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265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TiO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3B9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C59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Fe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2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O</w:t>
            </w: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val="en-AU" w:eastAsia="en-A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C7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CuO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78B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PbO</w:t>
            </w:r>
            <w:proofErr w:type="spellEnd"/>
          </w:p>
        </w:tc>
      </w:tr>
      <w:tr w:rsidR="00A55033" w:rsidRPr="00A55033" w14:paraId="0E713DD0" w14:textId="77777777" w:rsidTr="00A55033"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2DE30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Saqunda</w:t>
            </w:r>
            <w:proofErr w:type="spellEnd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 xml:space="preserve"> glass (n=15)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19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FF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D05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5F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67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8BF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9A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CE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A33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1C4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7D6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89D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4B9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4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9E4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54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52.2</w:t>
            </w:r>
          </w:p>
        </w:tc>
      </w:tr>
      <w:tr w:rsidR="00A55033" w:rsidRPr="00A55033" w14:paraId="4267C986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5D0DF3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F31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7AD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372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19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554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E61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2E9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E9F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8E8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1E3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048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2D8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156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A7A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70C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C02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(2.7)</w:t>
            </w:r>
          </w:p>
        </w:tc>
      </w:tr>
      <w:tr w:rsidR="00A55033" w:rsidRPr="00A55033" w14:paraId="7615C672" w14:textId="77777777" w:rsidTr="00A55033"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AAF15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Glass Crucible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F9AA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F27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CF5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B9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7ED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BC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9B8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1A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1D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0A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E9F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13D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6BD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811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CC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A8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50.9</w:t>
            </w:r>
          </w:p>
        </w:tc>
      </w:tr>
      <w:tr w:rsidR="00A55033" w:rsidRPr="00A55033" w14:paraId="21769C80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6B0437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8D951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E38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AA95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F9F9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2FA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C38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2CE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F89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FFC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BCF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7795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C7E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1BA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3E9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28E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D5F1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50.9</w:t>
            </w:r>
          </w:p>
        </w:tc>
      </w:tr>
      <w:tr w:rsidR="00A55033" w:rsidRPr="00A55033" w14:paraId="231A1FA9" w14:textId="77777777" w:rsidTr="00A55033"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EA07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Zumbacón</w:t>
            </w:r>
            <w:proofErr w:type="spellEnd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 xml:space="preserve"> Lead glaze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818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Z3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32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3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9A0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6B4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59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B2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9E0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F3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585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7A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1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F0A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DBF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C2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94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49.6</w:t>
            </w:r>
          </w:p>
        </w:tc>
      </w:tr>
      <w:tr w:rsidR="00A55033" w:rsidRPr="00A55033" w14:paraId="40D7FFA7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3D5496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CF3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Z11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65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 xml:space="preserve">Honey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B1F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49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BF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F0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5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96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97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C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6E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BB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B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AFB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BD4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70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43.0</w:t>
            </w:r>
          </w:p>
        </w:tc>
      </w:tr>
      <w:tr w:rsidR="00A55033" w:rsidRPr="00A55033" w14:paraId="2F121BFD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77930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FE921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75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B371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F3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62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FA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BF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9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0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1F3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5C4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F9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263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A2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6DF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41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39.7</w:t>
            </w:r>
          </w:p>
        </w:tc>
      </w:tr>
      <w:tr w:rsidR="00A55033" w:rsidRPr="00A55033" w14:paraId="1E47C345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C888A2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2E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Z12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E6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E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A6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5C2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88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54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64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88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59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2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740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38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3D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6B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C0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57.3</w:t>
            </w:r>
          </w:p>
        </w:tc>
      </w:tr>
      <w:tr w:rsidR="00A55033" w:rsidRPr="00A55033" w14:paraId="54D59E3A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1B025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6A8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Z14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6E1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4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9C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FB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2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F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07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958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A5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EC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3E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14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D2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97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E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38.8</w:t>
            </w:r>
          </w:p>
        </w:tc>
      </w:tr>
      <w:tr w:rsidR="00A55033" w:rsidRPr="00A55033" w14:paraId="3F1E67A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23F75B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213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Z15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4B6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E99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5A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2A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C4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EE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19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FF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2B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14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A7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76E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A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D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EC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46.2</w:t>
            </w:r>
          </w:p>
        </w:tc>
      </w:tr>
      <w:tr w:rsidR="00A55033" w:rsidRPr="00A55033" w14:paraId="05A82BDC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7B265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ACC0B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6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DE0A4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A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CA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0B9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2A8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42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1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748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60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95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3A0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F9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CE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2C2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47.9</w:t>
            </w:r>
          </w:p>
        </w:tc>
      </w:tr>
      <w:tr w:rsidR="00A55033" w:rsidRPr="00A55033" w14:paraId="61A0DCDD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A75531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EA1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Z30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53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7C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1AF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C9D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92A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DE1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45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FD1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5E7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699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4E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5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6D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DE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F0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41.9</w:t>
            </w:r>
          </w:p>
        </w:tc>
      </w:tr>
      <w:tr w:rsidR="00A55033" w:rsidRPr="00A55033" w14:paraId="155C02AF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45EDA3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A80D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D22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259D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AE9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27F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7A5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D02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D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59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498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0FB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95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DF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C1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5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52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47.9</w:t>
            </w:r>
          </w:p>
        </w:tc>
      </w:tr>
      <w:tr w:rsidR="00A55033" w:rsidRPr="00A55033" w14:paraId="607992BB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DFC1B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15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Z31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902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2F1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Dish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4A8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9CA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6FB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347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AC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E9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044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40E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CB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7F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14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EA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1F6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47.6</w:t>
            </w:r>
          </w:p>
        </w:tc>
      </w:tr>
      <w:tr w:rsidR="00A55033" w:rsidRPr="00A55033" w14:paraId="495B4C08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FEEC9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85DA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F2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0643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AB3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21C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52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AAB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43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38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5F6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A0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89A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16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81E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CB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1D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48.0</w:t>
            </w:r>
          </w:p>
        </w:tc>
      </w:tr>
      <w:tr w:rsidR="00A55033" w:rsidRPr="00A55033" w14:paraId="3A1F14FC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80B61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22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Z32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AE6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836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Dish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AB4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F72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4E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326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4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E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B14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7E6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E0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54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28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4B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9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45.0</w:t>
            </w:r>
          </w:p>
        </w:tc>
      </w:tr>
      <w:tr w:rsidR="00A55033" w:rsidRPr="00A55033" w14:paraId="219D0D51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74D3E6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FBE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264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B961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96F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B0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AF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78B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B0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47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372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988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AB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14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54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AFA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E4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52.2</w:t>
            </w:r>
          </w:p>
        </w:tc>
      </w:tr>
      <w:tr w:rsidR="00A55033" w:rsidRPr="00A55033" w14:paraId="1C0B1BA3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14A49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EE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Z40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3E1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FB1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ED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F4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F07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B3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E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3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8B4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004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3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C6B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4B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6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9D6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53.2</w:t>
            </w:r>
          </w:p>
        </w:tc>
      </w:tr>
      <w:tr w:rsidR="00A55033" w:rsidRPr="00A55033" w14:paraId="0EC247F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2FFDE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D5266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031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5B89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0D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01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DDE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CD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83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25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FCC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3C9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007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858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51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1F1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5B4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58.2</w:t>
            </w:r>
          </w:p>
        </w:tc>
      </w:tr>
      <w:tr w:rsidR="00A55033" w:rsidRPr="00A55033" w14:paraId="2F28CC0D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4F640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0F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Z49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C7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51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C0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12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59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3B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20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C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DB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39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88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F5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E8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1A3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1FD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40.8</w:t>
            </w:r>
          </w:p>
        </w:tc>
      </w:tr>
      <w:tr w:rsidR="00A55033" w:rsidRPr="00A55033" w14:paraId="20A45444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28E5D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32A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Z52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1D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FF3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2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39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8F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75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9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2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69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68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08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E5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06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8D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88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44.1</w:t>
            </w:r>
          </w:p>
        </w:tc>
      </w:tr>
      <w:tr w:rsidR="00A55033" w:rsidRPr="00A55033" w14:paraId="76336005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418AA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C2E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Z54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4B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Transparent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1D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BD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D27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2BF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7B2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74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DF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B7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F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944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F5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C1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84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67B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51.4</w:t>
            </w:r>
          </w:p>
        </w:tc>
      </w:tr>
      <w:tr w:rsidR="00A55033" w:rsidRPr="00A55033" w14:paraId="737E5938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F794C8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84F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Z60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61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AF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14A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69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64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468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6E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57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B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86B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D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2E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AD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71B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46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50.2</w:t>
            </w:r>
          </w:p>
        </w:tc>
      </w:tr>
      <w:tr w:rsidR="00A55033" w:rsidRPr="00A55033" w14:paraId="0FDF8AA8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31B58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C89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Z66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219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A4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004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462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13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B42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97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4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5A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98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246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B53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26D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1B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6C0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43.6</w:t>
            </w:r>
          </w:p>
        </w:tc>
      </w:tr>
      <w:tr w:rsidR="00A55033" w:rsidRPr="00A55033" w14:paraId="2D59B691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D7012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493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Z68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CE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347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Dish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43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0B0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7B2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CFC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DC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BB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263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0AF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3AD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328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2D5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940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B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55.1</w:t>
            </w:r>
          </w:p>
        </w:tc>
      </w:tr>
      <w:tr w:rsidR="00A55033" w:rsidRPr="00A55033" w14:paraId="2559083F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BDB6D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FC2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82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F03F1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F3D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51C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401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BBC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79B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2B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F9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18D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6CE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B3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9A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17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AAF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52.1</w:t>
            </w:r>
          </w:p>
        </w:tc>
      </w:tr>
      <w:tr w:rsidR="00A55033" w:rsidRPr="00A55033" w14:paraId="733C2DE4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9E210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79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Z69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14B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(outer)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99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03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54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7F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2D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31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9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99A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F5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1A4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EB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DFF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28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C53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47.3</w:t>
            </w:r>
          </w:p>
        </w:tc>
      </w:tr>
      <w:tr w:rsidR="00A55033" w:rsidRPr="00A55033" w14:paraId="69B14B51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B96C47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BC1B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F8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8936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016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99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24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87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F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5C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C60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C6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EE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EBF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3E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573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48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50.4</w:t>
            </w:r>
          </w:p>
        </w:tc>
      </w:tr>
      <w:tr w:rsidR="00A55033" w:rsidRPr="00A55033" w14:paraId="76F5B7B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A35F55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11D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Z50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71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27D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96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00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73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3AF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49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05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459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FDB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F88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33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AB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8A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C86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44.7</w:t>
            </w:r>
          </w:p>
        </w:tc>
      </w:tr>
      <w:tr w:rsidR="00A55033" w:rsidRPr="00A55033" w14:paraId="409B70A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95A60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E79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FE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C7249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368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DB5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93F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374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778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27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A9B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73B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5A6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AF6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2DC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EED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DB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36.8</w:t>
            </w:r>
          </w:p>
        </w:tc>
      </w:tr>
      <w:tr w:rsidR="00A55033" w:rsidRPr="00A55033" w14:paraId="19B9A02E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3D5444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4E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Z72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CD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B1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22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49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8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0FE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0B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E5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D3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D90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D48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B0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CB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D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BF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35.9</w:t>
            </w:r>
          </w:p>
        </w:tc>
      </w:tr>
      <w:tr w:rsidR="00A55033" w:rsidRPr="00A55033" w14:paraId="2020B7A9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42C6F4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21A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Z45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217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18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65A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E9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229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1BA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30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B58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EAE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B12A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78B1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36A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D15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285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865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33.6</w:t>
            </w:r>
          </w:p>
        </w:tc>
      </w:tr>
      <w:tr w:rsidR="00A55033" w:rsidRPr="00A55033" w14:paraId="5DC1BD90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329222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E92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266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Honey/Brown (n=20)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2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4F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CE4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76B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3CC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6B8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97B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BF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824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A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61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99D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E27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76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46.1</w:t>
            </w:r>
          </w:p>
        </w:tc>
      </w:tr>
      <w:tr w:rsidR="00A55033" w:rsidRPr="00A55033" w14:paraId="171F549C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921AA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1E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F66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8C0C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DAC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0A0E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A19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1EE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(3.6)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2C9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01F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0BE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1B6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06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BC6F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6A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9E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C900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(6.4)</w:t>
            </w:r>
          </w:p>
        </w:tc>
      </w:tr>
      <w:tr w:rsidR="00A55033" w:rsidRPr="00A55033" w14:paraId="35DD3E62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FDB14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02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21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(n=7)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D84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4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5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7B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ABC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A9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D97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B5C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688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AE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B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B0C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D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47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47.1</w:t>
            </w:r>
          </w:p>
        </w:tc>
      </w:tr>
      <w:tr w:rsidR="00A55033" w:rsidRPr="00A55033" w14:paraId="3165CD65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AF17B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657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E9993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473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CB6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663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3B7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759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D32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5934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CEC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B8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466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4C6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291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519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9EB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(6.7)</w:t>
            </w:r>
          </w:p>
        </w:tc>
      </w:tr>
      <w:tr w:rsidR="00A55033" w:rsidRPr="00A55033" w14:paraId="21574C08" w14:textId="77777777" w:rsidTr="00A55033"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85648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 xml:space="preserve">M. </w:t>
            </w:r>
            <w:proofErr w:type="spellStart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>Auxiliadora</w:t>
            </w:r>
            <w:proofErr w:type="spellEnd"/>
            <w:r w:rsidRPr="00A55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  <w:t xml:space="preserve"> Lead glaze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316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577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A9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C1B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3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F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22C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30B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886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E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F28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DA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6C8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3F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A4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3CA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48.7</w:t>
            </w:r>
          </w:p>
        </w:tc>
      </w:tr>
      <w:tr w:rsidR="00A55033" w:rsidRPr="00A55033" w14:paraId="0D484050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0C9591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29A2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29D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E8B6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D2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89C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8B5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9C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04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A83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C9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2B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AA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5E4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C80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50A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7E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49.1</w:t>
            </w:r>
          </w:p>
        </w:tc>
      </w:tr>
      <w:tr w:rsidR="00A55033" w:rsidRPr="00A55033" w14:paraId="2B55D387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D7F14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6E8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MX21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E2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E05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F0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0D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F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C6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37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B1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A7D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1C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7F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AC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F9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98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331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49.1</w:t>
            </w:r>
          </w:p>
        </w:tc>
      </w:tr>
      <w:tr w:rsidR="00A55033" w:rsidRPr="00A55033" w14:paraId="747164D5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A09C6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5518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313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BE1D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493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188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C07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B83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2C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6C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8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50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56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C4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D6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DC9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3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45.2</w:t>
            </w:r>
          </w:p>
        </w:tc>
      </w:tr>
      <w:tr w:rsidR="00A55033" w:rsidRPr="00A55033" w14:paraId="431E3C9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362B6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CBB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MX23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F50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6EC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C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EB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3F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7BD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2B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B0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06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F7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6FE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409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AB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9F3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05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43.5</w:t>
            </w:r>
          </w:p>
        </w:tc>
      </w:tr>
      <w:tr w:rsidR="00A55033" w:rsidRPr="00A55033" w14:paraId="1B87CF71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071E4E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2920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85A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AFB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9E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FB5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3F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ECB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987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52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D62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2D8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11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136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17C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6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4C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45.2</w:t>
            </w:r>
          </w:p>
        </w:tc>
      </w:tr>
      <w:tr w:rsidR="00A55033" w:rsidRPr="00A55033" w14:paraId="43A289FE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2DD4C7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F0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MX25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BF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BD3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93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9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0E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994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C5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2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A2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7B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2A8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27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BC6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F65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F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53.5</w:t>
            </w:r>
          </w:p>
        </w:tc>
      </w:tr>
      <w:tr w:rsidR="00A55033" w:rsidRPr="00A55033" w14:paraId="1C3C7D66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4BCA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705CC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1D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F03D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62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CE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E0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10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96D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3A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34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6B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A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5B7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CC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0A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46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51.8</w:t>
            </w:r>
          </w:p>
        </w:tc>
      </w:tr>
      <w:tr w:rsidR="00A55033" w:rsidRPr="00A55033" w14:paraId="5F342AF4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A36FF2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721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B7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037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DB0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27E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7F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DE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4E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E0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55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4F4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15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5F0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B24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25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8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49.8</w:t>
            </w:r>
          </w:p>
        </w:tc>
      </w:tr>
      <w:tr w:rsidR="00A55033" w:rsidRPr="00A55033" w14:paraId="15D77988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0ABE1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BD63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97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(outer)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4F01F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4F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00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DC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66E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7D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A9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817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AD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D7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CE9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F5F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AF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90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52.4</w:t>
            </w:r>
          </w:p>
        </w:tc>
      </w:tr>
      <w:tr w:rsidR="00A55033" w:rsidRPr="00A55033" w14:paraId="5B007B93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5E022B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5E21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MX26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E9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(outer)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DB82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Beaker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7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27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F6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27D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66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130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0EE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F5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1A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49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5E2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83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75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51.4</w:t>
            </w:r>
          </w:p>
        </w:tc>
      </w:tr>
      <w:tr w:rsidR="00A55033" w:rsidRPr="00A55033" w14:paraId="772B3B7E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91951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1243C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F767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(inner)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2FD9FD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B24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035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48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0C7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32B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44E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BC9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C32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2C6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033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589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3E0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234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51.7</w:t>
            </w:r>
          </w:p>
        </w:tc>
      </w:tr>
      <w:tr w:rsidR="00A55033" w:rsidRPr="00A55033" w14:paraId="0F9E0B8E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964A88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23B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006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Honey (n=5)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8F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74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1D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C64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0A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BF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3A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56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D1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5A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8A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149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11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538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49.6</w:t>
            </w:r>
          </w:p>
        </w:tc>
      </w:tr>
      <w:tr w:rsidR="00A55033" w:rsidRPr="00A55033" w14:paraId="3AB15146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2E1230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9F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CE43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7F3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CA9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5DC4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0569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8BD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(2.2)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E3A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D6E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8C0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66A1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19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3D1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BD4E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3AA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F8A1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(2.8)</w:t>
            </w:r>
          </w:p>
        </w:tc>
      </w:tr>
      <w:tr w:rsidR="00A55033" w:rsidRPr="00A55033" w14:paraId="6624F4A5" w14:textId="77777777" w:rsidTr="00A55033">
        <w:trPr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87B7C2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5256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avg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44F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Green (n=7)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A71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F6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AF8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94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3C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ED7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F2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117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751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644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E9D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BD2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2FB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104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49.0</w:t>
            </w:r>
          </w:p>
        </w:tc>
      </w:tr>
      <w:tr w:rsidR="00A55033" w:rsidRPr="00A55033" w14:paraId="67036E74" w14:textId="77777777" w:rsidTr="00A55033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CA5142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195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proofErr w:type="spellStart"/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stdev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5A3BA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71773" w14:textId="77777777" w:rsidR="00A55033" w:rsidRPr="00A55033" w:rsidRDefault="00A55033" w:rsidP="00A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5A70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555A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2F4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22AC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CC7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E2F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3A1B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FAF3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E748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BF6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8AD7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2B5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(0.3)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0B75" w14:textId="77777777" w:rsidR="00A55033" w:rsidRPr="00A55033" w:rsidRDefault="00A55033" w:rsidP="00A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</w:pPr>
            <w:r w:rsidRPr="00A55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AU"/>
              </w:rPr>
              <w:t>(3.6)</w:t>
            </w:r>
          </w:p>
        </w:tc>
      </w:tr>
    </w:tbl>
    <w:p w14:paraId="4C2B020F" w14:textId="77777777" w:rsidR="00A55033" w:rsidRPr="00A55033" w:rsidRDefault="00A55033" w:rsidP="00243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41EDC0" w14:textId="6EF4432B" w:rsidR="00243DD8" w:rsidRDefault="00243DD8">
      <w:pPr>
        <w:rPr>
          <w:lang w:val="en-GB"/>
        </w:rPr>
      </w:pPr>
    </w:p>
    <w:p w14:paraId="3156A01A" w14:textId="26D3E6DC" w:rsidR="00DE1EB1" w:rsidRPr="00063142" w:rsidRDefault="00DE1EB1">
      <w:pPr>
        <w:rPr>
          <w:lang w:val="en-GB"/>
        </w:rPr>
      </w:pPr>
    </w:p>
    <w:sectPr w:rsidR="00DE1EB1" w:rsidRPr="00063142" w:rsidSect="00DE1E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42"/>
    <w:rsid w:val="00063142"/>
    <w:rsid w:val="00243DD8"/>
    <w:rsid w:val="00473E45"/>
    <w:rsid w:val="00A55033"/>
    <w:rsid w:val="00AA3412"/>
    <w:rsid w:val="00DE1EB1"/>
    <w:rsid w:val="00E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6465"/>
  <w15:chartTrackingRefBased/>
  <w15:docId w15:val="{846BF883-CACE-434C-BE4B-B17ABE2C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3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D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550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033"/>
    <w:rPr>
      <w:color w:val="954F72"/>
      <w:u w:val="single"/>
    </w:rPr>
  </w:style>
  <w:style w:type="paragraph" w:customStyle="1" w:styleId="msonormal0">
    <w:name w:val="msonormal"/>
    <w:basedOn w:val="Normal"/>
    <w:rsid w:val="00A5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A550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val="en-AU" w:eastAsia="en-AU"/>
    </w:rPr>
  </w:style>
  <w:style w:type="paragraph" w:customStyle="1" w:styleId="font6">
    <w:name w:val="font6"/>
    <w:basedOn w:val="Normal"/>
    <w:rsid w:val="00A550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val="en-AU" w:eastAsia="en-AU"/>
    </w:rPr>
  </w:style>
  <w:style w:type="paragraph" w:customStyle="1" w:styleId="xl65">
    <w:name w:val="xl65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66">
    <w:name w:val="xl66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67">
    <w:name w:val="xl67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68">
    <w:name w:val="xl68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69">
    <w:name w:val="xl69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0">
    <w:name w:val="xl70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1">
    <w:name w:val="xl71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xl72">
    <w:name w:val="xl72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3">
    <w:name w:val="xl73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xl74">
    <w:name w:val="xl74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5">
    <w:name w:val="xl75"/>
    <w:basedOn w:val="Normal"/>
    <w:rsid w:val="00A55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6">
    <w:name w:val="xl76"/>
    <w:basedOn w:val="Normal"/>
    <w:rsid w:val="00A55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7">
    <w:name w:val="xl77"/>
    <w:basedOn w:val="Normal"/>
    <w:rsid w:val="00A55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8">
    <w:name w:val="xl78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79">
    <w:name w:val="xl79"/>
    <w:basedOn w:val="Normal"/>
    <w:rsid w:val="00A55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82">
    <w:name w:val="xl82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AU" w:eastAsia="en-AU"/>
    </w:rPr>
  </w:style>
  <w:style w:type="paragraph" w:customStyle="1" w:styleId="xl83">
    <w:name w:val="xl83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AU" w:eastAsia="en-AU"/>
    </w:rPr>
  </w:style>
  <w:style w:type="paragraph" w:customStyle="1" w:styleId="xl84">
    <w:name w:val="xl84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AU" w:eastAsia="en-AU"/>
    </w:rPr>
  </w:style>
  <w:style w:type="paragraph" w:customStyle="1" w:styleId="xl85">
    <w:name w:val="xl85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86">
    <w:name w:val="xl86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AU" w:eastAsia="en-AU"/>
    </w:rPr>
  </w:style>
  <w:style w:type="paragraph" w:customStyle="1" w:styleId="xl87">
    <w:name w:val="xl87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88">
    <w:name w:val="xl88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xl89">
    <w:name w:val="xl89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90">
    <w:name w:val="xl90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91">
    <w:name w:val="xl91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AU" w:eastAsia="en-AU"/>
    </w:rPr>
  </w:style>
  <w:style w:type="paragraph" w:customStyle="1" w:styleId="xl92">
    <w:name w:val="xl92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93">
    <w:name w:val="xl93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94">
    <w:name w:val="xl94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AU" w:eastAsia="en-AU"/>
    </w:rPr>
  </w:style>
  <w:style w:type="paragraph" w:customStyle="1" w:styleId="xl95">
    <w:name w:val="xl95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AU" w:eastAsia="en-AU"/>
    </w:rPr>
  </w:style>
  <w:style w:type="paragraph" w:customStyle="1" w:styleId="xl96">
    <w:name w:val="xl96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97">
    <w:name w:val="xl97"/>
    <w:basedOn w:val="Normal"/>
    <w:rsid w:val="00A55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98">
    <w:name w:val="xl98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AU" w:eastAsia="en-AU"/>
    </w:rPr>
  </w:style>
  <w:style w:type="paragraph" w:customStyle="1" w:styleId="xl99">
    <w:name w:val="xl99"/>
    <w:basedOn w:val="Normal"/>
    <w:rsid w:val="00A55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paragraph" w:customStyle="1" w:styleId="xl100">
    <w:name w:val="xl100"/>
    <w:basedOn w:val="Normal"/>
    <w:rsid w:val="00A55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Catherine Frieman</cp:lastModifiedBy>
  <cp:revision>2</cp:revision>
  <dcterms:created xsi:type="dcterms:W3CDTF">2021-05-20T00:39:00Z</dcterms:created>
  <dcterms:modified xsi:type="dcterms:W3CDTF">2021-05-20T00:39:00Z</dcterms:modified>
</cp:coreProperties>
</file>