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FA" w:rsidRDefault="00EF78FA" w:rsidP="00EF78FA">
      <w:pPr>
        <w:pStyle w:val="Paragraph"/>
        <w:spacing w:line="480" w:lineRule="auto"/>
        <w:ind w:left="-567" w:right="-541" w:firstLine="0"/>
        <w:contextualSpacing/>
        <w:rPr>
          <w:b/>
        </w:rPr>
      </w:pPr>
      <w:r>
        <w:rPr>
          <w:b/>
        </w:rPr>
        <w:t>Glossary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AFU - arbitrary fluorescence units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FISH - fluorescence in situ hybridization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FM - full mutation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 xml:space="preserve">FREE2 - Fragile X Related Epigenetic Element 2 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FSIQ - full scale intelligence quotient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FXS - Fragile X syndrome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HRM - high resolution melt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MALDI-TOF MS - Matrix-assisted laser desorption/ionization time of flight mass spectrometry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MOR - methylation output ratio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MR - methylation ratio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MS-QMA - Methylation Specific Quantitative Melt Analysis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 xml:space="preserve">PCR </w:t>
      </w:r>
      <w:r>
        <w:rPr>
          <w:rFonts w:ascii="Times New Roman" w:hAnsi="Times New Roman"/>
          <w:bCs/>
          <w:sz w:val="24"/>
          <w:szCs w:val="24"/>
        </w:rPr>
        <w:t>-</w:t>
      </w:r>
      <w:r w:rsidRPr="00D1104F">
        <w:rPr>
          <w:rFonts w:ascii="Times New Roman" w:hAnsi="Times New Roman"/>
          <w:bCs/>
          <w:sz w:val="24"/>
          <w:szCs w:val="24"/>
        </w:rPr>
        <w:t xml:space="preserve"> polymerase chain reaction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PIQ - performance intelligence quotient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 xml:space="preserve">PM - </w:t>
      </w:r>
      <w:proofErr w:type="spellStart"/>
      <w:r w:rsidRPr="00D1104F">
        <w:rPr>
          <w:rFonts w:ascii="Times New Roman" w:hAnsi="Times New Roman"/>
          <w:bCs/>
          <w:sz w:val="24"/>
          <w:szCs w:val="24"/>
        </w:rPr>
        <w:t>premutation</w:t>
      </w:r>
      <w:proofErr w:type="spellEnd"/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PM/FM mosaic – mosaic for combination of cells with permutation and full mutation alleles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 xml:space="preserve">QC - quality control 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 xml:space="preserve">SCA - sex chromosome </w:t>
      </w:r>
      <w:proofErr w:type="spellStart"/>
      <w:r w:rsidRPr="00D1104F">
        <w:rPr>
          <w:rFonts w:ascii="Times New Roman" w:hAnsi="Times New Roman"/>
          <w:bCs/>
          <w:sz w:val="24"/>
          <w:szCs w:val="24"/>
        </w:rPr>
        <w:t>aneuploidies</w:t>
      </w:r>
      <w:proofErr w:type="spellEnd"/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 xml:space="preserve">SRY </w:t>
      </w:r>
      <w:r>
        <w:rPr>
          <w:rFonts w:ascii="Times New Roman" w:hAnsi="Times New Roman"/>
          <w:bCs/>
          <w:sz w:val="24"/>
          <w:szCs w:val="24"/>
        </w:rPr>
        <w:t>-</w:t>
      </w:r>
      <w:r w:rsidRPr="00D1104F">
        <w:rPr>
          <w:rFonts w:ascii="Times New Roman" w:hAnsi="Times New Roman"/>
          <w:bCs/>
          <w:sz w:val="24"/>
          <w:szCs w:val="24"/>
        </w:rPr>
        <w:t xml:space="preserve"> sex determining region Y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VCGS - Victorian Clinical Genetics Services</w:t>
      </w:r>
    </w:p>
    <w:p w:rsidR="00EF78FA" w:rsidRPr="00D1104F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VIQ - verbal intelligence quotient</w:t>
      </w:r>
    </w:p>
    <w:p w:rsidR="00EF78FA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104F">
        <w:rPr>
          <w:rFonts w:ascii="Times New Roman" w:hAnsi="Times New Roman"/>
          <w:bCs/>
          <w:sz w:val="24"/>
          <w:szCs w:val="24"/>
        </w:rPr>
        <w:t>XCI - X chromosome inactivation</w:t>
      </w:r>
    </w:p>
    <w:p w:rsidR="00EF78FA" w:rsidRPr="008C6A1B" w:rsidRDefault="00EF78FA" w:rsidP="00EF78FA">
      <w:pPr>
        <w:tabs>
          <w:tab w:val="left" w:pos="9900"/>
        </w:tabs>
        <w:spacing w:line="480" w:lineRule="auto"/>
        <w:ind w:left="-567" w:right="9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0556A" w:rsidRDefault="00EF78FA"/>
    <w:sectPr w:rsidR="00E0556A" w:rsidSect="006322C8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2D" w:rsidRDefault="00EF78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B1A2D" w:rsidRDefault="00EF78F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8FA"/>
    <w:rsid w:val="006322C8"/>
    <w:rsid w:val="008B3685"/>
    <w:rsid w:val="00AF56E1"/>
    <w:rsid w:val="00C97D08"/>
    <w:rsid w:val="00EF78FA"/>
    <w:rsid w:val="00FA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F78FA"/>
    <w:pPr>
      <w:spacing w:before="120" w:after="0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F78F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78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david.godler</dc:creator>
  <cp:keywords/>
  <dc:description/>
  <cp:lastModifiedBy>david.godler</cp:lastModifiedBy>
  <cp:revision>1</cp:revision>
  <dcterms:created xsi:type="dcterms:W3CDTF">2015-05-08T01:23:00Z</dcterms:created>
  <dcterms:modified xsi:type="dcterms:W3CDTF">2015-05-08T01:24:00Z</dcterms:modified>
</cp:coreProperties>
</file>