
<file path=[Content_Types].xml><?xml version="1.0" encoding="utf-8"?>
<Types xmlns="http://schemas.openxmlformats.org/package/2006/content-types">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7F" w:rsidRDefault="00CA307F" w:rsidP="00CA307F">
      <w:pPr>
        <w:rPr>
          <w:b/>
          <w:bCs/>
          <w:sz w:val="20"/>
          <w:szCs w:val="20"/>
        </w:rPr>
      </w:pPr>
      <w:r>
        <w:rPr>
          <w:b/>
          <w:bCs/>
          <w:sz w:val="20"/>
          <w:szCs w:val="20"/>
        </w:rPr>
        <w:t>Supplementary Table 1: Evidence for system-based approach</w:t>
      </w:r>
    </w:p>
    <w:p w:rsidR="00CA307F" w:rsidRPr="00C13D36" w:rsidRDefault="00CA307F" w:rsidP="00CA307F">
      <w:pPr>
        <w:rPr>
          <w:b/>
          <w:bCs/>
          <w:sz w:val="20"/>
          <w:szCs w:val="20"/>
        </w:rPr>
      </w:pPr>
    </w:p>
    <w:tbl>
      <w:tblPr>
        <w:tblStyle w:val="TableGrid"/>
        <w:tblW w:w="13832" w:type="dxa"/>
        <w:tblInd w:w="-572" w:type="dxa"/>
        <w:tblLook w:val="04A0"/>
      </w:tblPr>
      <w:tblGrid>
        <w:gridCol w:w="1650"/>
        <w:gridCol w:w="2678"/>
        <w:gridCol w:w="1935"/>
        <w:gridCol w:w="1748"/>
        <w:gridCol w:w="2768"/>
        <w:gridCol w:w="3053"/>
      </w:tblGrid>
      <w:tr w:rsidR="00CA307F" w:rsidRPr="00C13D36" w:rsidTr="002B1D55">
        <w:tc>
          <w:tcPr>
            <w:tcW w:w="1631" w:type="dxa"/>
          </w:tcPr>
          <w:p w:rsidR="00CA307F" w:rsidRPr="00C13D36" w:rsidRDefault="00CA307F" w:rsidP="002B1D55">
            <w:pPr>
              <w:rPr>
                <w:b/>
                <w:bCs/>
                <w:sz w:val="20"/>
                <w:szCs w:val="20"/>
              </w:rPr>
            </w:pPr>
            <w:r w:rsidRPr="00C13D36">
              <w:rPr>
                <w:b/>
                <w:bCs/>
                <w:sz w:val="20"/>
                <w:szCs w:val="20"/>
              </w:rPr>
              <w:t>Author</w:t>
            </w:r>
          </w:p>
        </w:tc>
        <w:tc>
          <w:tcPr>
            <w:tcW w:w="2683" w:type="dxa"/>
          </w:tcPr>
          <w:p w:rsidR="00CA307F" w:rsidRPr="00C13D36" w:rsidRDefault="00CA307F" w:rsidP="002B1D55">
            <w:pPr>
              <w:rPr>
                <w:b/>
                <w:bCs/>
                <w:sz w:val="20"/>
                <w:szCs w:val="20"/>
              </w:rPr>
            </w:pPr>
            <w:r w:rsidRPr="00C13D36">
              <w:rPr>
                <w:b/>
                <w:bCs/>
                <w:sz w:val="20"/>
                <w:szCs w:val="20"/>
              </w:rPr>
              <w:t>Title</w:t>
            </w:r>
          </w:p>
        </w:tc>
        <w:tc>
          <w:tcPr>
            <w:tcW w:w="1937" w:type="dxa"/>
          </w:tcPr>
          <w:p w:rsidR="00CA307F" w:rsidRPr="00C13D36" w:rsidRDefault="00CA307F" w:rsidP="002B1D55">
            <w:pPr>
              <w:rPr>
                <w:b/>
                <w:bCs/>
                <w:sz w:val="20"/>
                <w:szCs w:val="20"/>
              </w:rPr>
            </w:pPr>
            <w:r w:rsidRPr="00C13D36">
              <w:rPr>
                <w:b/>
                <w:bCs/>
                <w:sz w:val="20"/>
                <w:szCs w:val="20"/>
              </w:rPr>
              <w:t xml:space="preserve">Population </w:t>
            </w:r>
          </w:p>
        </w:tc>
        <w:tc>
          <w:tcPr>
            <w:tcW w:w="1749" w:type="dxa"/>
          </w:tcPr>
          <w:p w:rsidR="00CA307F" w:rsidRPr="00C13D36" w:rsidRDefault="00CA307F" w:rsidP="002B1D55">
            <w:pPr>
              <w:rPr>
                <w:b/>
                <w:bCs/>
                <w:sz w:val="20"/>
                <w:szCs w:val="20"/>
              </w:rPr>
            </w:pPr>
            <w:r w:rsidRPr="00C13D36">
              <w:rPr>
                <w:b/>
                <w:bCs/>
                <w:sz w:val="20"/>
                <w:szCs w:val="20"/>
              </w:rPr>
              <w:t>Intervention</w:t>
            </w:r>
          </w:p>
        </w:tc>
        <w:tc>
          <w:tcPr>
            <w:tcW w:w="2773" w:type="dxa"/>
          </w:tcPr>
          <w:p w:rsidR="00CA307F" w:rsidRPr="00C13D36" w:rsidRDefault="00CA307F" w:rsidP="002B1D55">
            <w:pPr>
              <w:rPr>
                <w:b/>
                <w:bCs/>
                <w:sz w:val="20"/>
                <w:szCs w:val="20"/>
              </w:rPr>
            </w:pPr>
            <w:r w:rsidRPr="00C13D36">
              <w:rPr>
                <w:b/>
                <w:bCs/>
                <w:sz w:val="20"/>
                <w:szCs w:val="20"/>
              </w:rPr>
              <w:t>Outcome</w:t>
            </w:r>
          </w:p>
        </w:tc>
        <w:tc>
          <w:tcPr>
            <w:tcW w:w="3059" w:type="dxa"/>
          </w:tcPr>
          <w:p w:rsidR="00CA307F" w:rsidRPr="00C13D36" w:rsidRDefault="00CA307F" w:rsidP="002B1D55">
            <w:pPr>
              <w:rPr>
                <w:b/>
                <w:bCs/>
                <w:sz w:val="20"/>
                <w:szCs w:val="20"/>
              </w:rPr>
            </w:pPr>
            <w:r w:rsidRPr="00C13D36">
              <w:rPr>
                <w:b/>
                <w:bCs/>
                <w:sz w:val="20"/>
                <w:szCs w:val="20"/>
              </w:rPr>
              <w:t>Result</w:t>
            </w:r>
          </w:p>
        </w:tc>
      </w:tr>
      <w:tr w:rsidR="00CA307F" w:rsidRPr="00C13D36" w:rsidTr="002B1D55">
        <w:tc>
          <w:tcPr>
            <w:tcW w:w="1631" w:type="dxa"/>
          </w:tcPr>
          <w:p w:rsidR="00CA307F" w:rsidRPr="00C13D36" w:rsidRDefault="00CA307F" w:rsidP="002B1D55">
            <w:pPr>
              <w:rPr>
                <w:sz w:val="20"/>
                <w:szCs w:val="20"/>
              </w:rPr>
            </w:pPr>
            <w:r>
              <w:rPr>
                <w:sz w:val="20"/>
                <w:szCs w:val="20"/>
              </w:rPr>
              <w:t xml:space="preserve">1. </w:t>
            </w:r>
            <w:r w:rsidRPr="00C13D36">
              <w:rPr>
                <w:sz w:val="20"/>
                <w:szCs w:val="20"/>
              </w:rPr>
              <w:t>Karen Barnett</w:t>
            </w:r>
            <w:r>
              <w:rPr>
                <w:sz w:val="20"/>
                <w:szCs w:val="20"/>
              </w:rPr>
              <w:t xml:space="preserve"> 2012</w:t>
            </w:r>
          </w:p>
        </w:tc>
        <w:tc>
          <w:tcPr>
            <w:tcW w:w="2683" w:type="dxa"/>
          </w:tcPr>
          <w:p w:rsidR="00CA307F" w:rsidRPr="00C13D36" w:rsidRDefault="00CA307F" w:rsidP="002B1D55">
            <w:pPr>
              <w:rPr>
                <w:sz w:val="20"/>
                <w:szCs w:val="20"/>
              </w:rPr>
            </w:pPr>
            <w:r w:rsidRPr="00C13D36">
              <w:rPr>
                <w:sz w:val="20"/>
                <w:szCs w:val="20"/>
              </w:rPr>
              <w:t>Epidemiology of multimorbidity and implications for health care, research, and medical education: a cross-sectional study</w:t>
            </w:r>
          </w:p>
        </w:tc>
        <w:tc>
          <w:tcPr>
            <w:tcW w:w="1937" w:type="dxa"/>
          </w:tcPr>
          <w:p w:rsidR="00CA307F" w:rsidRPr="00C13D36" w:rsidRDefault="00CA307F" w:rsidP="002B1D55">
            <w:pPr>
              <w:rPr>
                <w:sz w:val="20"/>
                <w:szCs w:val="20"/>
              </w:rPr>
            </w:pPr>
            <w:r w:rsidRPr="00C13D36">
              <w:rPr>
                <w:sz w:val="20"/>
                <w:szCs w:val="20"/>
              </w:rPr>
              <w:t>General population</w:t>
            </w:r>
          </w:p>
        </w:tc>
        <w:tc>
          <w:tcPr>
            <w:tcW w:w="1749" w:type="dxa"/>
          </w:tcPr>
          <w:p w:rsidR="00CA307F" w:rsidRPr="00C13D36" w:rsidRDefault="00CA307F" w:rsidP="002B1D55">
            <w:pPr>
              <w:rPr>
                <w:sz w:val="20"/>
                <w:szCs w:val="20"/>
              </w:rPr>
            </w:pPr>
            <w:r w:rsidRPr="00C13D36">
              <w:rPr>
                <w:sz w:val="20"/>
                <w:szCs w:val="20"/>
              </w:rPr>
              <w:t xml:space="preserve">- </w:t>
            </w:r>
          </w:p>
        </w:tc>
        <w:tc>
          <w:tcPr>
            <w:tcW w:w="2773" w:type="dxa"/>
          </w:tcPr>
          <w:p w:rsidR="00CA307F" w:rsidRPr="00C13D36" w:rsidRDefault="00CA307F" w:rsidP="002B1D55">
            <w:pPr>
              <w:rPr>
                <w:sz w:val="20"/>
                <w:szCs w:val="20"/>
              </w:rPr>
            </w:pPr>
            <w:r>
              <w:rPr>
                <w:sz w:val="20"/>
                <w:szCs w:val="20"/>
              </w:rPr>
              <w:t>The number</w:t>
            </w:r>
            <w:r w:rsidRPr="00C13D36">
              <w:rPr>
                <w:sz w:val="20"/>
                <w:szCs w:val="20"/>
              </w:rPr>
              <w:t xml:space="preserve"> of people with multimorbidity </w:t>
            </w:r>
            <w:r>
              <w:rPr>
                <w:sz w:val="20"/>
                <w:szCs w:val="20"/>
              </w:rPr>
              <w:t xml:space="preserve">is </w:t>
            </w:r>
            <w:r w:rsidRPr="00C13D36">
              <w:rPr>
                <w:sz w:val="20"/>
                <w:szCs w:val="20"/>
              </w:rPr>
              <w:t>stratified by disorder type, age, sex, and socioeconomic status</w:t>
            </w:r>
          </w:p>
        </w:tc>
        <w:tc>
          <w:tcPr>
            <w:tcW w:w="3059" w:type="dxa"/>
          </w:tcPr>
          <w:p w:rsidR="00CA307F" w:rsidRPr="00C13D36" w:rsidRDefault="00CA307F" w:rsidP="002B1D55">
            <w:pPr>
              <w:rPr>
                <w:sz w:val="20"/>
                <w:szCs w:val="20"/>
              </w:rPr>
            </w:pPr>
            <w:r>
              <w:rPr>
                <w:sz w:val="20"/>
                <w:szCs w:val="20"/>
              </w:rPr>
              <w:t>The number</w:t>
            </w:r>
            <w:r w:rsidRPr="00C13D36">
              <w:rPr>
                <w:sz w:val="20"/>
                <w:szCs w:val="20"/>
              </w:rPr>
              <w:t xml:space="preserve"> of people with multimorbidity increases with age and degree of socioeconomic deprivation. Mental disorders are prevalent in people with multimorbidity. </w:t>
            </w:r>
          </w:p>
        </w:tc>
      </w:tr>
      <w:tr w:rsidR="00CA307F" w:rsidRPr="00C13D36" w:rsidTr="002B1D55">
        <w:tc>
          <w:tcPr>
            <w:tcW w:w="1631" w:type="dxa"/>
          </w:tcPr>
          <w:p w:rsidR="00CA307F" w:rsidRPr="00C13D36" w:rsidRDefault="00CA307F" w:rsidP="002B1D55">
            <w:pPr>
              <w:rPr>
                <w:sz w:val="20"/>
                <w:szCs w:val="20"/>
              </w:rPr>
            </w:pPr>
            <w:r>
              <w:rPr>
                <w:sz w:val="20"/>
                <w:szCs w:val="20"/>
              </w:rPr>
              <w:t xml:space="preserve">2. </w:t>
            </w:r>
            <w:r w:rsidRPr="00C13D36">
              <w:rPr>
                <w:sz w:val="20"/>
                <w:szCs w:val="20"/>
              </w:rPr>
              <w:t>Andrew Wister</w:t>
            </w:r>
            <w:r>
              <w:rPr>
                <w:sz w:val="20"/>
                <w:szCs w:val="20"/>
              </w:rPr>
              <w:t xml:space="preserve"> 2020</w:t>
            </w:r>
          </w:p>
        </w:tc>
        <w:tc>
          <w:tcPr>
            <w:tcW w:w="2683" w:type="dxa"/>
          </w:tcPr>
          <w:p w:rsidR="00CA307F" w:rsidRPr="00C13D36" w:rsidRDefault="00CA307F" w:rsidP="002B1D55">
            <w:pPr>
              <w:rPr>
                <w:sz w:val="20"/>
                <w:szCs w:val="20"/>
              </w:rPr>
            </w:pPr>
            <w:r w:rsidRPr="00C13D36">
              <w:rPr>
                <w:sz w:val="20"/>
                <w:szCs w:val="20"/>
              </w:rPr>
              <w:t>Multimorbidity and Socioeconomic Deprivation among Older Adults: A Cross-sectional Analysis in Five Canadian Cities Using the CLSA</w:t>
            </w:r>
          </w:p>
        </w:tc>
        <w:tc>
          <w:tcPr>
            <w:tcW w:w="1937" w:type="dxa"/>
          </w:tcPr>
          <w:p w:rsidR="00CA307F" w:rsidRPr="00C13D36" w:rsidRDefault="00CA307F" w:rsidP="002B1D55">
            <w:pPr>
              <w:rPr>
                <w:sz w:val="20"/>
                <w:szCs w:val="20"/>
              </w:rPr>
            </w:pPr>
            <w:r w:rsidRPr="00C13D36">
              <w:rPr>
                <w:sz w:val="20"/>
                <w:szCs w:val="20"/>
              </w:rPr>
              <w:t>Older adults</w:t>
            </w:r>
          </w:p>
        </w:tc>
        <w:tc>
          <w:tcPr>
            <w:tcW w:w="1749" w:type="dxa"/>
          </w:tcPr>
          <w:p w:rsidR="00CA307F" w:rsidRPr="00C13D36" w:rsidRDefault="00CA307F" w:rsidP="002B1D55">
            <w:pPr>
              <w:rPr>
                <w:sz w:val="20"/>
                <w:szCs w:val="20"/>
              </w:rPr>
            </w:pPr>
            <w:r w:rsidRPr="00C13D36">
              <w:rPr>
                <w:sz w:val="20"/>
                <w:szCs w:val="20"/>
              </w:rPr>
              <w:t xml:space="preserve">Exposure: </w:t>
            </w:r>
            <w:proofErr w:type="spellStart"/>
            <w:r w:rsidRPr="00C13D36">
              <w:rPr>
                <w:sz w:val="20"/>
                <w:szCs w:val="20"/>
              </w:rPr>
              <w:t>neighborhood</w:t>
            </w:r>
            <w:proofErr w:type="spellEnd"/>
            <w:r w:rsidRPr="00C13D36">
              <w:rPr>
                <w:sz w:val="20"/>
                <w:szCs w:val="20"/>
              </w:rPr>
              <w:t>-level socioeconomic deprivation</w:t>
            </w:r>
          </w:p>
        </w:tc>
        <w:tc>
          <w:tcPr>
            <w:tcW w:w="2773" w:type="dxa"/>
          </w:tcPr>
          <w:p w:rsidR="00CA307F" w:rsidRPr="00C13D36" w:rsidRDefault="00CA307F" w:rsidP="002B1D55">
            <w:pPr>
              <w:rPr>
                <w:sz w:val="20"/>
                <w:szCs w:val="20"/>
              </w:rPr>
            </w:pPr>
            <w:r w:rsidRPr="00C13D36">
              <w:rPr>
                <w:sz w:val="20"/>
                <w:szCs w:val="20"/>
              </w:rPr>
              <w:t>Ratio of multimorbidity</w:t>
            </w:r>
          </w:p>
        </w:tc>
        <w:tc>
          <w:tcPr>
            <w:tcW w:w="3059" w:type="dxa"/>
          </w:tcPr>
          <w:p w:rsidR="00CA307F" w:rsidRPr="00C13D36" w:rsidRDefault="00CA307F" w:rsidP="002B1D55">
            <w:pPr>
              <w:rPr>
                <w:sz w:val="20"/>
                <w:szCs w:val="20"/>
              </w:rPr>
            </w:pPr>
            <w:proofErr w:type="spellStart"/>
            <w:r w:rsidRPr="00C13D36">
              <w:rPr>
                <w:sz w:val="20"/>
                <w:szCs w:val="20"/>
              </w:rPr>
              <w:t>neighborhood</w:t>
            </w:r>
            <w:proofErr w:type="spellEnd"/>
            <w:r w:rsidRPr="00C13D36">
              <w:rPr>
                <w:sz w:val="20"/>
                <w:szCs w:val="20"/>
              </w:rPr>
              <w:t>-level socioeconomic deprivation was associated with multimorbidity</w:t>
            </w:r>
          </w:p>
        </w:tc>
      </w:tr>
      <w:tr w:rsidR="00CA307F" w:rsidRPr="00C13D36" w:rsidTr="002B1D55">
        <w:tc>
          <w:tcPr>
            <w:tcW w:w="1631" w:type="dxa"/>
          </w:tcPr>
          <w:p w:rsidR="00CA307F" w:rsidRPr="00C13D36" w:rsidRDefault="00CA307F" w:rsidP="002B1D55">
            <w:pPr>
              <w:rPr>
                <w:sz w:val="20"/>
                <w:szCs w:val="20"/>
              </w:rPr>
            </w:pPr>
            <w:r>
              <w:rPr>
                <w:sz w:val="20"/>
                <w:szCs w:val="20"/>
              </w:rPr>
              <w:t xml:space="preserve">3. </w:t>
            </w:r>
            <w:r w:rsidRPr="00C13D36">
              <w:rPr>
                <w:sz w:val="20"/>
                <w:szCs w:val="20"/>
              </w:rPr>
              <w:t xml:space="preserve">Caroline </w:t>
            </w:r>
            <w:proofErr w:type="spellStart"/>
            <w:r w:rsidRPr="00C13D36">
              <w:rPr>
                <w:sz w:val="20"/>
                <w:szCs w:val="20"/>
              </w:rPr>
              <w:t>Bähler</w:t>
            </w:r>
            <w:proofErr w:type="spellEnd"/>
            <w:r>
              <w:rPr>
                <w:sz w:val="20"/>
                <w:szCs w:val="20"/>
              </w:rPr>
              <w:t xml:space="preserve"> 2015</w:t>
            </w:r>
          </w:p>
        </w:tc>
        <w:tc>
          <w:tcPr>
            <w:tcW w:w="2683" w:type="dxa"/>
          </w:tcPr>
          <w:p w:rsidR="00CA307F" w:rsidRPr="00C13D36" w:rsidRDefault="00CA307F" w:rsidP="002B1D55">
            <w:pPr>
              <w:rPr>
                <w:sz w:val="20"/>
                <w:szCs w:val="20"/>
              </w:rPr>
            </w:pPr>
            <w:r w:rsidRPr="00C13D36">
              <w:rPr>
                <w:sz w:val="20"/>
                <w:szCs w:val="20"/>
              </w:rPr>
              <w:t>Multimorbidity, health care utilization and costs in an elderly community-dwelling population: a claims data based observational study</w:t>
            </w:r>
          </w:p>
        </w:tc>
        <w:tc>
          <w:tcPr>
            <w:tcW w:w="1937" w:type="dxa"/>
          </w:tcPr>
          <w:p w:rsidR="00CA307F" w:rsidRPr="00C13D36" w:rsidRDefault="00CA307F" w:rsidP="002B1D55">
            <w:pPr>
              <w:rPr>
                <w:sz w:val="20"/>
                <w:szCs w:val="20"/>
              </w:rPr>
            </w:pPr>
            <w:r>
              <w:rPr>
                <w:sz w:val="20"/>
                <w:szCs w:val="20"/>
              </w:rPr>
              <w:t>Patients</w:t>
            </w:r>
            <w:r w:rsidRPr="00C13D36">
              <w:rPr>
                <w:sz w:val="20"/>
                <w:szCs w:val="20"/>
              </w:rPr>
              <w:t xml:space="preserve"> </w:t>
            </w:r>
            <w:r>
              <w:rPr>
                <w:sz w:val="20"/>
                <w:szCs w:val="20"/>
              </w:rPr>
              <w:t>aged</w:t>
            </w:r>
            <w:r w:rsidRPr="00C13D36">
              <w:rPr>
                <w:sz w:val="20"/>
                <w:szCs w:val="20"/>
              </w:rPr>
              <w:t xml:space="preserve"> 65 years old or older</w:t>
            </w:r>
          </w:p>
        </w:tc>
        <w:tc>
          <w:tcPr>
            <w:tcW w:w="1749" w:type="dxa"/>
          </w:tcPr>
          <w:p w:rsidR="00CA307F" w:rsidRPr="00C13D36" w:rsidRDefault="00CA307F" w:rsidP="002B1D55">
            <w:pPr>
              <w:rPr>
                <w:sz w:val="20"/>
                <w:szCs w:val="20"/>
              </w:rPr>
            </w:pPr>
            <w:r w:rsidRPr="00C13D36">
              <w:rPr>
                <w:sz w:val="20"/>
                <w:szCs w:val="20"/>
              </w:rPr>
              <w:t>Exposure: multimorbid</w:t>
            </w:r>
          </w:p>
        </w:tc>
        <w:tc>
          <w:tcPr>
            <w:tcW w:w="2773" w:type="dxa"/>
          </w:tcPr>
          <w:p w:rsidR="00CA307F" w:rsidRPr="00C13D36" w:rsidRDefault="00CA307F" w:rsidP="002B1D55">
            <w:pPr>
              <w:rPr>
                <w:sz w:val="20"/>
                <w:szCs w:val="20"/>
              </w:rPr>
            </w:pPr>
            <w:r w:rsidRPr="00C13D36">
              <w:rPr>
                <w:sz w:val="20"/>
                <w:szCs w:val="20"/>
              </w:rPr>
              <w:t>Health care utilization and costs</w:t>
            </w:r>
          </w:p>
        </w:tc>
        <w:tc>
          <w:tcPr>
            <w:tcW w:w="3059" w:type="dxa"/>
          </w:tcPr>
          <w:p w:rsidR="00CA307F" w:rsidRPr="00C13D36" w:rsidRDefault="00CA307F" w:rsidP="002B1D55">
            <w:pPr>
              <w:rPr>
                <w:sz w:val="20"/>
                <w:szCs w:val="20"/>
              </w:rPr>
            </w:pPr>
            <w:r>
              <w:rPr>
                <w:sz w:val="20"/>
                <w:szCs w:val="20"/>
              </w:rPr>
              <w:t>The number</w:t>
            </w:r>
            <w:r w:rsidRPr="00C13D36">
              <w:rPr>
                <w:sz w:val="20"/>
                <w:szCs w:val="20"/>
              </w:rPr>
              <w:t xml:space="preserve"> of consultations per year was 15.7 in patient</w:t>
            </w:r>
            <w:r>
              <w:rPr>
                <w:sz w:val="20"/>
                <w:szCs w:val="20"/>
              </w:rPr>
              <w:t>s</w:t>
            </w:r>
            <w:r w:rsidRPr="00C13D36">
              <w:rPr>
                <w:sz w:val="20"/>
                <w:szCs w:val="20"/>
              </w:rPr>
              <w:t xml:space="preserve"> with multimorbid vs</w:t>
            </w:r>
            <w:r>
              <w:rPr>
                <w:sz w:val="20"/>
                <w:szCs w:val="20"/>
              </w:rPr>
              <w:t>.</w:t>
            </w:r>
            <w:r w:rsidRPr="00C13D36">
              <w:rPr>
                <w:sz w:val="20"/>
                <w:szCs w:val="20"/>
              </w:rPr>
              <w:t xml:space="preserve"> 4.4 consultations per year in patient</w:t>
            </w:r>
            <w:r>
              <w:rPr>
                <w:sz w:val="20"/>
                <w:szCs w:val="20"/>
              </w:rPr>
              <w:t>s</w:t>
            </w:r>
            <w:r w:rsidRPr="00C13D36">
              <w:rPr>
                <w:sz w:val="20"/>
                <w:szCs w:val="20"/>
              </w:rPr>
              <w:t xml:space="preserve"> with non-multimorbid.</w:t>
            </w:r>
          </w:p>
          <w:p w:rsidR="00CA307F" w:rsidRPr="00C13D36" w:rsidRDefault="00CA307F" w:rsidP="002B1D55">
            <w:pPr>
              <w:rPr>
                <w:sz w:val="20"/>
                <w:szCs w:val="20"/>
              </w:rPr>
            </w:pPr>
            <w:r w:rsidRPr="00C13D36">
              <w:rPr>
                <w:sz w:val="20"/>
                <w:szCs w:val="20"/>
              </w:rPr>
              <w:t>Patients with multimorbid were 5.6 times more likely to be hospitalized.</w:t>
            </w:r>
          </w:p>
          <w:p w:rsidR="00CA307F" w:rsidRPr="00C13D36" w:rsidRDefault="00CA307F" w:rsidP="002B1D55">
            <w:pPr>
              <w:rPr>
                <w:sz w:val="20"/>
                <w:szCs w:val="20"/>
              </w:rPr>
            </w:pPr>
            <w:r w:rsidRPr="00C13D36">
              <w:rPr>
                <w:sz w:val="20"/>
                <w:szCs w:val="20"/>
              </w:rPr>
              <w:t xml:space="preserve">Total costs were 5.5 times higher in multimorbid </w:t>
            </w:r>
            <w:r>
              <w:rPr>
                <w:sz w:val="20"/>
                <w:szCs w:val="20"/>
              </w:rPr>
              <w:t>compared</w:t>
            </w:r>
            <w:r w:rsidRPr="00C13D36">
              <w:rPr>
                <w:sz w:val="20"/>
                <w:szCs w:val="20"/>
              </w:rPr>
              <w:t xml:space="preserve"> to non-multimorbid.</w:t>
            </w:r>
          </w:p>
        </w:tc>
      </w:tr>
      <w:tr w:rsidR="00CA307F" w:rsidRPr="00C13D36" w:rsidTr="002B1D55">
        <w:tc>
          <w:tcPr>
            <w:tcW w:w="1631" w:type="dxa"/>
          </w:tcPr>
          <w:p w:rsidR="00CA307F" w:rsidRPr="00C13D36" w:rsidRDefault="00CA307F" w:rsidP="002B1D55">
            <w:pPr>
              <w:rPr>
                <w:sz w:val="20"/>
                <w:szCs w:val="20"/>
              </w:rPr>
            </w:pPr>
            <w:r>
              <w:rPr>
                <w:sz w:val="20"/>
                <w:szCs w:val="20"/>
              </w:rPr>
              <w:t xml:space="preserve">4. </w:t>
            </w:r>
            <w:proofErr w:type="spellStart"/>
            <w:r w:rsidRPr="00C13D36">
              <w:rPr>
                <w:sz w:val="20"/>
                <w:szCs w:val="20"/>
              </w:rPr>
              <w:t>Kah</w:t>
            </w:r>
            <w:proofErr w:type="spellEnd"/>
            <w:r w:rsidRPr="00C13D36">
              <w:rPr>
                <w:sz w:val="20"/>
                <w:szCs w:val="20"/>
              </w:rPr>
              <w:t xml:space="preserve"> </w:t>
            </w:r>
            <w:proofErr w:type="spellStart"/>
            <w:r w:rsidRPr="00C13D36">
              <w:rPr>
                <w:sz w:val="20"/>
                <w:szCs w:val="20"/>
              </w:rPr>
              <w:t>Mun</w:t>
            </w:r>
            <w:proofErr w:type="spellEnd"/>
            <w:r w:rsidRPr="00C13D36">
              <w:rPr>
                <w:sz w:val="20"/>
                <w:szCs w:val="20"/>
              </w:rPr>
              <w:t xml:space="preserve"> </w:t>
            </w:r>
            <w:proofErr w:type="spellStart"/>
            <w:r w:rsidRPr="00C13D36">
              <w:rPr>
                <w:sz w:val="20"/>
                <w:szCs w:val="20"/>
              </w:rPr>
              <w:t>Foo</w:t>
            </w:r>
            <w:proofErr w:type="spellEnd"/>
            <w:r>
              <w:rPr>
                <w:sz w:val="20"/>
                <w:szCs w:val="20"/>
              </w:rPr>
              <w:t xml:space="preserve"> 2020</w:t>
            </w:r>
          </w:p>
        </w:tc>
        <w:tc>
          <w:tcPr>
            <w:tcW w:w="2683" w:type="dxa"/>
          </w:tcPr>
          <w:p w:rsidR="00CA307F" w:rsidRPr="00C13D36" w:rsidRDefault="00CA307F" w:rsidP="002B1D55">
            <w:pPr>
              <w:rPr>
                <w:sz w:val="20"/>
                <w:szCs w:val="20"/>
              </w:rPr>
            </w:pPr>
            <w:r w:rsidRPr="00C13D36">
              <w:rPr>
                <w:sz w:val="20"/>
                <w:szCs w:val="20"/>
              </w:rPr>
              <w:t>Facilitators and barriers of managing patients with multiple chronic conditions in the community: a qualitative study</w:t>
            </w:r>
          </w:p>
        </w:tc>
        <w:tc>
          <w:tcPr>
            <w:tcW w:w="1937" w:type="dxa"/>
          </w:tcPr>
          <w:p w:rsidR="00CA307F" w:rsidRPr="00C13D36" w:rsidRDefault="00CA307F" w:rsidP="002B1D55">
            <w:pPr>
              <w:rPr>
                <w:sz w:val="20"/>
                <w:szCs w:val="20"/>
              </w:rPr>
            </w:pPr>
            <w:r w:rsidRPr="00C13D36">
              <w:rPr>
                <w:sz w:val="20"/>
                <w:szCs w:val="20"/>
              </w:rPr>
              <w:t>-</w:t>
            </w:r>
          </w:p>
        </w:tc>
        <w:tc>
          <w:tcPr>
            <w:tcW w:w="1749" w:type="dxa"/>
          </w:tcPr>
          <w:p w:rsidR="00CA307F" w:rsidRPr="00C13D36" w:rsidRDefault="00CA307F" w:rsidP="002B1D55">
            <w:pPr>
              <w:rPr>
                <w:sz w:val="20"/>
                <w:szCs w:val="20"/>
              </w:rPr>
            </w:pPr>
            <w:r w:rsidRPr="00C13D36">
              <w:rPr>
                <w:sz w:val="20"/>
                <w:szCs w:val="20"/>
              </w:rPr>
              <w:t>-</w:t>
            </w:r>
          </w:p>
        </w:tc>
        <w:tc>
          <w:tcPr>
            <w:tcW w:w="2773" w:type="dxa"/>
          </w:tcPr>
          <w:p w:rsidR="00CA307F" w:rsidRPr="00C13D36" w:rsidRDefault="00CA307F" w:rsidP="002B1D55">
            <w:pPr>
              <w:rPr>
                <w:sz w:val="20"/>
                <w:szCs w:val="20"/>
              </w:rPr>
            </w:pPr>
            <w:r w:rsidRPr="00C13D36">
              <w:rPr>
                <w:sz w:val="20"/>
                <w:szCs w:val="20"/>
              </w:rPr>
              <w:t>Describe facilitators and barriers of managing patients with multiple chronic conditions in the community in Singapore.</w:t>
            </w:r>
          </w:p>
        </w:tc>
        <w:tc>
          <w:tcPr>
            <w:tcW w:w="3059" w:type="dxa"/>
          </w:tcPr>
          <w:p w:rsidR="00CA307F" w:rsidRPr="00C13D36" w:rsidRDefault="00CA307F" w:rsidP="002B1D55">
            <w:pPr>
              <w:rPr>
                <w:sz w:val="20"/>
                <w:szCs w:val="20"/>
              </w:rPr>
            </w:pPr>
            <w:r w:rsidRPr="00C13D36">
              <w:rPr>
                <w:sz w:val="20"/>
                <w:szCs w:val="20"/>
              </w:rPr>
              <w:t xml:space="preserve">Some patients encountered financial difficulties in managing care. There is </w:t>
            </w:r>
            <w:r>
              <w:rPr>
                <w:sz w:val="20"/>
                <w:szCs w:val="20"/>
              </w:rPr>
              <w:t xml:space="preserve">an </w:t>
            </w:r>
            <w:r w:rsidRPr="00C13D36">
              <w:rPr>
                <w:sz w:val="20"/>
                <w:szCs w:val="20"/>
              </w:rPr>
              <w:t xml:space="preserve">inadequacy of the </w:t>
            </w:r>
            <w:r>
              <w:rPr>
                <w:sz w:val="20"/>
                <w:szCs w:val="20"/>
              </w:rPr>
              <w:t>nationwide</w:t>
            </w:r>
            <w:r w:rsidRPr="00C13D36">
              <w:rPr>
                <w:sz w:val="20"/>
                <w:szCs w:val="20"/>
              </w:rPr>
              <w:t xml:space="preserve"> medical saving scheme to cover outpatient treatment and medications. Patients reported long consultation waiting </w:t>
            </w:r>
            <w:r>
              <w:rPr>
                <w:sz w:val="20"/>
                <w:szCs w:val="20"/>
              </w:rPr>
              <w:t>times</w:t>
            </w:r>
            <w:r w:rsidRPr="00C13D36">
              <w:rPr>
                <w:sz w:val="20"/>
                <w:szCs w:val="20"/>
              </w:rPr>
              <w:t xml:space="preserve">. Physicians were able to propose and drive quality improvement projects. There were challenges to delivering safe and quality care due to high patients load and waiting time, inadequate communication with specialists, </w:t>
            </w:r>
            <w:r w:rsidRPr="00C13D36">
              <w:rPr>
                <w:sz w:val="20"/>
                <w:szCs w:val="20"/>
              </w:rPr>
              <w:lastRenderedPageBreak/>
              <w:t>and resource constraints.</w:t>
            </w:r>
          </w:p>
          <w:p w:rsidR="00CA307F" w:rsidRPr="00C13D36" w:rsidRDefault="00CA307F" w:rsidP="002B1D55">
            <w:pPr>
              <w:rPr>
                <w:sz w:val="20"/>
                <w:szCs w:val="20"/>
              </w:rPr>
            </w:pPr>
            <w:r>
              <w:rPr>
                <w:sz w:val="20"/>
                <w:szCs w:val="20"/>
              </w:rPr>
              <w:t>Patients’</w:t>
            </w:r>
            <w:r w:rsidRPr="00C13D36">
              <w:rPr>
                <w:sz w:val="20"/>
                <w:szCs w:val="20"/>
              </w:rPr>
              <w:t xml:space="preserve"> self-management styles are influenced by multiple factors, including work requirements, beliefs</w:t>
            </w:r>
            <w:r>
              <w:rPr>
                <w:sz w:val="20"/>
                <w:szCs w:val="20"/>
              </w:rPr>
              <w:t>,</w:t>
            </w:r>
            <w:r w:rsidRPr="00C13D36">
              <w:rPr>
                <w:sz w:val="20"/>
                <w:szCs w:val="20"/>
              </w:rPr>
              <w:t xml:space="preserve"> and environment.</w:t>
            </w:r>
          </w:p>
        </w:tc>
      </w:tr>
      <w:tr w:rsidR="00CA307F" w:rsidRPr="00C13D36" w:rsidTr="002B1D55">
        <w:tc>
          <w:tcPr>
            <w:tcW w:w="1631" w:type="dxa"/>
          </w:tcPr>
          <w:p w:rsidR="00CA307F" w:rsidRPr="00C13D36" w:rsidRDefault="00CA307F" w:rsidP="002B1D55">
            <w:pPr>
              <w:rPr>
                <w:sz w:val="20"/>
                <w:szCs w:val="20"/>
              </w:rPr>
            </w:pPr>
            <w:r>
              <w:rPr>
                <w:sz w:val="20"/>
                <w:szCs w:val="20"/>
              </w:rPr>
              <w:lastRenderedPageBreak/>
              <w:t xml:space="preserve">5. </w:t>
            </w:r>
            <w:r w:rsidRPr="00C13D36">
              <w:rPr>
                <w:sz w:val="20"/>
                <w:szCs w:val="20"/>
              </w:rPr>
              <w:t>David P. Glass</w:t>
            </w:r>
            <w:r>
              <w:rPr>
                <w:sz w:val="20"/>
                <w:szCs w:val="20"/>
              </w:rPr>
              <w:t xml:space="preserve"> 2017</w:t>
            </w:r>
          </w:p>
        </w:tc>
        <w:tc>
          <w:tcPr>
            <w:tcW w:w="2683" w:type="dxa"/>
          </w:tcPr>
          <w:p w:rsidR="00CA307F" w:rsidRPr="00C13D36" w:rsidRDefault="00CA307F" w:rsidP="002B1D55">
            <w:pPr>
              <w:rPr>
                <w:sz w:val="20"/>
                <w:szCs w:val="20"/>
              </w:rPr>
            </w:pPr>
            <w:r w:rsidRPr="00C13D36">
              <w:rPr>
                <w:sz w:val="20"/>
                <w:szCs w:val="20"/>
              </w:rPr>
              <w:t>The impact of improving access to primary care</w:t>
            </w:r>
          </w:p>
        </w:tc>
        <w:tc>
          <w:tcPr>
            <w:tcW w:w="1937" w:type="dxa"/>
          </w:tcPr>
          <w:p w:rsidR="00CA307F" w:rsidRPr="00C13D36" w:rsidRDefault="00CA307F" w:rsidP="002B1D55">
            <w:pPr>
              <w:rPr>
                <w:sz w:val="20"/>
                <w:szCs w:val="20"/>
              </w:rPr>
            </w:pPr>
            <w:r w:rsidRPr="00C13D36">
              <w:rPr>
                <w:sz w:val="20"/>
                <w:szCs w:val="20"/>
              </w:rPr>
              <w:t>General population</w:t>
            </w:r>
          </w:p>
        </w:tc>
        <w:tc>
          <w:tcPr>
            <w:tcW w:w="1749" w:type="dxa"/>
          </w:tcPr>
          <w:p w:rsidR="00CA307F" w:rsidRPr="00C13D36" w:rsidRDefault="00CA307F" w:rsidP="002B1D55">
            <w:pPr>
              <w:rPr>
                <w:sz w:val="20"/>
                <w:szCs w:val="20"/>
              </w:rPr>
            </w:pPr>
            <w:r w:rsidRPr="00C13D36">
              <w:rPr>
                <w:sz w:val="20"/>
                <w:szCs w:val="20"/>
              </w:rPr>
              <w:t xml:space="preserve">Primary care at </w:t>
            </w:r>
            <w:r>
              <w:rPr>
                <w:sz w:val="20"/>
                <w:szCs w:val="20"/>
              </w:rPr>
              <w:t xml:space="preserve">the </w:t>
            </w:r>
            <w:r w:rsidRPr="00C13D36">
              <w:rPr>
                <w:sz w:val="20"/>
                <w:szCs w:val="20"/>
              </w:rPr>
              <w:t xml:space="preserve">worksite office, guaranteed </w:t>
            </w:r>
            <w:r>
              <w:rPr>
                <w:sz w:val="20"/>
                <w:szCs w:val="20"/>
              </w:rPr>
              <w:t>same-day</w:t>
            </w:r>
            <w:r w:rsidRPr="00C13D36">
              <w:rPr>
                <w:sz w:val="20"/>
                <w:szCs w:val="20"/>
              </w:rPr>
              <w:t xml:space="preserve"> access, and no co-pay.</w:t>
            </w:r>
          </w:p>
        </w:tc>
        <w:tc>
          <w:tcPr>
            <w:tcW w:w="2773" w:type="dxa"/>
          </w:tcPr>
          <w:p w:rsidR="00CA307F" w:rsidRPr="00C13D36" w:rsidRDefault="00CA307F" w:rsidP="002B1D55">
            <w:pPr>
              <w:rPr>
                <w:sz w:val="20"/>
                <w:szCs w:val="20"/>
              </w:rPr>
            </w:pPr>
            <w:r w:rsidRPr="00C13D36">
              <w:rPr>
                <w:sz w:val="20"/>
                <w:szCs w:val="20"/>
              </w:rPr>
              <w:t>Health care utilization and costs</w:t>
            </w:r>
          </w:p>
        </w:tc>
        <w:tc>
          <w:tcPr>
            <w:tcW w:w="3059" w:type="dxa"/>
          </w:tcPr>
          <w:p w:rsidR="00CA307F" w:rsidRPr="00C13D36" w:rsidRDefault="00CA307F" w:rsidP="002B1D55">
            <w:pPr>
              <w:rPr>
                <w:sz w:val="20"/>
                <w:szCs w:val="20"/>
              </w:rPr>
            </w:pPr>
            <w:r w:rsidRPr="00C13D36">
              <w:rPr>
                <w:sz w:val="20"/>
                <w:szCs w:val="20"/>
              </w:rPr>
              <w:t xml:space="preserve">Higher primary care visit rate but lower urgent care visit rate in </w:t>
            </w:r>
            <w:r>
              <w:rPr>
                <w:sz w:val="20"/>
                <w:szCs w:val="20"/>
              </w:rPr>
              <w:t xml:space="preserve">the </w:t>
            </w:r>
            <w:r w:rsidRPr="00C13D36">
              <w:rPr>
                <w:sz w:val="20"/>
                <w:szCs w:val="20"/>
              </w:rPr>
              <w:t xml:space="preserve">intervention group. Higher cost in the intervention group. Potential for long-term costs reduction in the intervention group compared to </w:t>
            </w:r>
            <w:r>
              <w:rPr>
                <w:sz w:val="20"/>
                <w:szCs w:val="20"/>
              </w:rPr>
              <w:t xml:space="preserve">the </w:t>
            </w:r>
            <w:r w:rsidRPr="00C13D36">
              <w:rPr>
                <w:sz w:val="20"/>
                <w:szCs w:val="20"/>
              </w:rPr>
              <w:t>control group.</w:t>
            </w:r>
          </w:p>
        </w:tc>
      </w:tr>
      <w:tr w:rsidR="00CA307F" w:rsidRPr="00C13D36" w:rsidTr="002B1D55">
        <w:tc>
          <w:tcPr>
            <w:tcW w:w="1631" w:type="dxa"/>
          </w:tcPr>
          <w:p w:rsidR="00CA307F" w:rsidRPr="00C13D36" w:rsidRDefault="00CA307F" w:rsidP="002B1D55">
            <w:pPr>
              <w:rPr>
                <w:sz w:val="20"/>
                <w:szCs w:val="20"/>
              </w:rPr>
            </w:pPr>
            <w:r>
              <w:rPr>
                <w:sz w:val="20"/>
                <w:szCs w:val="20"/>
              </w:rPr>
              <w:t xml:space="preserve">6. </w:t>
            </w:r>
            <w:r w:rsidRPr="00C13D36">
              <w:rPr>
                <w:sz w:val="20"/>
                <w:szCs w:val="20"/>
              </w:rPr>
              <w:t>Hui-Min Hsieh</w:t>
            </w:r>
            <w:r>
              <w:rPr>
                <w:sz w:val="20"/>
                <w:szCs w:val="20"/>
              </w:rPr>
              <w:t xml:space="preserve"> 2015</w:t>
            </w:r>
          </w:p>
        </w:tc>
        <w:tc>
          <w:tcPr>
            <w:tcW w:w="2683" w:type="dxa"/>
          </w:tcPr>
          <w:p w:rsidR="00CA307F" w:rsidRPr="00C13D36" w:rsidRDefault="00CA307F" w:rsidP="002B1D55">
            <w:pPr>
              <w:rPr>
                <w:sz w:val="20"/>
                <w:szCs w:val="20"/>
              </w:rPr>
            </w:pPr>
            <w:r w:rsidRPr="00C13D36">
              <w:rPr>
                <w:sz w:val="20"/>
                <w:szCs w:val="20"/>
              </w:rPr>
              <w:t xml:space="preserve">Cost-Effectiveness of a Diabetes </w:t>
            </w:r>
            <w:r>
              <w:rPr>
                <w:sz w:val="20"/>
                <w:szCs w:val="20"/>
              </w:rPr>
              <w:t>Pay-For-Performance</w:t>
            </w:r>
            <w:r w:rsidRPr="00C13D36">
              <w:rPr>
                <w:sz w:val="20"/>
                <w:szCs w:val="20"/>
              </w:rPr>
              <w:t xml:space="preserve"> Program in Diabetes Patients with Multiple Chronic Conditions</w:t>
            </w:r>
          </w:p>
        </w:tc>
        <w:tc>
          <w:tcPr>
            <w:tcW w:w="1937" w:type="dxa"/>
          </w:tcPr>
          <w:p w:rsidR="00CA307F" w:rsidRPr="00C13D36" w:rsidRDefault="00CA307F" w:rsidP="002B1D55">
            <w:pPr>
              <w:rPr>
                <w:sz w:val="20"/>
                <w:szCs w:val="20"/>
              </w:rPr>
            </w:pPr>
            <w:r w:rsidRPr="00C13D36">
              <w:rPr>
                <w:sz w:val="20"/>
                <w:szCs w:val="20"/>
              </w:rPr>
              <w:t>Patients with diabetes, with and without comorbid</w:t>
            </w:r>
          </w:p>
        </w:tc>
        <w:tc>
          <w:tcPr>
            <w:tcW w:w="1749" w:type="dxa"/>
          </w:tcPr>
          <w:p w:rsidR="00CA307F" w:rsidRPr="00C13D36" w:rsidRDefault="00CA307F" w:rsidP="002B1D55">
            <w:pPr>
              <w:rPr>
                <w:sz w:val="20"/>
                <w:szCs w:val="20"/>
              </w:rPr>
            </w:pPr>
            <w:r w:rsidRPr="00C13D36">
              <w:rPr>
                <w:sz w:val="20"/>
                <w:szCs w:val="20"/>
              </w:rPr>
              <w:t>Pay for performance (P4P) policy</w:t>
            </w:r>
          </w:p>
        </w:tc>
        <w:tc>
          <w:tcPr>
            <w:tcW w:w="2773" w:type="dxa"/>
          </w:tcPr>
          <w:p w:rsidR="00CA307F" w:rsidRPr="00C13D36" w:rsidRDefault="00CA307F" w:rsidP="002B1D55">
            <w:pPr>
              <w:rPr>
                <w:sz w:val="20"/>
                <w:szCs w:val="20"/>
              </w:rPr>
            </w:pPr>
            <w:r w:rsidRPr="00C13D36">
              <w:rPr>
                <w:sz w:val="20"/>
                <w:szCs w:val="20"/>
              </w:rPr>
              <w:t>Incremental cost-effectiveness ratios (ICERs)</w:t>
            </w:r>
          </w:p>
        </w:tc>
        <w:tc>
          <w:tcPr>
            <w:tcW w:w="3059" w:type="dxa"/>
          </w:tcPr>
          <w:p w:rsidR="00CA307F" w:rsidRPr="00C13D36" w:rsidRDefault="00CA307F" w:rsidP="002B1D55">
            <w:pPr>
              <w:rPr>
                <w:sz w:val="20"/>
                <w:szCs w:val="20"/>
              </w:rPr>
            </w:pPr>
            <w:r w:rsidRPr="00C13D36">
              <w:rPr>
                <w:sz w:val="20"/>
                <w:szCs w:val="20"/>
              </w:rPr>
              <w:t xml:space="preserve">QALYs for P4P </w:t>
            </w:r>
            <w:r>
              <w:rPr>
                <w:sz w:val="20"/>
                <w:szCs w:val="20"/>
              </w:rPr>
              <w:t>patients</w:t>
            </w:r>
            <w:r w:rsidRPr="00C13D36">
              <w:rPr>
                <w:sz w:val="20"/>
                <w:szCs w:val="20"/>
              </w:rPr>
              <w:t xml:space="preserve"> and non-P4P patients were 2.80 and 2.71 for the DM alone cohort and 2.74 and 2.66 for the DM with comorbid cohort. The average incremental intervention costs per QALY in the DM alone cohort </w:t>
            </w:r>
            <w:r>
              <w:rPr>
                <w:sz w:val="20"/>
                <w:szCs w:val="20"/>
              </w:rPr>
              <w:t>were</w:t>
            </w:r>
            <w:r w:rsidRPr="00C13D36">
              <w:rPr>
                <w:sz w:val="20"/>
                <w:szCs w:val="20"/>
              </w:rPr>
              <w:t xml:space="preserve"> TWD$167,251 and TWD$145,474 in DM with comorbid.</w:t>
            </w:r>
          </w:p>
        </w:tc>
      </w:tr>
      <w:tr w:rsidR="00CA307F" w:rsidRPr="00C13D36" w:rsidTr="002B1D55">
        <w:tc>
          <w:tcPr>
            <w:tcW w:w="1631" w:type="dxa"/>
          </w:tcPr>
          <w:p w:rsidR="00CA307F" w:rsidRPr="00C13D36" w:rsidRDefault="00CA307F" w:rsidP="002B1D55">
            <w:pPr>
              <w:rPr>
                <w:sz w:val="20"/>
                <w:szCs w:val="20"/>
              </w:rPr>
            </w:pPr>
            <w:r>
              <w:rPr>
                <w:sz w:val="20"/>
                <w:szCs w:val="20"/>
              </w:rPr>
              <w:t xml:space="preserve">7. </w:t>
            </w:r>
            <w:r w:rsidRPr="00C13D36">
              <w:rPr>
                <w:sz w:val="20"/>
                <w:szCs w:val="20"/>
              </w:rPr>
              <w:t>Brigham R. Frandsen</w:t>
            </w:r>
            <w:r>
              <w:rPr>
                <w:sz w:val="20"/>
                <w:szCs w:val="20"/>
              </w:rPr>
              <w:t xml:space="preserve"> 2015</w:t>
            </w:r>
          </w:p>
        </w:tc>
        <w:tc>
          <w:tcPr>
            <w:tcW w:w="2683" w:type="dxa"/>
          </w:tcPr>
          <w:p w:rsidR="00CA307F" w:rsidRPr="00C13D36" w:rsidRDefault="00CA307F" w:rsidP="002B1D55">
            <w:pPr>
              <w:rPr>
                <w:sz w:val="20"/>
                <w:szCs w:val="20"/>
              </w:rPr>
            </w:pPr>
            <w:r w:rsidRPr="00C13D36">
              <w:rPr>
                <w:sz w:val="20"/>
                <w:szCs w:val="20"/>
              </w:rPr>
              <w:t>Care Fragmentation, Quality, and Costs Among Chronically Ill Patients</w:t>
            </w:r>
          </w:p>
        </w:tc>
        <w:tc>
          <w:tcPr>
            <w:tcW w:w="1937" w:type="dxa"/>
          </w:tcPr>
          <w:p w:rsidR="00CA307F" w:rsidRPr="00C13D36" w:rsidRDefault="00CA307F" w:rsidP="002B1D55">
            <w:pPr>
              <w:rPr>
                <w:sz w:val="20"/>
                <w:szCs w:val="20"/>
              </w:rPr>
            </w:pPr>
            <w:r w:rsidRPr="00C13D36">
              <w:rPr>
                <w:sz w:val="20"/>
                <w:szCs w:val="20"/>
              </w:rPr>
              <w:t>Chronically ill patients</w:t>
            </w:r>
          </w:p>
        </w:tc>
        <w:tc>
          <w:tcPr>
            <w:tcW w:w="1749" w:type="dxa"/>
          </w:tcPr>
          <w:p w:rsidR="00CA307F" w:rsidRPr="00C13D36" w:rsidRDefault="00CA307F" w:rsidP="002B1D55">
            <w:pPr>
              <w:rPr>
                <w:sz w:val="20"/>
                <w:szCs w:val="20"/>
              </w:rPr>
            </w:pPr>
            <w:r w:rsidRPr="00C13D36">
              <w:rPr>
                <w:sz w:val="20"/>
                <w:szCs w:val="20"/>
              </w:rPr>
              <w:t>Exposure: high degree of fragmentation</w:t>
            </w:r>
          </w:p>
        </w:tc>
        <w:tc>
          <w:tcPr>
            <w:tcW w:w="2773" w:type="dxa"/>
          </w:tcPr>
          <w:p w:rsidR="00CA307F" w:rsidRPr="00C13D36" w:rsidRDefault="00CA307F" w:rsidP="002B1D55">
            <w:pPr>
              <w:rPr>
                <w:sz w:val="20"/>
                <w:szCs w:val="20"/>
              </w:rPr>
            </w:pPr>
            <w:r w:rsidRPr="00C13D36">
              <w:rPr>
                <w:sz w:val="20"/>
                <w:szCs w:val="20"/>
              </w:rPr>
              <w:t>Care quality and costs of care</w:t>
            </w:r>
          </w:p>
        </w:tc>
        <w:tc>
          <w:tcPr>
            <w:tcW w:w="3059" w:type="dxa"/>
          </w:tcPr>
          <w:p w:rsidR="00CA307F" w:rsidRPr="00C13D36" w:rsidRDefault="00CA307F" w:rsidP="002B1D55">
            <w:pPr>
              <w:rPr>
                <w:sz w:val="20"/>
                <w:szCs w:val="20"/>
              </w:rPr>
            </w:pPr>
            <w:r w:rsidRPr="00C13D36">
              <w:rPr>
                <w:sz w:val="20"/>
                <w:szCs w:val="20"/>
              </w:rPr>
              <w:t xml:space="preserve">Patients in </w:t>
            </w:r>
            <w:r>
              <w:rPr>
                <w:sz w:val="20"/>
                <w:szCs w:val="20"/>
              </w:rPr>
              <w:t xml:space="preserve">the </w:t>
            </w:r>
            <w:r w:rsidRPr="00C13D36">
              <w:rPr>
                <w:sz w:val="20"/>
                <w:szCs w:val="20"/>
              </w:rPr>
              <w:t xml:space="preserve">highest quartile of fragmentation, </w:t>
            </w:r>
            <w:r>
              <w:rPr>
                <w:sz w:val="20"/>
                <w:szCs w:val="20"/>
              </w:rPr>
              <w:t>compared</w:t>
            </w:r>
            <w:r w:rsidRPr="00C13D36">
              <w:rPr>
                <w:sz w:val="20"/>
                <w:szCs w:val="20"/>
              </w:rPr>
              <w:t xml:space="preserve"> to </w:t>
            </w:r>
            <w:r>
              <w:rPr>
                <w:sz w:val="20"/>
                <w:szCs w:val="20"/>
              </w:rPr>
              <w:t xml:space="preserve">the </w:t>
            </w:r>
            <w:r w:rsidRPr="00C13D36">
              <w:rPr>
                <w:sz w:val="20"/>
                <w:szCs w:val="20"/>
              </w:rPr>
              <w:t xml:space="preserve">lowest quartile of fragmentation, overall had poorer care quality, </w:t>
            </w:r>
            <w:r>
              <w:rPr>
                <w:sz w:val="20"/>
                <w:szCs w:val="20"/>
              </w:rPr>
              <w:t xml:space="preserve">a </w:t>
            </w:r>
            <w:r w:rsidRPr="00C13D36">
              <w:rPr>
                <w:sz w:val="20"/>
                <w:szCs w:val="20"/>
              </w:rPr>
              <w:t xml:space="preserve">higher rate of preventable hospitalizations, </w:t>
            </w:r>
            <w:r>
              <w:rPr>
                <w:sz w:val="20"/>
                <w:szCs w:val="20"/>
              </w:rPr>
              <w:t xml:space="preserve">and </w:t>
            </w:r>
            <w:r w:rsidRPr="00C13D36">
              <w:rPr>
                <w:sz w:val="20"/>
                <w:szCs w:val="20"/>
              </w:rPr>
              <w:t>higher health care spending.</w:t>
            </w:r>
          </w:p>
        </w:tc>
      </w:tr>
      <w:tr w:rsidR="00CA307F" w:rsidRPr="00C13D36" w:rsidTr="002B1D55">
        <w:tc>
          <w:tcPr>
            <w:tcW w:w="1631" w:type="dxa"/>
          </w:tcPr>
          <w:p w:rsidR="00CA307F" w:rsidRPr="00C13D36" w:rsidRDefault="00CA307F" w:rsidP="002B1D55">
            <w:pPr>
              <w:rPr>
                <w:sz w:val="20"/>
                <w:szCs w:val="20"/>
              </w:rPr>
            </w:pPr>
            <w:r>
              <w:rPr>
                <w:sz w:val="20"/>
                <w:szCs w:val="20"/>
              </w:rPr>
              <w:t xml:space="preserve">8. </w:t>
            </w:r>
            <w:r w:rsidRPr="00C13D36">
              <w:rPr>
                <w:sz w:val="20"/>
                <w:szCs w:val="20"/>
              </w:rPr>
              <w:t>Julie P.W. Bynum</w:t>
            </w:r>
            <w:r>
              <w:rPr>
                <w:sz w:val="20"/>
                <w:szCs w:val="20"/>
              </w:rPr>
              <w:t xml:space="preserve"> 2011</w:t>
            </w:r>
          </w:p>
        </w:tc>
        <w:tc>
          <w:tcPr>
            <w:tcW w:w="2683" w:type="dxa"/>
          </w:tcPr>
          <w:p w:rsidR="00CA307F" w:rsidRPr="00C13D36" w:rsidRDefault="00CA307F" w:rsidP="002B1D55">
            <w:pPr>
              <w:rPr>
                <w:sz w:val="20"/>
                <w:szCs w:val="20"/>
              </w:rPr>
            </w:pPr>
            <w:r w:rsidRPr="00C13D36">
              <w:rPr>
                <w:sz w:val="20"/>
                <w:szCs w:val="20"/>
              </w:rPr>
              <w:t>Fewer Hospitalizations Result When Primary Care Is Highly Integrated into a Continuing Care Retirement Community</w:t>
            </w:r>
          </w:p>
        </w:tc>
        <w:tc>
          <w:tcPr>
            <w:tcW w:w="1937" w:type="dxa"/>
          </w:tcPr>
          <w:p w:rsidR="00CA307F" w:rsidRPr="00C13D36" w:rsidRDefault="00CA307F" w:rsidP="002B1D55">
            <w:pPr>
              <w:rPr>
                <w:sz w:val="20"/>
                <w:szCs w:val="20"/>
              </w:rPr>
            </w:pPr>
            <w:r w:rsidRPr="00C13D36">
              <w:rPr>
                <w:sz w:val="20"/>
                <w:szCs w:val="20"/>
              </w:rPr>
              <w:t>Older adults</w:t>
            </w:r>
          </w:p>
        </w:tc>
        <w:tc>
          <w:tcPr>
            <w:tcW w:w="1749" w:type="dxa"/>
          </w:tcPr>
          <w:p w:rsidR="00CA307F" w:rsidRPr="00C13D36" w:rsidRDefault="00CA307F" w:rsidP="002B1D55">
            <w:pPr>
              <w:rPr>
                <w:sz w:val="20"/>
                <w:szCs w:val="20"/>
              </w:rPr>
            </w:pPr>
            <w:r w:rsidRPr="00C13D36">
              <w:rPr>
                <w:sz w:val="20"/>
                <w:szCs w:val="20"/>
              </w:rPr>
              <w:t xml:space="preserve">Care model 1: A site that provides </w:t>
            </w:r>
            <w:r>
              <w:rPr>
                <w:sz w:val="20"/>
                <w:szCs w:val="20"/>
              </w:rPr>
              <w:t xml:space="preserve">a </w:t>
            </w:r>
            <w:r w:rsidRPr="00C13D36">
              <w:rPr>
                <w:sz w:val="20"/>
                <w:szCs w:val="20"/>
              </w:rPr>
              <w:t xml:space="preserve">wide range of health care services and provides all after-hours coverage. </w:t>
            </w:r>
          </w:p>
        </w:tc>
        <w:tc>
          <w:tcPr>
            <w:tcW w:w="2773" w:type="dxa"/>
          </w:tcPr>
          <w:p w:rsidR="00CA307F" w:rsidRPr="00C13D36" w:rsidRDefault="00CA307F" w:rsidP="002B1D55">
            <w:pPr>
              <w:rPr>
                <w:sz w:val="20"/>
                <w:szCs w:val="20"/>
              </w:rPr>
            </w:pPr>
            <w:r w:rsidRPr="00C13D36">
              <w:rPr>
                <w:sz w:val="20"/>
                <w:szCs w:val="20"/>
              </w:rPr>
              <w:t>Health care utilization</w:t>
            </w:r>
          </w:p>
        </w:tc>
        <w:tc>
          <w:tcPr>
            <w:tcW w:w="3059" w:type="dxa"/>
          </w:tcPr>
          <w:p w:rsidR="00CA307F" w:rsidRPr="00C13D36" w:rsidRDefault="00CA307F" w:rsidP="002B1D55">
            <w:pPr>
              <w:rPr>
                <w:sz w:val="20"/>
                <w:szCs w:val="20"/>
              </w:rPr>
            </w:pPr>
            <w:r>
              <w:rPr>
                <w:sz w:val="20"/>
                <w:szCs w:val="20"/>
              </w:rPr>
              <w:t>A higher</w:t>
            </w:r>
            <w:r w:rsidRPr="00C13D36">
              <w:rPr>
                <w:sz w:val="20"/>
                <w:szCs w:val="20"/>
              </w:rPr>
              <w:t xml:space="preserve"> hospitalizations rate was observed in Care model 2. </w:t>
            </w:r>
            <w:r>
              <w:rPr>
                <w:sz w:val="20"/>
                <w:szCs w:val="20"/>
              </w:rPr>
              <w:t>The mortality</w:t>
            </w:r>
            <w:r w:rsidRPr="00C13D36">
              <w:rPr>
                <w:sz w:val="20"/>
                <w:szCs w:val="20"/>
              </w:rPr>
              <w:t xml:space="preserve"> rate was also higher in Care model 2.</w:t>
            </w:r>
          </w:p>
        </w:tc>
      </w:tr>
      <w:tr w:rsidR="00CA307F" w:rsidRPr="00C13D36" w:rsidTr="002B1D55">
        <w:tc>
          <w:tcPr>
            <w:tcW w:w="1631" w:type="dxa"/>
          </w:tcPr>
          <w:p w:rsidR="00CA307F" w:rsidRPr="00C13D36" w:rsidRDefault="00CA307F" w:rsidP="002B1D55">
            <w:pPr>
              <w:rPr>
                <w:sz w:val="20"/>
                <w:szCs w:val="20"/>
              </w:rPr>
            </w:pPr>
            <w:r>
              <w:rPr>
                <w:sz w:val="20"/>
                <w:szCs w:val="20"/>
              </w:rPr>
              <w:t xml:space="preserve">9. </w:t>
            </w:r>
            <w:r w:rsidRPr="00C13D36">
              <w:rPr>
                <w:sz w:val="20"/>
                <w:szCs w:val="20"/>
              </w:rPr>
              <w:t>Steven J. Kravet</w:t>
            </w:r>
            <w:r>
              <w:rPr>
                <w:sz w:val="20"/>
                <w:szCs w:val="20"/>
              </w:rPr>
              <w:t xml:space="preserve"> 2008</w:t>
            </w:r>
          </w:p>
        </w:tc>
        <w:tc>
          <w:tcPr>
            <w:tcW w:w="2683" w:type="dxa"/>
          </w:tcPr>
          <w:p w:rsidR="00CA307F" w:rsidRPr="00C13D36" w:rsidRDefault="00CA307F" w:rsidP="002B1D55">
            <w:pPr>
              <w:rPr>
                <w:sz w:val="20"/>
                <w:szCs w:val="20"/>
              </w:rPr>
            </w:pPr>
            <w:r w:rsidRPr="00C13D36">
              <w:rPr>
                <w:sz w:val="20"/>
                <w:szCs w:val="20"/>
              </w:rPr>
              <w:t>Health Care Utilization and the Proportion of Primary Care Physicians</w:t>
            </w:r>
          </w:p>
        </w:tc>
        <w:tc>
          <w:tcPr>
            <w:tcW w:w="1937" w:type="dxa"/>
          </w:tcPr>
          <w:p w:rsidR="00CA307F" w:rsidRPr="00C13D36" w:rsidRDefault="00CA307F" w:rsidP="002B1D55">
            <w:pPr>
              <w:rPr>
                <w:sz w:val="20"/>
                <w:szCs w:val="20"/>
              </w:rPr>
            </w:pPr>
            <w:r w:rsidRPr="00C13D36">
              <w:rPr>
                <w:sz w:val="20"/>
                <w:szCs w:val="20"/>
              </w:rPr>
              <w:t>Health care system</w:t>
            </w:r>
          </w:p>
        </w:tc>
        <w:tc>
          <w:tcPr>
            <w:tcW w:w="1749" w:type="dxa"/>
          </w:tcPr>
          <w:p w:rsidR="00CA307F" w:rsidRPr="00C13D36" w:rsidRDefault="00CA307F" w:rsidP="002B1D55">
            <w:pPr>
              <w:rPr>
                <w:sz w:val="20"/>
                <w:szCs w:val="20"/>
              </w:rPr>
            </w:pPr>
            <w:r w:rsidRPr="00C13D36">
              <w:rPr>
                <w:sz w:val="20"/>
                <w:szCs w:val="20"/>
              </w:rPr>
              <w:t>Contain primary care physicians</w:t>
            </w:r>
          </w:p>
        </w:tc>
        <w:tc>
          <w:tcPr>
            <w:tcW w:w="2773" w:type="dxa"/>
          </w:tcPr>
          <w:p w:rsidR="00CA307F" w:rsidRPr="00C13D36" w:rsidRDefault="00CA307F" w:rsidP="002B1D55">
            <w:pPr>
              <w:rPr>
                <w:sz w:val="20"/>
                <w:szCs w:val="20"/>
              </w:rPr>
            </w:pPr>
            <w:r w:rsidRPr="00C13D36">
              <w:rPr>
                <w:sz w:val="20"/>
                <w:szCs w:val="20"/>
              </w:rPr>
              <w:t>Association of health care utilization and proportion of primary care physicians to total physicians</w:t>
            </w:r>
          </w:p>
        </w:tc>
        <w:tc>
          <w:tcPr>
            <w:tcW w:w="3059" w:type="dxa"/>
          </w:tcPr>
          <w:p w:rsidR="00CA307F" w:rsidRPr="00C13D36" w:rsidRDefault="00CA307F" w:rsidP="002B1D55">
            <w:pPr>
              <w:rPr>
                <w:sz w:val="20"/>
                <w:szCs w:val="20"/>
              </w:rPr>
            </w:pPr>
            <w:r w:rsidRPr="00C13D36">
              <w:rPr>
                <w:sz w:val="20"/>
                <w:szCs w:val="20"/>
              </w:rPr>
              <w:t xml:space="preserve">Higher proportions of primary care physicians were associated with </w:t>
            </w:r>
            <w:r>
              <w:rPr>
                <w:sz w:val="20"/>
                <w:szCs w:val="20"/>
              </w:rPr>
              <w:t>a decrease</w:t>
            </w:r>
            <w:r w:rsidRPr="00C13D36">
              <w:rPr>
                <w:sz w:val="20"/>
                <w:szCs w:val="20"/>
              </w:rPr>
              <w:t xml:space="preserve"> in health care utilization. Each 1% increase in the proportion </w:t>
            </w:r>
            <w:r>
              <w:rPr>
                <w:sz w:val="20"/>
                <w:szCs w:val="20"/>
              </w:rPr>
              <w:lastRenderedPageBreak/>
              <w:t xml:space="preserve">was </w:t>
            </w:r>
            <w:r w:rsidRPr="00C13D36">
              <w:rPr>
                <w:sz w:val="20"/>
                <w:szCs w:val="20"/>
              </w:rPr>
              <w:t xml:space="preserve">associated with </w:t>
            </w:r>
            <w:r>
              <w:rPr>
                <w:sz w:val="20"/>
                <w:szCs w:val="20"/>
              </w:rPr>
              <w:t>a decrease</w:t>
            </w:r>
            <w:r w:rsidRPr="00C13D36">
              <w:rPr>
                <w:sz w:val="20"/>
                <w:szCs w:val="20"/>
              </w:rPr>
              <w:t xml:space="preserve"> </w:t>
            </w:r>
            <w:r>
              <w:rPr>
                <w:sz w:val="20"/>
                <w:szCs w:val="20"/>
              </w:rPr>
              <w:t xml:space="preserve">in </w:t>
            </w:r>
            <w:r w:rsidRPr="00C13D36">
              <w:rPr>
                <w:sz w:val="20"/>
                <w:szCs w:val="20"/>
              </w:rPr>
              <w:t>yearly utilization of 503 admissions.</w:t>
            </w:r>
          </w:p>
        </w:tc>
      </w:tr>
      <w:tr w:rsidR="00CA307F" w:rsidRPr="00C13D36" w:rsidTr="002B1D55">
        <w:tc>
          <w:tcPr>
            <w:tcW w:w="1631" w:type="dxa"/>
          </w:tcPr>
          <w:p w:rsidR="00CA307F" w:rsidRPr="00C13D36" w:rsidRDefault="00CA307F" w:rsidP="002B1D55">
            <w:pPr>
              <w:rPr>
                <w:sz w:val="20"/>
                <w:szCs w:val="20"/>
              </w:rPr>
            </w:pPr>
            <w:r>
              <w:rPr>
                <w:sz w:val="20"/>
                <w:szCs w:val="20"/>
              </w:rPr>
              <w:lastRenderedPageBreak/>
              <w:t xml:space="preserve">10. </w:t>
            </w:r>
            <w:proofErr w:type="spellStart"/>
            <w:r w:rsidRPr="00C13D36">
              <w:rPr>
                <w:sz w:val="20"/>
                <w:szCs w:val="20"/>
              </w:rPr>
              <w:t>Paibul</w:t>
            </w:r>
            <w:proofErr w:type="spellEnd"/>
            <w:r w:rsidRPr="00C13D36">
              <w:rPr>
                <w:sz w:val="20"/>
                <w:szCs w:val="20"/>
              </w:rPr>
              <w:t xml:space="preserve"> </w:t>
            </w:r>
            <w:proofErr w:type="spellStart"/>
            <w:r w:rsidRPr="00C13D36">
              <w:rPr>
                <w:sz w:val="20"/>
                <w:szCs w:val="20"/>
              </w:rPr>
              <w:t>Suriyawongpaisal</w:t>
            </w:r>
            <w:proofErr w:type="spellEnd"/>
            <w:r>
              <w:rPr>
                <w:sz w:val="20"/>
                <w:szCs w:val="20"/>
              </w:rPr>
              <w:t xml:space="preserve"> 2019</w:t>
            </w:r>
          </w:p>
        </w:tc>
        <w:tc>
          <w:tcPr>
            <w:tcW w:w="2683" w:type="dxa"/>
          </w:tcPr>
          <w:p w:rsidR="00CA307F" w:rsidRPr="00C13D36" w:rsidRDefault="00CA307F" w:rsidP="002B1D55">
            <w:pPr>
              <w:rPr>
                <w:sz w:val="20"/>
                <w:szCs w:val="20"/>
              </w:rPr>
            </w:pPr>
            <w:r w:rsidRPr="00C13D36">
              <w:rPr>
                <w:sz w:val="20"/>
                <w:szCs w:val="20"/>
              </w:rPr>
              <w:t xml:space="preserve">Assessing system-based </w:t>
            </w:r>
            <w:r>
              <w:rPr>
                <w:sz w:val="20"/>
                <w:szCs w:val="20"/>
              </w:rPr>
              <w:t>training</w:t>
            </w:r>
            <w:r w:rsidRPr="00C13D36">
              <w:rPr>
                <w:sz w:val="20"/>
                <w:szCs w:val="20"/>
              </w:rPr>
              <w:t xml:space="preserve"> for primary care teams and quality-of-life of patients with multimorbidity in Thailand: patient and provider surveys</w:t>
            </w:r>
          </w:p>
        </w:tc>
        <w:tc>
          <w:tcPr>
            <w:tcW w:w="1937" w:type="dxa"/>
          </w:tcPr>
          <w:p w:rsidR="00CA307F" w:rsidRPr="00C13D36" w:rsidRDefault="00CA307F" w:rsidP="002B1D55">
            <w:pPr>
              <w:rPr>
                <w:sz w:val="20"/>
                <w:szCs w:val="20"/>
              </w:rPr>
            </w:pPr>
            <w:r w:rsidRPr="00C13D36">
              <w:rPr>
                <w:sz w:val="20"/>
                <w:szCs w:val="20"/>
              </w:rPr>
              <w:t>Multimorbid patients</w:t>
            </w:r>
          </w:p>
        </w:tc>
        <w:tc>
          <w:tcPr>
            <w:tcW w:w="1749" w:type="dxa"/>
          </w:tcPr>
          <w:p w:rsidR="00CA307F" w:rsidRPr="00C13D36" w:rsidRDefault="00CA307F" w:rsidP="002B1D55">
            <w:pPr>
              <w:rPr>
                <w:sz w:val="20"/>
                <w:szCs w:val="20"/>
              </w:rPr>
            </w:pPr>
            <w:r w:rsidRPr="00C13D36">
              <w:rPr>
                <w:sz w:val="20"/>
                <w:szCs w:val="20"/>
              </w:rPr>
              <w:t>Different system-based training programs trained to health providers</w:t>
            </w:r>
          </w:p>
        </w:tc>
        <w:tc>
          <w:tcPr>
            <w:tcW w:w="2773" w:type="dxa"/>
          </w:tcPr>
          <w:p w:rsidR="00CA307F" w:rsidRPr="00C13D36" w:rsidRDefault="00CA307F" w:rsidP="002B1D55">
            <w:pPr>
              <w:rPr>
                <w:sz w:val="20"/>
                <w:szCs w:val="20"/>
              </w:rPr>
            </w:pPr>
            <w:r w:rsidRPr="00C13D36">
              <w:rPr>
                <w:sz w:val="20"/>
                <w:szCs w:val="20"/>
              </w:rPr>
              <w:t>Quality of life of the patients</w:t>
            </w:r>
          </w:p>
        </w:tc>
        <w:tc>
          <w:tcPr>
            <w:tcW w:w="3059" w:type="dxa"/>
          </w:tcPr>
          <w:p w:rsidR="00CA307F" w:rsidRPr="00C13D36" w:rsidRDefault="00CA307F" w:rsidP="002B1D55">
            <w:pPr>
              <w:rPr>
                <w:sz w:val="20"/>
                <w:szCs w:val="20"/>
              </w:rPr>
            </w:pPr>
            <w:r w:rsidRPr="00C13D36">
              <w:rPr>
                <w:sz w:val="20"/>
                <w:szCs w:val="20"/>
              </w:rPr>
              <w:t>Training programmes, which put more emphasis on bundling of competencies and contextualizing of applying such competencies, were positively associated with better quality of life.</w:t>
            </w:r>
          </w:p>
        </w:tc>
      </w:tr>
      <w:tr w:rsidR="00CA307F" w:rsidRPr="00C13D36" w:rsidTr="002B1D55">
        <w:tc>
          <w:tcPr>
            <w:tcW w:w="1631" w:type="dxa"/>
          </w:tcPr>
          <w:p w:rsidR="00CA307F" w:rsidRPr="00C13D36" w:rsidRDefault="00CA307F" w:rsidP="002B1D55">
            <w:pPr>
              <w:rPr>
                <w:sz w:val="20"/>
                <w:szCs w:val="20"/>
              </w:rPr>
            </w:pPr>
            <w:r>
              <w:rPr>
                <w:sz w:val="20"/>
                <w:szCs w:val="20"/>
              </w:rPr>
              <w:t xml:space="preserve">11. </w:t>
            </w:r>
            <w:r w:rsidRPr="00C13D36">
              <w:rPr>
                <w:sz w:val="20"/>
                <w:szCs w:val="20"/>
              </w:rPr>
              <w:t>Vishal Ahuja</w:t>
            </w:r>
            <w:r>
              <w:rPr>
                <w:sz w:val="20"/>
                <w:szCs w:val="20"/>
              </w:rPr>
              <w:t xml:space="preserve"> 2018</w:t>
            </w:r>
          </w:p>
        </w:tc>
        <w:tc>
          <w:tcPr>
            <w:tcW w:w="2683" w:type="dxa"/>
          </w:tcPr>
          <w:p w:rsidR="00CA307F" w:rsidRPr="00C13D36" w:rsidRDefault="00CA307F" w:rsidP="002B1D55">
            <w:pPr>
              <w:rPr>
                <w:sz w:val="20"/>
                <w:szCs w:val="20"/>
              </w:rPr>
            </w:pPr>
            <w:r w:rsidRPr="00C13D36">
              <w:rPr>
                <w:sz w:val="20"/>
                <w:szCs w:val="20"/>
              </w:rPr>
              <w:t>Maintaining Continuity in Service: An Empirical Examination of Primary Care Physicians</w:t>
            </w:r>
          </w:p>
        </w:tc>
        <w:tc>
          <w:tcPr>
            <w:tcW w:w="1937" w:type="dxa"/>
          </w:tcPr>
          <w:p w:rsidR="00CA307F" w:rsidRPr="00C13D36" w:rsidRDefault="00CA307F" w:rsidP="002B1D55">
            <w:pPr>
              <w:rPr>
                <w:sz w:val="20"/>
                <w:szCs w:val="20"/>
              </w:rPr>
            </w:pPr>
            <w:r w:rsidRPr="00C13D36">
              <w:rPr>
                <w:sz w:val="20"/>
                <w:szCs w:val="20"/>
              </w:rPr>
              <w:t>Diabetes patients</w:t>
            </w:r>
          </w:p>
        </w:tc>
        <w:tc>
          <w:tcPr>
            <w:tcW w:w="1749" w:type="dxa"/>
          </w:tcPr>
          <w:p w:rsidR="00CA307F" w:rsidRPr="00C13D36" w:rsidRDefault="00CA307F" w:rsidP="002B1D55">
            <w:pPr>
              <w:rPr>
                <w:sz w:val="20"/>
                <w:szCs w:val="20"/>
              </w:rPr>
            </w:pPr>
            <w:r w:rsidRPr="00C13D36">
              <w:rPr>
                <w:sz w:val="20"/>
                <w:szCs w:val="20"/>
              </w:rPr>
              <w:t xml:space="preserve">Different </w:t>
            </w:r>
            <w:r>
              <w:rPr>
                <w:sz w:val="20"/>
                <w:szCs w:val="20"/>
              </w:rPr>
              <w:t>levels</w:t>
            </w:r>
            <w:r w:rsidRPr="00C13D36">
              <w:rPr>
                <w:sz w:val="20"/>
                <w:szCs w:val="20"/>
              </w:rPr>
              <w:t xml:space="preserve"> of continuity of care</w:t>
            </w:r>
          </w:p>
        </w:tc>
        <w:tc>
          <w:tcPr>
            <w:tcW w:w="2773" w:type="dxa"/>
          </w:tcPr>
          <w:p w:rsidR="00CA307F" w:rsidRPr="00C13D36" w:rsidRDefault="00CA307F" w:rsidP="002B1D55">
            <w:pPr>
              <w:rPr>
                <w:sz w:val="20"/>
                <w:szCs w:val="20"/>
              </w:rPr>
            </w:pPr>
            <w:r w:rsidRPr="00C13D36">
              <w:rPr>
                <w:sz w:val="20"/>
                <w:szCs w:val="20"/>
              </w:rPr>
              <w:t>Inpatient visits, length of stay, and readmission rate</w:t>
            </w:r>
          </w:p>
        </w:tc>
        <w:tc>
          <w:tcPr>
            <w:tcW w:w="3059" w:type="dxa"/>
          </w:tcPr>
          <w:p w:rsidR="00CA307F" w:rsidRPr="00C13D36" w:rsidRDefault="00CA307F" w:rsidP="002B1D55">
            <w:pPr>
              <w:rPr>
                <w:sz w:val="20"/>
                <w:szCs w:val="20"/>
              </w:rPr>
            </w:pPr>
            <w:r w:rsidRPr="00C13D36">
              <w:rPr>
                <w:sz w:val="20"/>
                <w:szCs w:val="20"/>
              </w:rPr>
              <w:t xml:space="preserve">Continuity of care </w:t>
            </w:r>
            <w:r>
              <w:rPr>
                <w:sz w:val="20"/>
                <w:szCs w:val="20"/>
              </w:rPr>
              <w:t xml:space="preserve">is </w:t>
            </w:r>
            <w:r w:rsidRPr="00C13D36">
              <w:rPr>
                <w:sz w:val="20"/>
                <w:szCs w:val="20"/>
              </w:rPr>
              <w:t>related to improvement in all three health outcomes.</w:t>
            </w:r>
          </w:p>
        </w:tc>
      </w:tr>
      <w:tr w:rsidR="00CA307F" w:rsidRPr="00C13D36" w:rsidTr="002B1D55">
        <w:tc>
          <w:tcPr>
            <w:tcW w:w="1631" w:type="dxa"/>
          </w:tcPr>
          <w:p w:rsidR="00CA307F" w:rsidRPr="00C13D36" w:rsidRDefault="00CA307F" w:rsidP="002B1D55">
            <w:pPr>
              <w:rPr>
                <w:sz w:val="20"/>
                <w:szCs w:val="20"/>
              </w:rPr>
            </w:pPr>
            <w:r>
              <w:rPr>
                <w:sz w:val="20"/>
                <w:szCs w:val="20"/>
              </w:rPr>
              <w:t xml:space="preserve">12. </w:t>
            </w:r>
            <w:r w:rsidRPr="00C13D36">
              <w:rPr>
                <w:sz w:val="20"/>
                <w:szCs w:val="20"/>
              </w:rPr>
              <w:t>Katrin Uhlig</w:t>
            </w:r>
            <w:r>
              <w:rPr>
                <w:sz w:val="20"/>
                <w:szCs w:val="20"/>
              </w:rPr>
              <w:t xml:space="preserve"> 2014</w:t>
            </w:r>
          </w:p>
        </w:tc>
        <w:tc>
          <w:tcPr>
            <w:tcW w:w="2683" w:type="dxa"/>
          </w:tcPr>
          <w:p w:rsidR="00CA307F" w:rsidRPr="00C13D36" w:rsidRDefault="00CA307F" w:rsidP="002B1D55">
            <w:pPr>
              <w:rPr>
                <w:sz w:val="20"/>
                <w:szCs w:val="20"/>
              </w:rPr>
            </w:pPr>
            <w:r w:rsidRPr="00C13D36">
              <w:rPr>
                <w:sz w:val="20"/>
                <w:szCs w:val="20"/>
              </w:rPr>
              <w:t>A Framework for Crafting Clinical Practice Guidelines that are Relevant to the Care and Management of People with Multimorbidity</w:t>
            </w:r>
          </w:p>
        </w:tc>
        <w:tc>
          <w:tcPr>
            <w:tcW w:w="1937" w:type="dxa"/>
          </w:tcPr>
          <w:p w:rsidR="00CA307F" w:rsidRPr="00C13D36" w:rsidRDefault="00CA307F" w:rsidP="002B1D55">
            <w:pPr>
              <w:rPr>
                <w:sz w:val="20"/>
                <w:szCs w:val="20"/>
              </w:rPr>
            </w:pPr>
            <w:r w:rsidRPr="00C13D36">
              <w:rPr>
                <w:sz w:val="20"/>
                <w:szCs w:val="20"/>
              </w:rPr>
              <w:t>-</w:t>
            </w:r>
          </w:p>
        </w:tc>
        <w:tc>
          <w:tcPr>
            <w:tcW w:w="1749" w:type="dxa"/>
          </w:tcPr>
          <w:p w:rsidR="00CA307F" w:rsidRPr="00C13D36" w:rsidRDefault="00CA307F" w:rsidP="002B1D55">
            <w:pPr>
              <w:rPr>
                <w:sz w:val="20"/>
                <w:szCs w:val="20"/>
              </w:rPr>
            </w:pPr>
            <w:r w:rsidRPr="00C13D36">
              <w:rPr>
                <w:sz w:val="20"/>
                <w:szCs w:val="20"/>
              </w:rPr>
              <w:t>-</w:t>
            </w:r>
          </w:p>
        </w:tc>
        <w:tc>
          <w:tcPr>
            <w:tcW w:w="2773" w:type="dxa"/>
          </w:tcPr>
          <w:p w:rsidR="00CA307F" w:rsidRPr="00C13D36" w:rsidRDefault="00CA307F" w:rsidP="002B1D55">
            <w:pPr>
              <w:rPr>
                <w:sz w:val="20"/>
                <w:szCs w:val="20"/>
              </w:rPr>
            </w:pPr>
            <w:r w:rsidRPr="00C13D36">
              <w:rPr>
                <w:sz w:val="20"/>
                <w:szCs w:val="20"/>
              </w:rPr>
              <w:t>Framework for crafting clinical practice guidelines that account for multimorbid</w:t>
            </w:r>
          </w:p>
        </w:tc>
        <w:tc>
          <w:tcPr>
            <w:tcW w:w="3059" w:type="dxa"/>
          </w:tcPr>
          <w:p w:rsidR="00CA307F" w:rsidRPr="00C13D36" w:rsidRDefault="00CA307F" w:rsidP="002B1D55">
            <w:pPr>
              <w:rPr>
                <w:sz w:val="20"/>
                <w:szCs w:val="20"/>
              </w:rPr>
            </w:pPr>
            <w:r w:rsidRPr="00C13D36">
              <w:rPr>
                <w:sz w:val="20"/>
                <w:szCs w:val="20"/>
              </w:rPr>
              <w:t xml:space="preserve">Multimorbidity is considered in almost every </w:t>
            </w:r>
            <w:r>
              <w:rPr>
                <w:sz w:val="20"/>
                <w:szCs w:val="20"/>
              </w:rPr>
              <w:t>step</w:t>
            </w:r>
            <w:r w:rsidRPr="00C13D36">
              <w:rPr>
                <w:sz w:val="20"/>
                <w:szCs w:val="20"/>
              </w:rPr>
              <w:t xml:space="preserve"> of clinical practice guideline generation</w:t>
            </w:r>
          </w:p>
        </w:tc>
      </w:tr>
      <w:tr w:rsidR="00CA307F" w:rsidRPr="00C13D36" w:rsidTr="002B1D55">
        <w:tc>
          <w:tcPr>
            <w:tcW w:w="1631" w:type="dxa"/>
          </w:tcPr>
          <w:p w:rsidR="00CA307F" w:rsidRPr="00C13D36" w:rsidRDefault="00CA307F" w:rsidP="002B1D55">
            <w:pPr>
              <w:rPr>
                <w:sz w:val="20"/>
                <w:szCs w:val="20"/>
              </w:rPr>
            </w:pPr>
            <w:r>
              <w:rPr>
                <w:sz w:val="20"/>
                <w:szCs w:val="20"/>
              </w:rPr>
              <w:t xml:space="preserve">13. </w:t>
            </w:r>
            <w:r w:rsidRPr="00C13D36">
              <w:rPr>
                <w:sz w:val="20"/>
                <w:szCs w:val="20"/>
              </w:rPr>
              <w:t xml:space="preserve">Daniel </w:t>
            </w:r>
            <w:proofErr w:type="spellStart"/>
            <w:r w:rsidRPr="00C13D36">
              <w:rPr>
                <w:sz w:val="20"/>
                <w:szCs w:val="20"/>
              </w:rPr>
              <w:t>Okeowo</w:t>
            </w:r>
            <w:proofErr w:type="spellEnd"/>
            <w:r>
              <w:rPr>
                <w:sz w:val="20"/>
                <w:szCs w:val="20"/>
              </w:rPr>
              <w:t xml:space="preserve"> 2018</w:t>
            </w:r>
          </w:p>
        </w:tc>
        <w:tc>
          <w:tcPr>
            <w:tcW w:w="2683" w:type="dxa"/>
          </w:tcPr>
          <w:p w:rsidR="00CA307F" w:rsidRPr="00C13D36" w:rsidRDefault="00CA307F" w:rsidP="002B1D55">
            <w:pPr>
              <w:rPr>
                <w:sz w:val="20"/>
                <w:szCs w:val="20"/>
              </w:rPr>
            </w:pPr>
            <w:r w:rsidRPr="00C13D36">
              <w:rPr>
                <w:sz w:val="20"/>
                <w:szCs w:val="20"/>
              </w:rPr>
              <w:t>Clinical practice guidelines for older people with multimorbidity and life-limiting illness: what are the implications for deprescribing?</w:t>
            </w:r>
          </w:p>
        </w:tc>
        <w:tc>
          <w:tcPr>
            <w:tcW w:w="1937" w:type="dxa"/>
          </w:tcPr>
          <w:p w:rsidR="00CA307F" w:rsidRPr="00C13D36" w:rsidRDefault="00CA307F" w:rsidP="002B1D55">
            <w:pPr>
              <w:rPr>
                <w:sz w:val="20"/>
                <w:szCs w:val="20"/>
              </w:rPr>
            </w:pPr>
            <w:r w:rsidRPr="00C13D36">
              <w:rPr>
                <w:sz w:val="20"/>
                <w:szCs w:val="20"/>
              </w:rPr>
              <w:t>Older people with multimorbidity and life-limiting illness</w:t>
            </w:r>
          </w:p>
        </w:tc>
        <w:tc>
          <w:tcPr>
            <w:tcW w:w="1749" w:type="dxa"/>
          </w:tcPr>
          <w:p w:rsidR="00CA307F" w:rsidRPr="00C13D36" w:rsidRDefault="00CA307F" w:rsidP="002B1D55">
            <w:pPr>
              <w:rPr>
                <w:sz w:val="20"/>
                <w:szCs w:val="20"/>
              </w:rPr>
            </w:pPr>
            <w:r w:rsidRPr="00C13D36">
              <w:rPr>
                <w:sz w:val="20"/>
                <w:szCs w:val="20"/>
              </w:rPr>
              <w:t>NICE clinical guidelines</w:t>
            </w:r>
          </w:p>
        </w:tc>
        <w:tc>
          <w:tcPr>
            <w:tcW w:w="2773" w:type="dxa"/>
          </w:tcPr>
          <w:p w:rsidR="00CA307F" w:rsidRPr="00C13D36" w:rsidRDefault="00CA307F" w:rsidP="002B1D55">
            <w:pPr>
              <w:rPr>
                <w:sz w:val="20"/>
                <w:szCs w:val="20"/>
              </w:rPr>
            </w:pPr>
            <w:r w:rsidRPr="00C13D36">
              <w:rPr>
                <w:sz w:val="20"/>
                <w:szCs w:val="20"/>
              </w:rPr>
              <w:t xml:space="preserve">Explore </w:t>
            </w:r>
            <w:r>
              <w:rPr>
                <w:sz w:val="20"/>
                <w:szCs w:val="20"/>
              </w:rPr>
              <w:t xml:space="preserve">the </w:t>
            </w:r>
            <w:r w:rsidRPr="00C13D36">
              <w:rPr>
                <w:sz w:val="20"/>
                <w:szCs w:val="20"/>
              </w:rPr>
              <w:t>treatment regimen generated by the guidelines</w:t>
            </w:r>
          </w:p>
        </w:tc>
        <w:tc>
          <w:tcPr>
            <w:tcW w:w="3059" w:type="dxa"/>
          </w:tcPr>
          <w:p w:rsidR="00CA307F" w:rsidRPr="00C13D36" w:rsidRDefault="00CA307F" w:rsidP="002B1D55">
            <w:pPr>
              <w:rPr>
                <w:sz w:val="20"/>
                <w:szCs w:val="20"/>
              </w:rPr>
            </w:pPr>
            <w:r w:rsidRPr="00C13D36">
              <w:rPr>
                <w:sz w:val="20"/>
                <w:szCs w:val="20"/>
              </w:rPr>
              <w:t xml:space="preserve">As hypothetical patients have more health conditions, </w:t>
            </w:r>
            <w:r>
              <w:rPr>
                <w:sz w:val="20"/>
                <w:szCs w:val="20"/>
              </w:rPr>
              <w:t xml:space="preserve">the </w:t>
            </w:r>
            <w:r w:rsidRPr="00C13D36">
              <w:rPr>
                <w:sz w:val="20"/>
                <w:szCs w:val="20"/>
              </w:rPr>
              <w:t xml:space="preserve">number of medications </w:t>
            </w:r>
            <w:r>
              <w:rPr>
                <w:sz w:val="20"/>
                <w:szCs w:val="20"/>
              </w:rPr>
              <w:t>increases</w:t>
            </w:r>
            <w:r w:rsidRPr="00C13D36">
              <w:rPr>
                <w:sz w:val="20"/>
                <w:szCs w:val="20"/>
              </w:rPr>
              <w:t xml:space="preserve"> dramatically. There </w:t>
            </w:r>
            <w:r>
              <w:rPr>
                <w:sz w:val="20"/>
                <w:szCs w:val="20"/>
              </w:rPr>
              <w:t>are</w:t>
            </w:r>
            <w:r w:rsidRPr="00C13D36">
              <w:rPr>
                <w:sz w:val="20"/>
                <w:szCs w:val="20"/>
              </w:rPr>
              <w:t xml:space="preserve"> no discussed approaches to stopping </w:t>
            </w:r>
            <w:r>
              <w:rPr>
                <w:sz w:val="20"/>
                <w:szCs w:val="20"/>
              </w:rPr>
              <w:t xml:space="preserve">the </w:t>
            </w:r>
            <w:r w:rsidRPr="00C13D36">
              <w:rPr>
                <w:sz w:val="20"/>
                <w:szCs w:val="20"/>
              </w:rPr>
              <w:t>medication.</w:t>
            </w:r>
          </w:p>
        </w:tc>
      </w:tr>
      <w:tr w:rsidR="00CA307F" w:rsidRPr="00C13D36" w:rsidTr="002B1D55">
        <w:tc>
          <w:tcPr>
            <w:tcW w:w="1631" w:type="dxa"/>
          </w:tcPr>
          <w:p w:rsidR="00CA307F" w:rsidRPr="00C13D36" w:rsidRDefault="00CA307F" w:rsidP="002B1D55">
            <w:pPr>
              <w:rPr>
                <w:sz w:val="20"/>
                <w:szCs w:val="20"/>
              </w:rPr>
            </w:pPr>
            <w:r>
              <w:rPr>
                <w:sz w:val="20"/>
                <w:szCs w:val="20"/>
              </w:rPr>
              <w:t xml:space="preserve">14. </w:t>
            </w:r>
            <w:r w:rsidRPr="00C13D36">
              <w:rPr>
                <w:sz w:val="20"/>
                <w:szCs w:val="20"/>
              </w:rPr>
              <w:t>Siobhan Dumbreck</w:t>
            </w:r>
            <w:r>
              <w:rPr>
                <w:sz w:val="20"/>
                <w:szCs w:val="20"/>
              </w:rPr>
              <w:t xml:space="preserve"> 2015</w:t>
            </w:r>
          </w:p>
        </w:tc>
        <w:tc>
          <w:tcPr>
            <w:tcW w:w="2683" w:type="dxa"/>
          </w:tcPr>
          <w:p w:rsidR="00CA307F" w:rsidRPr="00C13D36" w:rsidRDefault="00CA307F" w:rsidP="002B1D55">
            <w:pPr>
              <w:rPr>
                <w:sz w:val="20"/>
                <w:szCs w:val="20"/>
              </w:rPr>
            </w:pPr>
            <w:r w:rsidRPr="00C13D36">
              <w:rPr>
                <w:sz w:val="20"/>
                <w:szCs w:val="20"/>
              </w:rPr>
              <w:t>Drug-disease and drug-drug interactions: systematic examination of recommendations in 12 UK national clinical guidelines</w:t>
            </w:r>
          </w:p>
        </w:tc>
        <w:tc>
          <w:tcPr>
            <w:tcW w:w="1937" w:type="dxa"/>
          </w:tcPr>
          <w:p w:rsidR="00CA307F" w:rsidRPr="00C13D36" w:rsidRDefault="00CA307F" w:rsidP="002B1D55">
            <w:pPr>
              <w:rPr>
                <w:sz w:val="20"/>
                <w:szCs w:val="20"/>
              </w:rPr>
            </w:pPr>
            <w:r w:rsidRPr="00C13D36">
              <w:rPr>
                <w:sz w:val="20"/>
                <w:szCs w:val="20"/>
              </w:rPr>
              <w:t xml:space="preserve">People with multiple chronic </w:t>
            </w:r>
            <w:r>
              <w:rPr>
                <w:sz w:val="20"/>
                <w:szCs w:val="20"/>
              </w:rPr>
              <w:t>conditions</w:t>
            </w:r>
            <w:r w:rsidRPr="00C13D36">
              <w:rPr>
                <w:sz w:val="20"/>
                <w:szCs w:val="20"/>
              </w:rPr>
              <w:t xml:space="preserve"> with index condition </w:t>
            </w:r>
          </w:p>
        </w:tc>
        <w:tc>
          <w:tcPr>
            <w:tcW w:w="1749" w:type="dxa"/>
          </w:tcPr>
          <w:p w:rsidR="00CA307F" w:rsidRPr="00C13D36" w:rsidRDefault="00CA307F" w:rsidP="002B1D55">
            <w:pPr>
              <w:rPr>
                <w:sz w:val="20"/>
                <w:szCs w:val="20"/>
              </w:rPr>
            </w:pPr>
            <w:r w:rsidRPr="00C13D36">
              <w:rPr>
                <w:sz w:val="20"/>
                <w:szCs w:val="20"/>
              </w:rPr>
              <w:t>12 NICE clinical guidelines on heart failure, type 2 diabetes, depression, atrial fibrillation, osteoarthritis, COPD, hypertension, post-myocardial infarction, dementia, rheumatoid arthritis, CKD, and neuropathic pain.</w:t>
            </w:r>
          </w:p>
        </w:tc>
        <w:tc>
          <w:tcPr>
            <w:tcW w:w="2773" w:type="dxa"/>
          </w:tcPr>
          <w:p w:rsidR="00CA307F" w:rsidRPr="00C13D36" w:rsidRDefault="00CA307F" w:rsidP="002B1D55">
            <w:pPr>
              <w:rPr>
                <w:sz w:val="20"/>
                <w:szCs w:val="20"/>
              </w:rPr>
            </w:pPr>
            <w:r w:rsidRPr="00C13D36">
              <w:rPr>
                <w:sz w:val="20"/>
                <w:szCs w:val="20"/>
              </w:rPr>
              <w:t>Frequency of drug interactions between guidelines.</w:t>
            </w:r>
          </w:p>
        </w:tc>
        <w:tc>
          <w:tcPr>
            <w:tcW w:w="3059" w:type="dxa"/>
          </w:tcPr>
          <w:p w:rsidR="00CA307F" w:rsidRPr="00C13D36" w:rsidRDefault="00CA307F" w:rsidP="002B1D55">
            <w:pPr>
              <w:rPr>
                <w:sz w:val="20"/>
                <w:szCs w:val="20"/>
              </w:rPr>
            </w:pPr>
            <w:r w:rsidRPr="00C13D36">
              <w:rPr>
                <w:sz w:val="20"/>
                <w:szCs w:val="20"/>
              </w:rPr>
              <w:t xml:space="preserve">There are multiple drug interactions between guidelines. </w:t>
            </w:r>
          </w:p>
        </w:tc>
      </w:tr>
      <w:tr w:rsidR="00CA307F" w:rsidRPr="00C13D36" w:rsidTr="002B1D55">
        <w:tc>
          <w:tcPr>
            <w:tcW w:w="1631" w:type="dxa"/>
          </w:tcPr>
          <w:p w:rsidR="00CA307F" w:rsidRPr="00C13D36" w:rsidRDefault="00CA307F" w:rsidP="002B1D55">
            <w:pPr>
              <w:rPr>
                <w:sz w:val="20"/>
                <w:szCs w:val="20"/>
              </w:rPr>
            </w:pPr>
            <w:r>
              <w:rPr>
                <w:rFonts w:ascii="Segoe UI" w:eastAsiaTheme="minorEastAsia" w:hAnsi="Segoe UI" w:cs="Segoe UI"/>
                <w:sz w:val="18"/>
                <w:szCs w:val="18"/>
                <w:lang w:eastAsia="zh-CN"/>
              </w:rPr>
              <w:lastRenderedPageBreak/>
              <w:t>15. Salisbury, C</w:t>
            </w:r>
            <w:r>
              <w:rPr>
                <w:rFonts w:ascii="Segoe UI" w:eastAsiaTheme="minorEastAsia" w:hAnsi="Segoe UI" w:cs="Angsana New"/>
                <w:sz w:val="18"/>
                <w:szCs w:val="18"/>
                <w:cs/>
                <w:lang w:eastAsia="zh-CN"/>
              </w:rPr>
              <w:t>.</w:t>
            </w:r>
            <w:r>
              <w:rPr>
                <w:rFonts w:ascii="Segoe UI" w:eastAsiaTheme="minorEastAsia" w:hAnsi="Segoe UI" w:cs="Angsana New"/>
                <w:sz w:val="18"/>
                <w:szCs w:val="18"/>
                <w:lang w:eastAsia="zh-CN"/>
              </w:rPr>
              <w:t>, 2018</w:t>
            </w:r>
          </w:p>
        </w:tc>
        <w:tc>
          <w:tcPr>
            <w:tcW w:w="2683" w:type="dxa"/>
          </w:tcPr>
          <w:p w:rsidR="00CA307F" w:rsidRPr="00C13D36" w:rsidRDefault="00CA307F" w:rsidP="002B1D55">
            <w:pPr>
              <w:rPr>
                <w:sz w:val="20"/>
                <w:szCs w:val="20"/>
              </w:rPr>
            </w:pPr>
            <w:r>
              <w:rPr>
                <w:rFonts w:ascii="Segoe UI" w:eastAsiaTheme="minorEastAsia" w:hAnsi="Segoe UI" w:cs="Segoe UI"/>
                <w:sz w:val="18"/>
                <w:szCs w:val="18"/>
                <w:lang w:eastAsia="zh-CN"/>
              </w:rPr>
              <w:t>Management of multimorbidity using a patient</w:t>
            </w:r>
            <w:r>
              <w:rPr>
                <w:rFonts w:ascii="Segoe UI" w:eastAsiaTheme="minorEastAsia" w:hAnsi="Segoe UI" w:cs="Angsana New"/>
                <w:sz w:val="18"/>
                <w:szCs w:val="18"/>
                <w:cs/>
                <w:lang w:eastAsia="zh-CN"/>
              </w:rPr>
              <w:t>-</w:t>
            </w:r>
            <w:r>
              <w:rPr>
                <w:rFonts w:ascii="Segoe UI" w:eastAsiaTheme="minorEastAsia" w:hAnsi="Segoe UI" w:cs="Segoe UI"/>
                <w:sz w:val="18"/>
                <w:szCs w:val="18"/>
                <w:lang w:eastAsia="zh-CN"/>
              </w:rPr>
              <w:t>centred care model</w:t>
            </w:r>
            <w:r>
              <w:rPr>
                <w:rFonts w:ascii="Segoe UI" w:eastAsiaTheme="minorEastAsia" w:hAnsi="Segoe UI" w:cs="Angsana New"/>
                <w:sz w:val="18"/>
                <w:szCs w:val="18"/>
                <w:cs/>
                <w:lang w:eastAsia="zh-CN"/>
              </w:rPr>
              <w:t xml:space="preserve">: </w:t>
            </w:r>
            <w:r>
              <w:rPr>
                <w:rFonts w:ascii="Segoe UI" w:eastAsiaTheme="minorEastAsia" w:hAnsi="Segoe UI" w:cs="Segoe UI"/>
                <w:sz w:val="18"/>
                <w:szCs w:val="18"/>
                <w:lang w:eastAsia="zh-CN"/>
              </w:rPr>
              <w:t>a pragmatic cluster</w:t>
            </w:r>
            <w:r>
              <w:rPr>
                <w:rFonts w:ascii="Segoe UI" w:eastAsiaTheme="minorEastAsia" w:hAnsi="Segoe UI" w:cs="Angsana New"/>
                <w:sz w:val="18"/>
                <w:szCs w:val="18"/>
                <w:cs/>
                <w:lang w:eastAsia="zh-CN"/>
              </w:rPr>
              <w:t>-</w:t>
            </w:r>
            <w:r>
              <w:rPr>
                <w:rFonts w:ascii="Segoe UI" w:eastAsiaTheme="minorEastAsia" w:hAnsi="Segoe UI" w:cs="Segoe UI"/>
                <w:sz w:val="18"/>
                <w:szCs w:val="18"/>
                <w:lang w:eastAsia="zh-CN"/>
              </w:rPr>
              <w:t>randomised trial of the 3D approach</w:t>
            </w:r>
          </w:p>
        </w:tc>
        <w:tc>
          <w:tcPr>
            <w:tcW w:w="1937" w:type="dxa"/>
          </w:tcPr>
          <w:p w:rsidR="00CA307F" w:rsidRPr="00C13D36" w:rsidRDefault="00CA307F" w:rsidP="002B1D55">
            <w:pPr>
              <w:rPr>
                <w:sz w:val="20"/>
                <w:szCs w:val="20"/>
              </w:rPr>
            </w:pPr>
            <w:r>
              <w:rPr>
                <w:rFonts w:cstheme="minorHAnsi"/>
                <w:sz w:val="20"/>
                <w:szCs w:val="20"/>
              </w:rPr>
              <w:t>Adults with ≥ 3 chronic conditions</w:t>
            </w:r>
          </w:p>
        </w:tc>
        <w:tc>
          <w:tcPr>
            <w:tcW w:w="1749" w:type="dxa"/>
          </w:tcPr>
          <w:p w:rsidR="00CA307F" w:rsidRPr="000D4B85" w:rsidRDefault="00CA307F" w:rsidP="002B1D55">
            <w:pPr>
              <w:rPr>
                <w:rFonts w:cstheme="minorHAnsi"/>
                <w:sz w:val="20"/>
                <w:szCs w:val="20"/>
              </w:rPr>
            </w:pPr>
            <w:r>
              <w:rPr>
                <w:rFonts w:cstheme="minorHAnsi"/>
                <w:sz w:val="20"/>
                <w:szCs w:val="20"/>
              </w:rPr>
              <w:t>Six</w:t>
            </w:r>
            <w:r w:rsidRPr="000D4B85">
              <w:rPr>
                <w:rFonts w:cstheme="minorHAnsi"/>
                <w:sz w:val="20"/>
                <w:szCs w:val="20"/>
              </w:rPr>
              <w:t xml:space="preserve"> months:</w:t>
            </w:r>
          </w:p>
          <w:p w:rsidR="00CA307F" w:rsidRPr="00C13D36" w:rsidRDefault="00CA307F" w:rsidP="002B1D55">
            <w:pPr>
              <w:rPr>
                <w:sz w:val="20"/>
                <w:szCs w:val="20"/>
              </w:rPr>
            </w:pPr>
            <w:r>
              <w:rPr>
                <w:rFonts w:cstheme="minorHAnsi"/>
                <w:sz w:val="20"/>
                <w:szCs w:val="20"/>
              </w:rPr>
              <w:t>Comprehensive 3D reviews</w:t>
            </w:r>
            <w:r>
              <w:t xml:space="preserve"> </w:t>
            </w:r>
            <w:r w:rsidRPr="007F6B83">
              <w:rPr>
                <w:rFonts w:cstheme="minorHAnsi"/>
                <w:sz w:val="20"/>
                <w:szCs w:val="20"/>
              </w:rPr>
              <w:t>incorporating patient-</w:t>
            </w:r>
            <w:proofErr w:type="spellStart"/>
            <w:r w:rsidRPr="007F6B83">
              <w:rPr>
                <w:rFonts w:cstheme="minorHAnsi"/>
                <w:sz w:val="20"/>
                <w:szCs w:val="20"/>
              </w:rPr>
              <w:t>centered</w:t>
            </w:r>
            <w:proofErr w:type="spellEnd"/>
            <w:r w:rsidRPr="007F6B83">
              <w:rPr>
                <w:rFonts w:cstheme="minorHAnsi"/>
                <w:sz w:val="20"/>
                <w:szCs w:val="20"/>
              </w:rPr>
              <w:t xml:space="preserve"> strategies</w:t>
            </w:r>
            <w:r>
              <w:rPr>
                <w:rFonts w:cstheme="minorHAnsi"/>
                <w:sz w:val="20"/>
                <w:szCs w:val="20"/>
              </w:rPr>
              <w:t xml:space="preserve"> VS usual care</w:t>
            </w:r>
          </w:p>
        </w:tc>
        <w:tc>
          <w:tcPr>
            <w:tcW w:w="2773" w:type="dxa"/>
          </w:tcPr>
          <w:p w:rsidR="00CA307F" w:rsidRPr="00C13D36" w:rsidRDefault="00CA307F" w:rsidP="002B1D55">
            <w:pPr>
              <w:rPr>
                <w:sz w:val="20"/>
                <w:szCs w:val="20"/>
              </w:rPr>
            </w:pPr>
          </w:p>
        </w:tc>
        <w:tc>
          <w:tcPr>
            <w:tcW w:w="3059" w:type="dxa"/>
          </w:tcPr>
          <w:p w:rsidR="00CA307F" w:rsidRPr="00C13D36" w:rsidRDefault="00CA307F" w:rsidP="002B1D55">
            <w:pPr>
              <w:rPr>
                <w:sz w:val="20"/>
                <w:szCs w:val="20"/>
              </w:rPr>
            </w:pPr>
            <w:r>
              <w:rPr>
                <w:rFonts w:cstheme="minorHAnsi"/>
                <w:sz w:val="20"/>
                <w:szCs w:val="20"/>
              </w:rPr>
              <w:t>There was no difference between intervention and control groups</w:t>
            </w:r>
          </w:p>
        </w:tc>
      </w:tr>
      <w:tr w:rsidR="00CA307F" w:rsidRPr="00C13D36" w:rsidTr="002B1D55">
        <w:tc>
          <w:tcPr>
            <w:tcW w:w="1631" w:type="dxa"/>
          </w:tcPr>
          <w:p w:rsidR="00CA307F" w:rsidRPr="00C13D36" w:rsidRDefault="00CA307F" w:rsidP="002B1D55">
            <w:pPr>
              <w:rPr>
                <w:sz w:val="20"/>
                <w:szCs w:val="20"/>
              </w:rPr>
            </w:pPr>
            <w:r>
              <w:rPr>
                <w:sz w:val="20"/>
                <w:szCs w:val="20"/>
              </w:rPr>
              <w:t xml:space="preserve">16. </w:t>
            </w:r>
            <w:r w:rsidRPr="00C13D36">
              <w:rPr>
                <w:sz w:val="20"/>
                <w:szCs w:val="20"/>
              </w:rPr>
              <w:t xml:space="preserve">Alexandra </w:t>
            </w:r>
            <w:proofErr w:type="spellStart"/>
            <w:r w:rsidRPr="00C13D36">
              <w:rPr>
                <w:sz w:val="20"/>
                <w:szCs w:val="20"/>
              </w:rPr>
              <w:t>Prados</w:t>
            </w:r>
            <w:proofErr w:type="spellEnd"/>
            <w:r w:rsidRPr="00C13D36">
              <w:rPr>
                <w:sz w:val="20"/>
                <w:szCs w:val="20"/>
              </w:rPr>
              <w:t>-Torres</w:t>
            </w:r>
            <w:r>
              <w:rPr>
                <w:sz w:val="20"/>
                <w:szCs w:val="20"/>
              </w:rPr>
              <w:t xml:space="preserve"> 2012</w:t>
            </w:r>
          </w:p>
        </w:tc>
        <w:tc>
          <w:tcPr>
            <w:tcW w:w="2683" w:type="dxa"/>
          </w:tcPr>
          <w:p w:rsidR="00CA307F" w:rsidRPr="00C13D36" w:rsidRDefault="00CA307F" w:rsidP="002B1D55">
            <w:pPr>
              <w:rPr>
                <w:sz w:val="20"/>
                <w:szCs w:val="20"/>
              </w:rPr>
            </w:pPr>
            <w:r w:rsidRPr="00C13D36">
              <w:rPr>
                <w:sz w:val="20"/>
                <w:szCs w:val="20"/>
              </w:rPr>
              <w:t>Multimorbidity Patterns in Primary Care: Interactions among Chronic Diseases Using Factor Analysis</w:t>
            </w:r>
          </w:p>
        </w:tc>
        <w:tc>
          <w:tcPr>
            <w:tcW w:w="1937" w:type="dxa"/>
          </w:tcPr>
          <w:p w:rsidR="00CA307F" w:rsidRPr="00C13D36" w:rsidRDefault="00CA307F" w:rsidP="002B1D55">
            <w:pPr>
              <w:rPr>
                <w:sz w:val="20"/>
                <w:szCs w:val="20"/>
              </w:rPr>
            </w:pPr>
            <w:r w:rsidRPr="00C13D36">
              <w:rPr>
                <w:sz w:val="20"/>
                <w:szCs w:val="20"/>
              </w:rPr>
              <w:t>Patients with chronic disease multimorbidity</w:t>
            </w:r>
          </w:p>
        </w:tc>
        <w:tc>
          <w:tcPr>
            <w:tcW w:w="1749" w:type="dxa"/>
          </w:tcPr>
          <w:p w:rsidR="00CA307F" w:rsidRPr="00C13D36" w:rsidRDefault="00CA307F" w:rsidP="002B1D55">
            <w:pPr>
              <w:rPr>
                <w:sz w:val="20"/>
                <w:szCs w:val="20"/>
              </w:rPr>
            </w:pPr>
            <w:r w:rsidRPr="00C13D36">
              <w:rPr>
                <w:sz w:val="20"/>
                <w:szCs w:val="20"/>
              </w:rPr>
              <w:t>-</w:t>
            </w:r>
          </w:p>
        </w:tc>
        <w:tc>
          <w:tcPr>
            <w:tcW w:w="2773" w:type="dxa"/>
          </w:tcPr>
          <w:p w:rsidR="00CA307F" w:rsidRPr="00C13D36" w:rsidRDefault="00CA307F" w:rsidP="002B1D55">
            <w:pPr>
              <w:rPr>
                <w:sz w:val="20"/>
                <w:szCs w:val="20"/>
              </w:rPr>
            </w:pPr>
            <w:r w:rsidRPr="00C13D36">
              <w:rPr>
                <w:sz w:val="20"/>
                <w:szCs w:val="20"/>
              </w:rPr>
              <w:t>Multimorbidity patterns in primary care.</w:t>
            </w:r>
          </w:p>
          <w:p w:rsidR="00CA307F" w:rsidRPr="00C13D36" w:rsidRDefault="00CA307F" w:rsidP="002B1D55">
            <w:pPr>
              <w:rPr>
                <w:sz w:val="20"/>
                <w:szCs w:val="20"/>
              </w:rPr>
            </w:pPr>
          </w:p>
        </w:tc>
        <w:tc>
          <w:tcPr>
            <w:tcW w:w="3059" w:type="dxa"/>
          </w:tcPr>
          <w:p w:rsidR="00CA307F" w:rsidRPr="00C13D36" w:rsidRDefault="00CA307F" w:rsidP="002B1D55">
            <w:pPr>
              <w:rPr>
                <w:sz w:val="20"/>
                <w:szCs w:val="20"/>
              </w:rPr>
            </w:pPr>
            <w:r w:rsidRPr="00C13D36">
              <w:rPr>
                <w:sz w:val="20"/>
                <w:szCs w:val="20"/>
              </w:rPr>
              <w:t>Multimorbidity was found in all age groups. 5 patterns of multimorbidity were identified: cardio-metabolic, psychiatric-substance abuse, mechanical-obesity-thyroidal, psychogeriatric and depressive. Some of these patterns were found to associate with age and sex.</w:t>
            </w:r>
          </w:p>
        </w:tc>
      </w:tr>
    </w:tbl>
    <w:p w:rsidR="00CA307F" w:rsidRDefault="00CA307F" w:rsidP="00CA307F">
      <w:pPr>
        <w:autoSpaceDE w:val="0"/>
        <w:autoSpaceDN w:val="0"/>
        <w:adjustRightInd w:val="0"/>
        <w:rPr>
          <w:rFonts w:asciiTheme="minorBidi" w:hAnsiTheme="minorBidi"/>
          <w:sz w:val="32"/>
          <w:szCs w:val="32"/>
        </w:rPr>
        <w:sectPr w:rsidR="00CA307F" w:rsidSect="00F154BC">
          <w:pgSz w:w="15840" w:h="12240" w:orient="landscape"/>
          <w:pgMar w:top="1440" w:right="1440" w:bottom="1440" w:left="1440" w:header="720" w:footer="720" w:gutter="0"/>
          <w:cols w:space="720"/>
          <w:docGrid w:linePitch="360"/>
        </w:sectPr>
      </w:pPr>
    </w:p>
    <w:p w:rsidR="00CA307F" w:rsidRDefault="00CA307F" w:rsidP="00CA307F">
      <w:pPr>
        <w:rPr>
          <w:rFonts w:eastAsiaTheme="minorEastAsia"/>
          <w:b/>
          <w:bCs/>
          <w:lang w:eastAsia="zh-CN"/>
        </w:rPr>
      </w:pPr>
      <w:r>
        <w:rPr>
          <w:rFonts w:eastAsiaTheme="minorEastAsia"/>
          <w:b/>
          <w:bCs/>
          <w:lang w:eastAsia="zh-CN"/>
        </w:rPr>
        <w:lastRenderedPageBreak/>
        <w:t>Supplementary Table 2: Evidence for p</w:t>
      </w:r>
      <w:r w:rsidRPr="00FA094A">
        <w:rPr>
          <w:rFonts w:eastAsiaTheme="minorEastAsia"/>
          <w:b/>
          <w:bCs/>
          <w:lang w:eastAsia="zh-CN"/>
        </w:rPr>
        <w:t>atient-</w:t>
      </w:r>
      <w:proofErr w:type="spellStart"/>
      <w:r w:rsidRPr="00FA094A">
        <w:rPr>
          <w:rFonts w:eastAsiaTheme="minorEastAsia"/>
          <w:b/>
          <w:bCs/>
          <w:lang w:eastAsia="zh-CN"/>
        </w:rPr>
        <w:t>centered</w:t>
      </w:r>
      <w:proofErr w:type="spellEnd"/>
      <w:r w:rsidRPr="00FA094A">
        <w:rPr>
          <w:rFonts w:eastAsiaTheme="minorEastAsia"/>
          <w:b/>
          <w:bCs/>
          <w:lang w:eastAsia="zh-CN"/>
        </w:rPr>
        <w:t xml:space="preserve"> approach</w:t>
      </w:r>
    </w:p>
    <w:p w:rsidR="00CA307F" w:rsidRPr="00FA094A" w:rsidRDefault="00CA307F" w:rsidP="00CA307F">
      <w:pPr>
        <w:rPr>
          <w:rFonts w:eastAsiaTheme="minorEastAsia"/>
          <w:b/>
          <w:bCs/>
          <w:lang w:eastAsia="zh-CN"/>
        </w:rPr>
      </w:pPr>
    </w:p>
    <w:tbl>
      <w:tblPr>
        <w:tblStyle w:val="TableGrid"/>
        <w:tblW w:w="0" w:type="auto"/>
        <w:tblLook w:val="04A0"/>
      </w:tblPr>
      <w:tblGrid>
        <w:gridCol w:w="1691"/>
        <w:gridCol w:w="2427"/>
        <w:gridCol w:w="2115"/>
        <w:gridCol w:w="2085"/>
        <w:gridCol w:w="2093"/>
        <w:gridCol w:w="2539"/>
      </w:tblGrid>
      <w:tr w:rsidR="00CA307F" w:rsidRPr="0005527B" w:rsidTr="002B1D55">
        <w:trPr>
          <w:trHeight w:val="607"/>
        </w:trPr>
        <w:tc>
          <w:tcPr>
            <w:tcW w:w="1691" w:type="dxa"/>
            <w:shd w:val="clear" w:color="auto" w:fill="auto"/>
          </w:tcPr>
          <w:p w:rsidR="00CA307F" w:rsidRPr="0005527B" w:rsidRDefault="00CA307F" w:rsidP="002B1D55">
            <w:pPr>
              <w:jc w:val="center"/>
              <w:rPr>
                <w:rFonts w:cstheme="minorHAnsi"/>
                <w:b/>
                <w:bCs/>
                <w:sz w:val="20"/>
                <w:szCs w:val="20"/>
              </w:rPr>
            </w:pPr>
            <w:r w:rsidRPr="0005527B">
              <w:rPr>
                <w:rFonts w:cstheme="minorHAnsi"/>
                <w:b/>
                <w:bCs/>
                <w:sz w:val="20"/>
                <w:szCs w:val="20"/>
              </w:rPr>
              <w:t>Author</w:t>
            </w:r>
          </w:p>
        </w:tc>
        <w:tc>
          <w:tcPr>
            <w:tcW w:w="2427" w:type="dxa"/>
            <w:shd w:val="clear" w:color="auto" w:fill="auto"/>
          </w:tcPr>
          <w:p w:rsidR="00CA307F" w:rsidRPr="0005527B" w:rsidRDefault="00CA307F" w:rsidP="002B1D55">
            <w:pPr>
              <w:jc w:val="center"/>
              <w:rPr>
                <w:rFonts w:cstheme="minorHAnsi"/>
                <w:b/>
                <w:bCs/>
                <w:sz w:val="20"/>
                <w:szCs w:val="20"/>
              </w:rPr>
            </w:pPr>
            <w:r w:rsidRPr="0005527B">
              <w:rPr>
                <w:rFonts w:cstheme="minorHAnsi"/>
                <w:b/>
                <w:bCs/>
                <w:sz w:val="20"/>
                <w:szCs w:val="20"/>
              </w:rPr>
              <w:t>Title</w:t>
            </w:r>
          </w:p>
        </w:tc>
        <w:tc>
          <w:tcPr>
            <w:tcW w:w="2115" w:type="dxa"/>
            <w:shd w:val="clear" w:color="auto" w:fill="auto"/>
          </w:tcPr>
          <w:p w:rsidR="00CA307F" w:rsidRPr="0005527B" w:rsidRDefault="00CA307F" w:rsidP="002B1D55">
            <w:pPr>
              <w:jc w:val="center"/>
              <w:rPr>
                <w:rFonts w:cstheme="minorHAnsi"/>
                <w:b/>
                <w:bCs/>
                <w:sz w:val="20"/>
                <w:szCs w:val="20"/>
              </w:rPr>
            </w:pPr>
            <w:r w:rsidRPr="0005527B">
              <w:rPr>
                <w:rFonts w:cstheme="minorHAnsi"/>
                <w:b/>
                <w:bCs/>
                <w:sz w:val="20"/>
                <w:szCs w:val="20"/>
              </w:rPr>
              <w:t>population</w:t>
            </w:r>
          </w:p>
        </w:tc>
        <w:tc>
          <w:tcPr>
            <w:tcW w:w="2085" w:type="dxa"/>
            <w:shd w:val="clear" w:color="auto" w:fill="auto"/>
          </w:tcPr>
          <w:p w:rsidR="00CA307F" w:rsidRPr="0005527B" w:rsidRDefault="00CA307F" w:rsidP="002B1D55">
            <w:pPr>
              <w:jc w:val="center"/>
              <w:rPr>
                <w:rFonts w:cstheme="minorHAnsi"/>
                <w:b/>
                <w:bCs/>
                <w:sz w:val="20"/>
                <w:szCs w:val="20"/>
              </w:rPr>
            </w:pPr>
            <w:r w:rsidRPr="0005527B">
              <w:rPr>
                <w:rFonts w:cstheme="minorHAnsi"/>
                <w:b/>
                <w:bCs/>
                <w:sz w:val="20"/>
                <w:szCs w:val="20"/>
              </w:rPr>
              <w:t>intervention</w:t>
            </w:r>
          </w:p>
        </w:tc>
        <w:tc>
          <w:tcPr>
            <w:tcW w:w="2093" w:type="dxa"/>
            <w:shd w:val="clear" w:color="auto" w:fill="auto"/>
          </w:tcPr>
          <w:p w:rsidR="00CA307F" w:rsidRPr="0005527B" w:rsidRDefault="00CA307F" w:rsidP="002B1D55">
            <w:pPr>
              <w:jc w:val="center"/>
              <w:rPr>
                <w:rFonts w:cstheme="minorHAnsi"/>
                <w:b/>
                <w:bCs/>
                <w:sz w:val="20"/>
                <w:szCs w:val="20"/>
              </w:rPr>
            </w:pPr>
            <w:r w:rsidRPr="0005527B">
              <w:rPr>
                <w:rFonts w:cstheme="minorHAnsi"/>
                <w:b/>
                <w:bCs/>
                <w:sz w:val="20"/>
                <w:szCs w:val="20"/>
              </w:rPr>
              <w:t>Outcome measurement</w:t>
            </w:r>
          </w:p>
        </w:tc>
        <w:tc>
          <w:tcPr>
            <w:tcW w:w="2539" w:type="dxa"/>
            <w:shd w:val="clear" w:color="auto" w:fill="auto"/>
          </w:tcPr>
          <w:p w:rsidR="00CA307F" w:rsidRPr="0005527B" w:rsidRDefault="00CA307F" w:rsidP="002B1D55">
            <w:pPr>
              <w:jc w:val="center"/>
              <w:rPr>
                <w:rFonts w:cstheme="minorHAnsi"/>
                <w:b/>
                <w:bCs/>
                <w:sz w:val="20"/>
                <w:szCs w:val="20"/>
              </w:rPr>
            </w:pPr>
            <w:r w:rsidRPr="0005527B">
              <w:rPr>
                <w:rFonts w:cstheme="minorHAnsi"/>
                <w:b/>
                <w:bCs/>
                <w:sz w:val="20"/>
                <w:szCs w:val="20"/>
              </w:rPr>
              <w:t>result</w:t>
            </w:r>
          </w:p>
        </w:tc>
      </w:tr>
      <w:tr w:rsidR="00CA307F" w:rsidRPr="0005527B" w:rsidTr="002B1D55">
        <w:trPr>
          <w:trHeight w:val="607"/>
        </w:trPr>
        <w:tc>
          <w:tcPr>
            <w:tcW w:w="1691" w:type="dxa"/>
            <w:shd w:val="clear" w:color="auto" w:fill="auto"/>
          </w:tcPr>
          <w:p w:rsidR="00CA307F" w:rsidRPr="00EA1579" w:rsidRDefault="00CA307F" w:rsidP="002B1D55">
            <w:pPr>
              <w:rPr>
                <w:rFonts w:cstheme="minorHAnsi"/>
                <w:sz w:val="20"/>
                <w:szCs w:val="20"/>
              </w:rPr>
            </w:pPr>
            <w:r>
              <w:rPr>
                <w:rFonts w:cstheme="minorHAnsi"/>
                <w:sz w:val="20"/>
                <w:szCs w:val="20"/>
              </w:rPr>
              <w:t>1. Angkurawaranon 2020</w:t>
            </w:r>
          </w:p>
        </w:tc>
        <w:tc>
          <w:tcPr>
            <w:tcW w:w="2427" w:type="dxa"/>
            <w:shd w:val="clear" w:color="auto" w:fill="auto"/>
          </w:tcPr>
          <w:p w:rsidR="00CA307F" w:rsidRPr="004D4C4B" w:rsidRDefault="00CA307F" w:rsidP="002B1D55">
            <w:pPr>
              <w:rPr>
                <w:rFonts w:cstheme="minorHAnsi"/>
                <w:sz w:val="20"/>
                <w:szCs w:val="20"/>
              </w:rPr>
            </w:pPr>
            <w:r w:rsidRPr="004D4C4B">
              <w:rPr>
                <w:rFonts w:cstheme="minorHAnsi"/>
                <w:sz w:val="20"/>
                <w:szCs w:val="20"/>
              </w:rPr>
              <w:t>Process evaluation protocol of a cluster randomi</w:t>
            </w:r>
            <w:r>
              <w:rPr>
                <w:rFonts w:cstheme="minorHAnsi"/>
                <w:sz w:val="20"/>
                <w:szCs w:val="20"/>
              </w:rPr>
              <w:t>z</w:t>
            </w:r>
            <w:r w:rsidRPr="004D4C4B">
              <w:rPr>
                <w:rFonts w:cstheme="minorHAnsi"/>
                <w:sz w:val="20"/>
                <w:szCs w:val="20"/>
              </w:rPr>
              <w:t>ed trial for a scalable solution for delivery of Diabetes Self-Management Education in Thailand (DSME-T)</w:t>
            </w:r>
          </w:p>
        </w:tc>
        <w:tc>
          <w:tcPr>
            <w:tcW w:w="2115" w:type="dxa"/>
            <w:shd w:val="clear" w:color="auto" w:fill="auto"/>
          </w:tcPr>
          <w:p w:rsidR="00CA307F" w:rsidRPr="004D4C4B" w:rsidRDefault="00CA307F" w:rsidP="002B1D55">
            <w:pPr>
              <w:rPr>
                <w:rFonts w:cstheme="minorHAnsi"/>
                <w:sz w:val="20"/>
                <w:szCs w:val="20"/>
              </w:rPr>
            </w:pPr>
            <w:r>
              <w:rPr>
                <w:rFonts w:cstheme="minorHAnsi"/>
                <w:sz w:val="20"/>
                <w:szCs w:val="20"/>
              </w:rPr>
              <w:t>Patients with diabetes mellitus</w:t>
            </w:r>
          </w:p>
        </w:tc>
        <w:tc>
          <w:tcPr>
            <w:tcW w:w="2085" w:type="dxa"/>
            <w:shd w:val="clear" w:color="auto" w:fill="auto"/>
          </w:tcPr>
          <w:p w:rsidR="00CA307F" w:rsidRDefault="00CA307F" w:rsidP="002B1D55">
            <w:pPr>
              <w:rPr>
                <w:rFonts w:cstheme="minorHAnsi"/>
                <w:b/>
                <w:bCs/>
                <w:sz w:val="20"/>
                <w:szCs w:val="20"/>
              </w:rPr>
            </w:pPr>
            <w:r>
              <w:rPr>
                <w:rFonts w:cstheme="minorHAnsi"/>
                <w:b/>
                <w:bCs/>
                <w:sz w:val="20"/>
                <w:szCs w:val="20"/>
              </w:rPr>
              <w:t>12 months:</w:t>
            </w:r>
          </w:p>
          <w:p w:rsidR="00CA307F" w:rsidRPr="004D4C4B" w:rsidRDefault="00CA307F" w:rsidP="002B1D55">
            <w:pPr>
              <w:rPr>
                <w:rFonts w:cstheme="minorHAnsi"/>
                <w:sz w:val="20"/>
                <w:szCs w:val="20"/>
              </w:rPr>
            </w:pPr>
            <w:r>
              <w:rPr>
                <w:rFonts w:cstheme="minorHAnsi"/>
                <w:sz w:val="20"/>
                <w:szCs w:val="20"/>
              </w:rPr>
              <w:t>- DSME intervention</w:t>
            </w:r>
          </w:p>
        </w:tc>
        <w:tc>
          <w:tcPr>
            <w:tcW w:w="2093" w:type="dxa"/>
            <w:shd w:val="clear" w:color="auto" w:fill="auto"/>
          </w:tcPr>
          <w:p w:rsidR="00CA307F" w:rsidRDefault="00CA307F" w:rsidP="002B1D55">
            <w:pPr>
              <w:rPr>
                <w:rFonts w:cstheme="minorHAnsi"/>
                <w:sz w:val="20"/>
                <w:szCs w:val="20"/>
              </w:rPr>
            </w:pPr>
            <w:r>
              <w:rPr>
                <w:rFonts w:cstheme="minorHAnsi"/>
                <w:sz w:val="20"/>
                <w:szCs w:val="20"/>
              </w:rPr>
              <w:t>- change in HbA1C</w:t>
            </w:r>
          </w:p>
          <w:p w:rsidR="00CA307F" w:rsidRPr="004D4C4B" w:rsidRDefault="00CA307F" w:rsidP="002B1D55">
            <w:pPr>
              <w:rPr>
                <w:rFonts w:cstheme="minorHAnsi"/>
                <w:sz w:val="20"/>
                <w:szCs w:val="20"/>
              </w:rPr>
            </w:pPr>
            <w:r>
              <w:rPr>
                <w:rFonts w:cstheme="minorHAnsi"/>
                <w:sz w:val="20"/>
                <w:szCs w:val="20"/>
              </w:rPr>
              <w:t>- change in cardiovascular risk score</w:t>
            </w:r>
          </w:p>
        </w:tc>
        <w:tc>
          <w:tcPr>
            <w:tcW w:w="2539" w:type="dxa"/>
            <w:shd w:val="clear" w:color="auto" w:fill="auto"/>
          </w:tcPr>
          <w:p w:rsidR="00CA307F" w:rsidRPr="004D4C4B" w:rsidRDefault="00CA307F" w:rsidP="002B1D55">
            <w:pPr>
              <w:rPr>
                <w:rFonts w:cstheme="minorHAnsi"/>
                <w:sz w:val="20"/>
                <w:szCs w:val="20"/>
              </w:rPr>
            </w:pPr>
            <w:r>
              <w:rPr>
                <w:rFonts w:cstheme="minorHAnsi"/>
                <w:sz w:val="20"/>
                <w:szCs w:val="20"/>
              </w:rPr>
              <w:t>(protocol study)</w:t>
            </w:r>
          </w:p>
        </w:tc>
      </w:tr>
      <w:tr w:rsidR="00CA307F" w:rsidRPr="0005527B" w:rsidTr="002B1D55">
        <w:trPr>
          <w:trHeight w:val="607"/>
        </w:trPr>
        <w:tc>
          <w:tcPr>
            <w:tcW w:w="1691" w:type="dxa"/>
            <w:shd w:val="clear" w:color="auto" w:fill="auto"/>
          </w:tcPr>
          <w:p w:rsidR="00CA307F" w:rsidRPr="00EA1579" w:rsidRDefault="00CA307F" w:rsidP="002B1D55">
            <w:pPr>
              <w:rPr>
                <w:rFonts w:cstheme="minorHAnsi"/>
                <w:sz w:val="20"/>
                <w:szCs w:val="20"/>
              </w:rPr>
            </w:pPr>
            <w:r>
              <w:rPr>
                <w:rFonts w:cstheme="minorHAnsi"/>
                <w:sz w:val="20"/>
                <w:szCs w:val="20"/>
              </w:rPr>
              <w:t>2. Mercer 2016</w:t>
            </w:r>
          </w:p>
        </w:tc>
        <w:tc>
          <w:tcPr>
            <w:tcW w:w="2427" w:type="dxa"/>
            <w:shd w:val="clear" w:color="auto" w:fill="auto"/>
          </w:tcPr>
          <w:p w:rsidR="00CA307F" w:rsidRPr="00EA1579" w:rsidRDefault="00CA307F" w:rsidP="002B1D55">
            <w:pPr>
              <w:rPr>
                <w:rFonts w:cstheme="minorHAnsi"/>
                <w:b/>
                <w:bCs/>
                <w:sz w:val="20"/>
                <w:szCs w:val="20"/>
              </w:rPr>
            </w:pPr>
            <w:r w:rsidRPr="00EA1579">
              <w:rPr>
                <w:rFonts w:cstheme="minorHAnsi"/>
                <w:color w:val="000000"/>
                <w:sz w:val="20"/>
                <w:szCs w:val="20"/>
              </w:rPr>
              <w:t xml:space="preserve">The CARE Plus study - a whole-system intervention to improve quality of life of primary care patients with multimorbidity in areas of high socioeconomic deprivation: </w:t>
            </w:r>
            <w:r>
              <w:rPr>
                <w:rFonts w:cstheme="minorHAnsi"/>
                <w:color w:val="000000"/>
                <w:sz w:val="20"/>
                <w:szCs w:val="20"/>
              </w:rPr>
              <w:t xml:space="preserve">an </w:t>
            </w:r>
            <w:r w:rsidRPr="00EA1579">
              <w:rPr>
                <w:rFonts w:cstheme="minorHAnsi"/>
                <w:color w:val="000000"/>
                <w:sz w:val="20"/>
                <w:szCs w:val="20"/>
              </w:rPr>
              <w:t>exploratory cluster randomi</w:t>
            </w:r>
            <w:r>
              <w:rPr>
                <w:rFonts w:cstheme="minorHAnsi"/>
                <w:color w:val="000000"/>
                <w:sz w:val="20"/>
                <w:szCs w:val="20"/>
              </w:rPr>
              <w:t>z</w:t>
            </w:r>
            <w:r w:rsidRPr="00EA1579">
              <w:rPr>
                <w:rFonts w:cstheme="minorHAnsi"/>
                <w:color w:val="000000"/>
                <w:sz w:val="20"/>
                <w:szCs w:val="20"/>
              </w:rPr>
              <w:t>ed controlled trial and cost-utility analysis</w:t>
            </w:r>
          </w:p>
        </w:tc>
        <w:tc>
          <w:tcPr>
            <w:tcW w:w="2115" w:type="dxa"/>
            <w:shd w:val="clear" w:color="auto" w:fill="auto"/>
          </w:tcPr>
          <w:p w:rsidR="00CA307F" w:rsidRPr="00EA1579" w:rsidRDefault="00CA307F" w:rsidP="002B1D55">
            <w:pPr>
              <w:rPr>
                <w:rFonts w:cstheme="minorHAnsi"/>
                <w:b/>
                <w:bCs/>
                <w:sz w:val="20"/>
                <w:szCs w:val="20"/>
              </w:rPr>
            </w:pPr>
            <w:r w:rsidRPr="00EA1579">
              <w:rPr>
                <w:rFonts w:cstheme="minorHAnsi"/>
                <w:color w:val="000000"/>
                <w:sz w:val="20"/>
                <w:szCs w:val="20"/>
              </w:rPr>
              <w:t>aged between 30 and 65 years and had two or more long-term conditions.</w:t>
            </w:r>
          </w:p>
        </w:tc>
        <w:tc>
          <w:tcPr>
            <w:tcW w:w="2085" w:type="dxa"/>
            <w:shd w:val="clear" w:color="auto" w:fill="auto"/>
          </w:tcPr>
          <w:p w:rsidR="00CA307F" w:rsidRPr="004D4C4B" w:rsidRDefault="00CA307F" w:rsidP="002B1D55">
            <w:pPr>
              <w:pStyle w:val="NormalWeb"/>
              <w:spacing w:before="0" w:beforeAutospacing="0" w:after="0" w:afterAutospacing="0"/>
              <w:rPr>
                <w:rFonts w:asciiTheme="minorHAnsi" w:hAnsiTheme="minorHAnsi" w:cstheme="minorHAnsi"/>
                <w:b/>
                <w:bCs/>
                <w:color w:val="000000"/>
                <w:sz w:val="20"/>
                <w:szCs w:val="20"/>
              </w:rPr>
            </w:pPr>
            <w:r w:rsidRPr="004D4C4B">
              <w:rPr>
                <w:rFonts w:asciiTheme="minorHAnsi" w:hAnsiTheme="minorHAnsi" w:cstheme="minorHAnsi"/>
                <w:b/>
                <w:bCs/>
                <w:color w:val="000000"/>
                <w:sz w:val="20"/>
                <w:szCs w:val="20"/>
              </w:rPr>
              <w:t>12-month:</w:t>
            </w:r>
          </w:p>
          <w:p w:rsidR="00CA307F" w:rsidRPr="00EA1579" w:rsidRDefault="00CA307F" w:rsidP="002B1D55">
            <w:pPr>
              <w:rPr>
                <w:rFonts w:cstheme="minorHAnsi"/>
                <w:b/>
                <w:bCs/>
                <w:sz w:val="20"/>
                <w:szCs w:val="20"/>
              </w:rPr>
            </w:pPr>
            <w:r w:rsidRPr="00EA1579">
              <w:rPr>
                <w:rFonts w:cstheme="minorHAnsi"/>
                <w:color w:val="000000"/>
                <w:sz w:val="20"/>
                <w:szCs w:val="20"/>
              </w:rPr>
              <w:t>- structured longer consultations</w:t>
            </w:r>
            <w:r w:rsidRPr="00EA1579">
              <w:rPr>
                <w:rFonts w:cstheme="minorHAnsi"/>
                <w:color w:val="000000"/>
                <w:sz w:val="20"/>
                <w:szCs w:val="20"/>
              </w:rPr>
              <w:br/>
              <w:t>- relationship continuity</w:t>
            </w:r>
            <w:r w:rsidRPr="00EA1579">
              <w:rPr>
                <w:rFonts w:cstheme="minorHAnsi"/>
                <w:color w:val="000000"/>
                <w:sz w:val="20"/>
                <w:szCs w:val="20"/>
              </w:rPr>
              <w:br/>
              <w:t>- practitioner support</w:t>
            </w:r>
            <w:r w:rsidRPr="00EA1579">
              <w:rPr>
                <w:rFonts w:cstheme="minorHAnsi"/>
                <w:color w:val="000000"/>
                <w:sz w:val="20"/>
                <w:szCs w:val="20"/>
              </w:rPr>
              <w:br/>
              <w:t>- self-management support</w:t>
            </w:r>
          </w:p>
        </w:tc>
        <w:tc>
          <w:tcPr>
            <w:tcW w:w="2093" w:type="dxa"/>
            <w:shd w:val="clear" w:color="auto" w:fill="auto"/>
          </w:tcPr>
          <w:p w:rsidR="00CA307F" w:rsidRPr="00EA1579" w:rsidRDefault="00CA307F" w:rsidP="002B1D55">
            <w:pPr>
              <w:rPr>
                <w:rFonts w:cstheme="minorHAnsi"/>
                <w:b/>
                <w:bCs/>
                <w:sz w:val="20"/>
                <w:szCs w:val="20"/>
              </w:rPr>
            </w:pPr>
            <w:r w:rsidRPr="00EA1579">
              <w:rPr>
                <w:rFonts w:cstheme="minorHAnsi"/>
                <w:color w:val="000000"/>
                <w:sz w:val="20"/>
                <w:szCs w:val="20"/>
              </w:rPr>
              <w:t xml:space="preserve">- quality of life (EQ-5D-5L utility scores) </w:t>
            </w:r>
            <w:r w:rsidRPr="00EA1579">
              <w:rPr>
                <w:rFonts w:cstheme="minorHAnsi"/>
                <w:color w:val="000000"/>
                <w:sz w:val="20"/>
                <w:szCs w:val="20"/>
              </w:rPr>
              <w:br/>
              <w:t>- well-being (W-BQ12; 3 domains)</w:t>
            </w:r>
            <w:r w:rsidRPr="00EA1579">
              <w:rPr>
                <w:rFonts w:cstheme="minorHAnsi"/>
                <w:color w:val="000000"/>
                <w:sz w:val="20"/>
                <w:szCs w:val="20"/>
              </w:rPr>
              <w:br/>
              <w:t>- Cost-effectiveness</w:t>
            </w:r>
          </w:p>
        </w:tc>
        <w:tc>
          <w:tcPr>
            <w:tcW w:w="2539" w:type="dxa"/>
            <w:shd w:val="clear" w:color="auto" w:fill="auto"/>
          </w:tcPr>
          <w:p w:rsidR="00CA307F" w:rsidRPr="00EA1579" w:rsidRDefault="00CA307F" w:rsidP="002B1D55">
            <w:pPr>
              <w:pStyle w:val="NormalWeb"/>
              <w:spacing w:before="0" w:beforeAutospacing="0" w:after="0" w:afterAutospacing="0"/>
              <w:rPr>
                <w:rFonts w:asciiTheme="minorHAnsi" w:hAnsiTheme="minorHAnsi" w:cstheme="minorHAnsi"/>
                <w:color w:val="000000"/>
                <w:sz w:val="20"/>
                <w:szCs w:val="20"/>
              </w:rPr>
            </w:pPr>
            <w:r w:rsidRPr="00EA1579">
              <w:rPr>
                <w:rFonts w:asciiTheme="minorHAnsi" w:hAnsiTheme="minorHAnsi" w:cstheme="minorHAnsi"/>
                <w:color w:val="000000"/>
                <w:sz w:val="20"/>
                <w:szCs w:val="20"/>
              </w:rPr>
              <w:t xml:space="preserve">- </w:t>
            </w:r>
            <w:r w:rsidRPr="00EA1579">
              <w:rPr>
                <w:rFonts w:asciiTheme="minorHAnsi" w:hAnsiTheme="minorHAnsi" w:cstheme="minorHAnsi"/>
                <w:sz w:val="20"/>
                <w:szCs w:val="20"/>
                <w:cs/>
              </w:rPr>
              <w:t>↑</w:t>
            </w:r>
            <w:r w:rsidRPr="00EA1579">
              <w:rPr>
                <w:rFonts w:asciiTheme="minorHAnsi" w:hAnsiTheme="minorHAnsi" w:cstheme="minorHAnsi"/>
                <w:sz w:val="20"/>
                <w:szCs w:val="20"/>
              </w:rPr>
              <w:t xml:space="preserve"> negative </w:t>
            </w:r>
            <w:r w:rsidRPr="00EA1579">
              <w:rPr>
                <w:rFonts w:asciiTheme="minorHAnsi" w:hAnsiTheme="minorHAnsi" w:cstheme="minorHAnsi"/>
                <w:color w:val="000000"/>
                <w:sz w:val="20"/>
                <w:szCs w:val="20"/>
              </w:rPr>
              <w:t>well-being</w:t>
            </w:r>
          </w:p>
          <w:p w:rsidR="00CA307F" w:rsidRPr="00EA1579" w:rsidRDefault="00CA307F" w:rsidP="002B1D55">
            <w:pPr>
              <w:rPr>
                <w:rFonts w:cstheme="minorHAnsi"/>
                <w:b/>
                <w:bCs/>
                <w:sz w:val="20"/>
                <w:szCs w:val="20"/>
              </w:rPr>
            </w:pPr>
            <w:r w:rsidRPr="00EA1579">
              <w:rPr>
                <w:rFonts w:cstheme="minorHAnsi"/>
                <w:color w:val="000000"/>
                <w:sz w:val="20"/>
                <w:szCs w:val="20"/>
              </w:rPr>
              <w:t xml:space="preserve">- </w:t>
            </w:r>
            <w:r w:rsidRPr="00EA1579">
              <w:rPr>
                <w:rFonts w:cstheme="minorHAnsi"/>
                <w:sz w:val="20"/>
                <w:szCs w:val="20"/>
                <w:cs/>
              </w:rPr>
              <w:t>↑</w:t>
            </w:r>
            <w:r w:rsidRPr="00EA1579">
              <w:rPr>
                <w:rFonts w:cstheme="minorHAnsi"/>
                <w:sz w:val="20"/>
                <w:szCs w:val="20"/>
              </w:rPr>
              <w:t xml:space="preserve"> </w:t>
            </w:r>
            <w:r w:rsidRPr="00EA1579">
              <w:rPr>
                <w:rFonts w:cstheme="minorHAnsi"/>
                <w:color w:val="000000"/>
                <w:sz w:val="20"/>
                <w:szCs w:val="20"/>
              </w:rPr>
              <w:t>quality of life</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t xml:space="preserve">3. </w:t>
            </w:r>
            <w:r w:rsidRPr="0005527B">
              <w:rPr>
                <w:rFonts w:cstheme="minorHAnsi"/>
                <w:sz w:val="20"/>
                <w:szCs w:val="20"/>
              </w:rPr>
              <w:t xml:space="preserve">Boult 2011 </w:t>
            </w:r>
          </w:p>
        </w:tc>
        <w:tc>
          <w:tcPr>
            <w:tcW w:w="2427" w:type="dxa"/>
            <w:shd w:val="clear" w:color="auto" w:fill="auto"/>
          </w:tcPr>
          <w:p w:rsidR="00CA307F" w:rsidRPr="0005527B" w:rsidRDefault="00CA307F" w:rsidP="002B1D55">
            <w:pPr>
              <w:rPr>
                <w:rFonts w:cstheme="minorHAnsi"/>
                <w:sz w:val="20"/>
                <w:szCs w:val="20"/>
              </w:rPr>
            </w:pPr>
            <w:r w:rsidRPr="0005527B">
              <w:rPr>
                <w:rFonts w:cstheme="minorHAnsi"/>
                <w:sz w:val="20"/>
                <w:szCs w:val="20"/>
              </w:rPr>
              <w:t>The effect of guided care teams on the use of health services: results from a cluster-randomized controlled trial.</w:t>
            </w:r>
          </w:p>
        </w:tc>
        <w:tc>
          <w:tcPr>
            <w:tcW w:w="2115" w:type="dxa"/>
            <w:shd w:val="clear" w:color="auto" w:fill="auto"/>
          </w:tcPr>
          <w:p w:rsidR="00CA307F" w:rsidRPr="0005527B" w:rsidRDefault="00CA307F" w:rsidP="002B1D55">
            <w:pPr>
              <w:rPr>
                <w:rFonts w:cstheme="minorHAnsi"/>
                <w:sz w:val="20"/>
                <w:szCs w:val="20"/>
              </w:rPr>
            </w:pPr>
            <w:r>
              <w:rPr>
                <w:rFonts w:cstheme="minorHAnsi"/>
                <w:sz w:val="20"/>
                <w:szCs w:val="20"/>
              </w:rPr>
              <w:t>Patients who were ≥</w:t>
            </w:r>
            <w:r w:rsidRPr="00443B1C">
              <w:rPr>
                <w:rFonts w:cstheme="minorHAnsi"/>
                <w:sz w:val="20"/>
                <w:szCs w:val="20"/>
              </w:rPr>
              <w:t xml:space="preserve">65 years and at high risk of using health services heavily during the following </w:t>
            </w:r>
            <w:r>
              <w:rPr>
                <w:rFonts w:cstheme="minorHAnsi"/>
                <w:sz w:val="20"/>
                <w:szCs w:val="20"/>
              </w:rPr>
              <w:t>period</w:t>
            </w:r>
          </w:p>
        </w:tc>
        <w:tc>
          <w:tcPr>
            <w:tcW w:w="2085" w:type="dxa"/>
            <w:shd w:val="clear" w:color="auto" w:fill="auto"/>
          </w:tcPr>
          <w:p w:rsidR="00CA307F" w:rsidRPr="004D4C4B" w:rsidRDefault="00CA307F" w:rsidP="002B1D55">
            <w:pPr>
              <w:rPr>
                <w:rFonts w:cstheme="minorHAnsi"/>
                <w:b/>
                <w:bCs/>
                <w:sz w:val="20"/>
                <w:szCs w:val="20"/>
              </w:rPr>
            </w:pPr>
            <w:r w:rsidRPr="004D4C4B">
              <w:rPr>
                <w:rFonts w:cstheme="minorHAnsi"/>
                <w:b/>
                <w:bCs/>
                <w:sz w:val="20"/>
                <w:szCs w:val="20"/>
              </w:rPr>
              <w:t xml:space="preserve">18 months: </w:t>
            </w:r>
          </w:p>
          <w:p w:rsidR="00CA307F" w:rsidRPr="0005527B" w:rsidRDefault="00CA307F" w:rsidP="002B1D55">
            <w:pPr>
              <w:rPr>
                <w:rFonts w:cstheme="minorHAnsi"/>
                <w:sz w:val="20"/>
                <w:szCs w:val="20"/>
              </w:rPr>
            </w:pPr>
            <w:r w:rsidRPr="0005527B">
              <w:rPr>
                <w:rFonts w:cstheme="minorHAnsi"/>
                <w:sz w:val="20"/>
                <w:szCs w:val="20"/>
              </w:rPr>
              <w:t>-“Guide Care” program (home assessment, individual management plan, self-management coach) VS usual care</w:t>
            </w:r>
          </w:p>
        </w:tc>
        <w:tc>
          <w:tcPr>
            <w:tcW w:w="2093" w:type="dxa"/>
            <w:shd w:val="clear" w:color="auto" w:fill="auto"/>
          </w:tcPr>
          <w:p w:rsidR="00CA307F" w:rsidRPr="0005527B" w:rsidRDefault="00CA307F" w:rsidP="002B1D55">
            <w:pPr>
              <w:rPr>
                <w:rFonts w:cstheme="minorHAnsi"/>
                <w:sz w:val="20"/>
                <w:szCs w:val="20"/>
              </w:rPr>
            </w:pPr>
            <w:r w:rsidRPr="0005527B">
              <w:rPr>
                <w:rFonts w:cstheme="minorHAnsi"/>
                <w:sz w:val="20"/>
                <w:szCs w:val="20"/>
              </w:rPr>
              <w:t xml:space="preserve">- Health </w:t>
            </w:r>
            <w:r>
              <w:rPr>
                <w:rFonts w:cstheme="minorHAnsi"/>
                <w:sz w:val="20"/>
                <w:szCs w:val="20"/>
              </w:rPr>
              <w:t>services</w:t>
            </w:r>
            <w:r w:rsidRPr="0005527B">
              <w:rPr>
                <w:rFonts w:cstheme="minorHAnsi"/>
                <w:sz w:val="20"/>
                <w:szCs w:val="20"/>
              </w:rPr>
              <w:t xml:space="preserve"> use hospital admissions</w:t>
            </w:r>
          </w:p>
          <w:p w:rsidR="00CA307F" w:rsidRPr="0005527B" w:rsidRDefault="00CA307F" w:rsidP="002B1D55">
            <w:pPr>
              <w:rPr>
                <w:rFonts w:cstheme="minorHAnsi"/>
                <w:sz w:val="20"/>
                <w:szCs w:val="20"/>
              </w:rPr>
            </w:pPr>
            <w:r w:rsidRPr="0005527B">
              <w:rPr>
                <w:rFonts w:cstheme="minorHAnsi"/>
                <w:sz w:val="20"/>
                <w:szCs w:val="20"/>
              </w:rPr>
              <w:t>- nursing facility use, visits, home health care</w:t>
            </w:r>
          </w:p>
          <w:p w:rsidR="00CA307F" w:rsidRPr="0005527B" w:rsidRDefault="00CA307F" w:rsidP="002B1D55">
            <w:pPr>
              <w:rPr>
                <w:rFonts w:cstheme="minorHAnsi"/>
                <w:sz w:val="20"/>
                <w:szCs w:val="20"/>
              </w:rPr>
            </w:pPr>
            <w:r w:rsidRPr="0005527B">
              <w:rPr>
                <w:rFonts w:cstheme="minorHAnsi"/>
                <w:sz w:val="20"/>
                <w:szCs w:val="20"/>
              </w:rPr>
              <w:t>- quality of chronic care (PACIC score)</w:t>
            </w:r>
          </w:p>
        </w:tc>
        <w:tc>
          <w:tcPr>
            <w:tcW w:w="2539" w:type="dxa"/>
            <w:shd w:val="clear" w:color="auto" w:fill="auto"/>
          </w:tcPr>
          <w:p w:rsidR="00CA307F" w:rsidRPr="0005527B" w:rsidRDefault="00CA307F" w:rsidP="002B1D55">
            <w:pPr>
              <w:rPr>
                <w:rFonts w:cstheme="minorHAnsi"/>
                <w:sz w:val="20"/>
                <w:szCs w:val="20"/>
              </w:rPr>
            </w:pPr>
            <w:r w:rsidRPr="0005527B">
              <w:rPr>
                <w:rFonts w:cstheme="minorHAnsi"/>
                <w:sz w:val="20"/>
                <w:szCs w:val="20"/>
              </w:rPr>
              <w:t>Intervention group:</w:t>
            </w:r>
          </w:p>
          <w:p w:rsidR="00CA307F" w:rsidRPr="0005527B" w:rsidRDefault="00CA307F" w:rsidP="002B1D55">
            <w:pPr>
              <w:rPr>
                <w:rFonts w:cstheme="minorHAnsi"/>
                <w:sz w:val="20"/>
                <w:szCs w:val="20"/>
              </w:rPr>
            </w:pPr>
            <w:r w:rsidRPr="0005527B">
              <w:rPr>
                <w:rFonts w:cstheme="minorHAnsi"/>
                <w:sz w:val="20"/>
                <w:szCs w:val="20"/>
              </w:rPr>
              <w:t xml:space="preserve">- </w:t>
            </w:r>
            <w:r>
              <w:rPr>
                <w:rFonts w:cstheme="minorHAnsi"/>
                <w:sz w:val="20"/>
                <w:szCs w:val="20"/>
              </w:rPr>
              <w:t xml:space="preserve">a </w:t>
            </w:r>
            <w:r w:rsidRPr="0005527B">
              <w:rPr>
                <w:rFonts w:cstheme="minorHAnsi"/>
                <w:sz w:val="20"/>
                <w:szCs w:val="20"/>
              </w:rPr>
              <w:t>higher 30-day hospital readmission</w:t>
            </w:r>
          </w:p>
          <w:p w:rsidR="00CA307F" w:rsidRPr="0005527B" w:rsidRDefault="00CA307F" w:rsidP="002B1D55">
            <w:pPr>
              <w:rPr>
                <w:rFonts w:cstheme="minorHAnsi"/>
                <w:sz w:val="20"/>
                <w:szCs w:val="20"/>
              </w:rPr>
            </w:pPr>
            <w:r w:rsidRPr="0005527B">
              <w:rPr>
                <w:rFonts w:cstheme="minorHAnsi"/>
                <w:sz w:val="20"/>
                <w:szCs w:val="20"/>
              </w:rPr>
              <w:t>- lower hospital day</w:t>
            </w:r>
          </w:p>
          <w:p w:rsidR="00CA307F" w:rsidRPr="0005527B" w:rsidRDefault="00CA307F" w:rsidP="002B1D55">
            <w:pPr>
              <w:rPr>
                <w:rFonts w:cstheme="minorHAnsi"/>
                <w:sz w:val="20"/>
                <w:szCs w:val="20"/>
              </w:rPr>
            </w:pPr>
            <w:r w:rsidRPr="0005527B">
              <w:rPr>
                <w:rFonts w:cstheme="minorHAnsi"/>
                <w:sz w:val="20"/>
                <w:szCs w:val="20"/>
              </w:rPr>
              <w:t xml:space="preserve">- lower ER visit  </w:t>
            </w:r>
          </w:p>
          <w:p w:rsidR="00CA307F" w:rsidRPr="0005527B" w:rsidRDefault="00CA307F" w:rsidP="002B1D55">
            <w:pPr>
              <w:rPr>
                <w:rFonts w:cstheme="minorHAnsi"/>
                <w:sz w:val="20"/>
                <w:szCs w:val="20"/>
              </w:rPr>
            </w:pPr>
            <w:r w:rsidRPr="0005527B">
              <w:rPr>
                <w:rFonts w:cstheme="minorHAnsi"/>
                <w:sz w:val="20"/>
                <w:szCs w:val="20"/>
              </w:rPr>
              <w:t>- higher specialty care visit</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lower PACIC score</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t xml:space="preserve">4. </w:t>
            </w:r>
            <w:r w:rsidRPr="0005527B">
              <w:rPr>
                <w:rFonts w:cstheme="minorHAnsi"/>
                <w:sz w:val="20"/>
                <w:szCs w:val="20"/>
              </w:rPr>
              <w:t>Hogg 2008</w:t>
            </w:r>
          </w:p>
        </w:tc>
        <w:tc>
          <w:tcPr>
            <w:tcW w:w="2427" w:type="dxa"/>
            <w:shd w:val="clear" w:color="auto" w:fill="auto"/>
          </w:tcPr>
          <w:p w:rsidR="00CA307F" w:rsidRPr="0005527B" w:rsidRDefault="00CA307F" w:rsidP="002B1D55">
            <w:pPr>
              <w:rPr>
                <w:rFonts w:cstheme="minorHAnsi"/>
                <w:sz w:val="20"/>
                <w:szCs w:val="20"/>
              </w:rPr>
            </w:pPr>
            <w:r w:rsidRPr="0005527B">
              <w:rPr>
                <w:rFonts w:cstheme="minorHAnsi"/>
                <w:sz w:val="20"/>
                <w:szCs w:val="20"/>
              </w:rPr>
              <w:t>Improving prevention in primary care: evaluating the sustainability of outreach facilitation.</w:t>
            </w:r>
          </w:p>
        </w:tc>
        <w:tc>
          <w:tcPr>
            <w:tcW w:w="2115" w:type="dxa"/>
            <w:shd w:val="clear" w:color="auto" w:fill="auto"/>
          </w:tcPr>
          <w:p w:rsidR="00CA307F" w:rsidRPr="0005527B" w:rsidRDefault="00CA307F" w:rsidP="002B1D55">
            <w:pPr>
              <w:rPr>
                <w:rFonts w:cstheme="minorHAnsi"/>
                <w:sz w:val="20"/>
                <w:szCs w:val="20"/>
              </w:rPr>
            </w:pPr>
            <w:r>
              <w:rPr>
                <w:rFonts w:cstheme="minorHAnsi"/>
                <w:sz w:val="20"/>
                <w:szCs w:val="20"/>
              </w:rPr>
              <w:t>Population of primary care practices</w:t>
            </w:r>
          </w:p>
        </w:tc>
        <w:tc>
          <w:tcPr>
            <w:tcW w:w="2085" w:type="dxa"/>
            <w:shd w:val="clear" w:color="auto" w:fill="auto"/>
          </w:tcPr>
          <w:p w:rsidR="00CA307F" w:rsidRPr="001C55AB" w:rsidRDefault="00CA307F" w:rsidP="002B1D55">
            <w:pPr>
              <w:rPr>
                <w:rFonts w:cstheme="minorHAnsi"/>
                <w:b/>
                <w:bCs/>
                <w:sz w:val="20"/>
                <w:szCs w:val="20"/>
              </w:rPr>
            </w:pPr>
            <w:r w:rsidRPr="001C55AB">
              <w:rPr>
                <w:rFonts w:cstheme="minorHAnsi"/>
                <w:b/>
                <w:bCs/>
                <w:sz w:val="20"/>
                <w:szCs w:val="20"/>
              </w:rPr>
              <w:t>15 months:</w:t>
            </w:r>
          </w:p>
          <w:p w:rsidR="00CA307F" w:rsidRPr="0005527B" w:rsidRDefault="00CA307F" w:rsidP="002B1D55">
            <w:pPr>
              <w:rPr>
                <w:rFonts w:cstheme="minorHAnsi"/>
                <w:sz w:val="20"/>
                <w:szCs w:val="20"/>
              </w:rPr>
            </w:pPr>
            <w:r w:rsidRPr="0005527B">
              <w:rPr>
                <w:rFonts w:cstheme="minorHAnsi"/>
                <w:sz w:val="20"/>
                <w:szCs w:val="20"/>
              </w:rPr>
              <w:t>- enhanced multidisciplinary team with structured home visit</w:t>
            </w:r>
          </w:p>
          <w:p w:rsidR="00CA307F" w:rsidRPr="0005527B" w:rsidRDefault="00CA307F" w:rsidP="002B1D55">
            <w:pPr>
              <w:rPr>
                <w:rFonts w:cstheme="minorHAnsi"/>
                <w:sz w:val="20"/>
                <w:szCs w:val="20"/>
              </w:rPr>
            </w:pPr>
            <w:r w:rsidRPr="0005527B">
              <w:rPr>
                <w:rFonts w:cstheme="minorHAnsi"/>
                <w:sz w:val="20"/>
                <w:szCs w:val="20"/>
              </w:rPr>
              <w:t>- drug review</w:t>
            </w:r>
          </w:p>
          <w:p w:rsidR="00CA307F" w:rsidRPr="0005527B" w:rsidRDefault="00CA307F" w:rsidP="002B1D55">
            <w:pPr>
              <w:rPr>
                <w:rFonts w:cstheme="minorHAnsi"/>
                <w:sz w:val="20"/>
                <w:szCs w:val="20"/>
              </w:rPr>
            </w:pPr>
            <w:r w:rsidRPr="0005527B">
              <w:rPr>
                <w:rFonts w:cstheme="minorHAnsi"/>
                <w:sz w:val="20"/>
                <w:szCs w:val="20"/>
              </w:rPr>
              <w:t>- patient care plan</w:t>
            </w:r>
          </w:p>
        </w:tc>
        <w:tc>
          <w:tcPr>
            <w:tcW w:w="2093" w:type="dxa"/>
            <w:shd w:val="clear" w:color="auto" w:fill="auto"/>
          </w:tcPr>
          <w:p w:rsidR="00CA307F" w:rsidRPr="0005527B" w:rsidRDefault="00CA307F" w:rsidP="002B1D55">
            <w:pPr>
              <w:rPr>
                <w:rFonts w:cstheme="minorHAnsi"/>
                <w:sz w:val="20"/>
                <w:szCs w:val="20"/>
              </w:rPr>
            </w:pPr>
            <w:r>
              <w:rPr>
                <w:rFonts w:cstheme="minorHAnsi"/>
                <w:sz w:val="20"/>
                <w:szCs w:val="20"/>
              </w:rPr>
              <w:t xml:space="preserve">% Appropriated management in each grade </w:t>
            </w:r>
            <w:r w:rsidRPr="0005527B">
              <w:rPr>
                <w:rFonts w:cstheme="minorHAnsi"/>
                <w:sz w:val="20"/>
                <w:szCs w:val="20"/>
              </w:rPr>
              <w:t xml:space="preserve"> </w:t>
            </w:r>
          </w:p>
          <w:p w:rsidR="00CA307F" w:rsidRPr="0005527B" w:rsidRDefault="00CA307F" w:rsidP="002B1D55">
            <w:pPr>
              <w:rPr>
                <w:rFonts w:cstheme="minorHAnsi"/>
                <w:sz w:val="20"/>
                <w:szCs w:val="20"/>
              </w:rPr>
            </w:pPr>
          </w:p>
        </w:tc>
        <w:tc>
          <w:tcPr>
            <w:tcW w:w="2539" w:type="dxa"/>
            <w:shd w:val="clear" w:color="auto" w:fill="auto"/>
          </w:tcPr>
          <w:p w:rsidR="00CA307F" w:rsidRPr="0005527B" w:rsidRDefault="00CA307F" w:rsidP="002B1D55">
            <w:pPr>
              <w:autoSpaceDE w:val="0"/>
              <w:autoSpaceDN w:val="0"/>
              <w:adjustRightInd w:val="0"/>
              <w:rPr>
                <w:rFonts w:cstheme="minorHAnsi"/>
                <w:sz w:val="20"/>
                <w:szCs w:val="20"/>
              </w:rPr>
            </w:pPr>
            <w:r>
              <w:rPr>
                <w:rFonts w:cstheme="minorHAnsi"/>
                <w:sz w:val="20"/>
                <w:szCs w:val="20"/>
              </w:rPr>
              <w:t>Significant increase inappropriate delivery and reduction in inappropriate</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t xml:space="preserve">5. </w:t>
            </w:r>
            <w:proofErr w:type="spellStart"/>
            <w:r w:rsidRPr="0005527B">
              <w:rPr>
                <w:rFonts w:cstheme="minorHAnsi"/>
                <w:sz w:val="20"/>
                <w:szCs w:val="20"/>
              </w:rPr>
              <w:t>Katon</w:t>
            </w:r>
            <w:proofErr w:type="spellEnd"/>
            <w:r w:rsidRPr="0005527B">
              <w:rPr>
                <w:rFonts w:cstheme="minorHAnsi"/>
                <w:sz w:val="20"/>
                <w:szCs w:val="20"/>
              </w:rPr>
              <w:t xml:space="preserve"> 2010 </w:t>
            </w:r>
          </w:p>
        </w:tc>
        <w:tc>
          <w:tcPr>
            <w:tcW w:w="2427" w:type="dxa"/>
            <w:shd w:val="clear" w:color="auto" w:fill="auto"/>
          </w:tcPr>
          <w:p w:rsidR="00CA307F" w:rsidRPr="0005527B" w:rsidRDefault="00CA307F" w:rsidP="002B1D55">
            <w:pPr>
              <w:rPr>
                <w:rFonts w:cstheme="minorHAnsi"/>
                <w:sz w:val="20"/>
                <w:szCs w:val="20"/>
              </w:rPr>
            </w:pPr>
            <w:r w:rsidRPr="0005527B">
              <w:rPr>
                <w:rFonts w:cstheme="minorHAnsi"/>
                <w:sz w:val="20"/>
                <w:szCs w:val="20"/>
              </w:rPr>
              <w:t>Collaborative care for patients with depression and chronic illnesses</w:t>
            </w:r>
          </w:p>
        </w:tc>
        <w:tc>
          <w:tcPr>
            <w:tcW w:w="2115" w:type="dxa"/>
            <w:shd w:val="clear" w:color="auto" w:fill="auto"/>
          </w:tcPr>
          <w:p w:rsidR="00CA307F" w:rsidRPr="0005527B" w:rsidRDefault="00CA307F" w:rsidP="002B1D55">
            <w:pPr>
              <w:rPr>
                <w:rFonts w:cstheme="minorHAnsi"/>
                <w:sz w:val="20"/>
                <w:szCs w:val="20"/>
              </w:rPr>
            </w:pPr>
            <w:proofErr w:type="spellStart"/>
            <w:r w:rsidRPr="0005527B">
              <w:rPr>
                <w:rFonts w:cstheme="minorHAnsi"/>
                <w:sz w:val="20"/>
                <w:szCs w:val="20"/>
              </w:rPr>
              <w:t>Depression+DM</w:t>
            </w:r>
            <w:proofErr w:type="spellEnd"/>
            <w:r w:rsidRPr="0005527B">
              <w:rPr>
                <w:rFonts w:cstheme="minorHAnsi"/>
                <w:sz w:val="20"/>
                <w:szCs w:val="20"/>
              </w:rPr>
              <w:t>/CAD</w:t>
            </w:r>
          </w:p>
        </w:tc>
        <w:tc>
          <w:tcPr>
            <w:tcW w:w="2085" w:type="dxa"/>
            <w:shd w:val="clear" w:color="auto" w:fill="auto"/>
          </w:tcPr>
          <w:p w:rsidR="00CA307F" w:rsidRPr="001C55AB" w:rsidRDefault="00CA307F" w:rsidP="002B1D55">
            <w:pPr>
              <w:rPr>
                <w:rFonts w:cstheme="minorHAnsi"/>
                <w:b/>
                <w:bCs/>
                <w:sz w:val="20"/>
                <w:szCs w:val="20"/>
              </w:rPr>
            </w:pPr>
            <w:r w:rsidRPr="001C55AB">
              <w:rPr>
                <w:rFonts w:cstheme="minorHAnsi"/>
                <w:b/>
                <w:bCs/>
                <w:sz w:val="20"/>
                <w:szCs w:val="20"/>
              </w:rPr>
              <w:t>12 months:</w:t>
            </w:r>
          </w:p>
          <w:p w:rsidR="00CA307F" w:rsidRPr="0005527B" w:rsidRDefault="00CA307F" w:rsidP="002B1D55">
            <w:pPr>
              <w:rPr>
                <w:rFonts w:cstheme="minorHAnsi"/>
                <w:sz w:val="20"/>
                <w:szCs w:val="20"/>
              </w:rPr>
            </w:pPr>
            <w:r w:rsidRPr="0005527B">
              <w:rPr>
                <w:rFonts w:cstheme="minorHAnsi"/>
                <w:sz w:val="20"/>
                <w:szCs w:val="20"/>
              </w:rPr>
              <w:t>- team care nurse</w:t>
            </w:r>
          </w:p>
          <w:p w:rsidR="00CA307F" w:rsidRPr="0005527B" w:rsidRDefault="00CA307F" w:rsidP="002B1D55">
            <w:pPr>
              <w:rPr>
                <w:rFonts w:cstheme="minorHAnsi"/>
                <w:sz w:val="20"/>
                <w:szCs w:val="20"/>
              </w:rPr>
            </w:pPr>
            <w:r w:rsidRPr="0005527B">
              <w:rPr>
                <w:rFonts w:cstheme="minorHAnsi"/>
                <w:sz w:val="20"/>
                <w:szCs w:val="20"/>
              </w:rPr>
              <w:t>- structured visited</w:t>
            </w:r>
          </w:p>
          <w:p w:rsidR="00CA307F" w:rsidRPr="0005527B" w:rsidRDefault="00CA307F" w:rsidP="002B1D55">
            <w:pPr>
              <w:rPr>
                <w:rFonts w:cstheme="minorHAnsi"/>
                <w:sz w:val="20"/>
                <w:szCs w:val="20"/>
              </w:rPr>
            </w:pPr>
            <w:r w:rsidRPr="0005527B">
              <w:rPr>
                <w:rFonts w:cstheme="minorHAnsi"/>
                <w:sz w:val="20"/>
                <w:szCs w:val="20"/>
              </w:rPr>
              <w:lastRenderedPageBreak/>
              <w:t>- patient care plan</w:t>
            </w:r>
          </w:p>
          <w:p w:rsidR="00CA307F" w:rsidRPr="0005527B" w:rsidRDefault="00CA307F" w:rsidP="002B1D55">
            <w:pPr>
              <w:rPr>
                <w:rFonts w:cstheme="minorHAnsi"/>
                <w:sz w:val="20"/>
                <w:szCs w:val="20"/>
              </w:rPr>
            </w:pPr>
            <w:r w:rsidRPr="0005527B">
              <w:rPr>
                <w:rFonts w:cstheme="minorHAnsi"/>
                <w:sz w:val="20"/>
                <w:szCs w:val="20"/>
              </w:rPr>
              <w:t>- treatment target</w:t>
            </w:r>
          </w:p>
          <w:p w:rsidR="00CA307F" w:rsidRPr="0005527B" w:rsidRDefault="00CA307F" w:rsidP="002B1D55">
            <w:pPr>
              <w:rPr>
                <w:rFonts w:cstheme="minorHAnsi"/>
                <w:sz w:val="20"/>
                <w:szCs w:val="20"/>
              </w:rPr>
            </w:pPr>
            <w:r w:rsidRPr="0005527B">
              <w:rPr>
                <w:rFonts w:cstheme="minorHAnsi"/>
                <w:sz w:val="20"/>
                <w:szCs w:val="20"/>
              </w:rPr>
              <w:t>- weekly team meeting</w:t>
            </w:r>
          </w:p>
          <w:p w:rsidR="00CA307F" w:rsidRPr="0005527B" w:rsidRDefault="00CA307F" w:rsidP="002B1D55">
            <w:pPr>
              <w:rPr>
                <w:rFonts w:cstheme="minorHAnsi"/>
                <w:sz w:val="20"/>
                <w:szCs w:val="20"/>
              </w:rPr>
            </w:pPr>
            <w:r w:rsidRPr="0005527B">
              <w:rPr>
                <w:rFonts w:cstheme="minorHAnsi"/>
                <w:sz w:val="20"/>
                <w:szCs w:val="20"/>
              </w:rPr>
              <w:t xml:space="preserve">- electronic registry </w:t>
            </w:r>
          </w:p>
          <w:p w:rsidR="00CA307F" w:rsidRPr="0005527B" w:rsidRDefault="00CA307F" w:rsidP="002B1D55">
            <w:pPr>
              <w:rPr>
                <w:rFonts w:cstheme="minorHAnsi"/>
                <w:sz w:val="20"/>
                <w:szCs w:val="20"/>
              </w:rPr>
            </w:pPr>
            <w:r w:rsidRPr="0005527B">
              <w:rPr>
                <w:rFonts w:cstheme="minorHAnsi"/>
                <w:sz w:val="20"/>
                <w:szCs w:val="20"/>
              </w:rPr>
              <w:t>- education of nurse manager</w:t>
            </w:r>
          </w:p>
          <w:p w:rsidR="00CA307F" w:rsidRPr="0005527B" w:rsidRDefault="00CA307F" w:rsidP="002B1D55">
            <w:pPr>
              <w:rPr>
                <w:rFonts w:cstheme="minorHAnsi"/>
                <w:sz w:val="20"/>
                <w:szCs w:val="20"/>
              </w:rPr>
            </w:pPr>
            <w:r w:rsidRPr="0005527B">
              <w:rPr>
                <w:rFonts w:cstheme="minorHAnsi"/>
                <w:sz w:val="20"/>
                <w:szCs w:val="20"/>
              </w:rPr>
              <w:t>- patient self</w:t>
            </w:r>
            <w:r>
              <w:rPr>
                <w:rFonts w:cstheme="minorHAnsi"/>
                <w:sz w:val="20"/>
                <w:szCs w:val="20"/>
              </w:rPr>
              <w:t>-</w:t>
            </w:r>
            <w:r w:rsidRPr="0005527B">
              <w:rPr>
                <w:rFonts w:cstheme="minorHAnsi"/>
                <w:sz w:val="20"/>
                <w:szCs w:val="20"/>
              </w:rPr>
              <w:t>care</w:t>
            </w:r>
          </w:p>
        </w:tc>
        <w:tc>
          <w:tcPr>
            <w:tcW w:w="2093" w:type="dxa"/>
            <w:shd w:val="clear" w:color="auto" w:fill="auto"/>
          </w:tcPr>
          <w:p w:rsidR="00CA307F" w:rsidRPr="0005527B" w:rsidRDefault="00CA307F" w:rsidP="002B1D55">
            <w:pPr>
              <w:rPr>
                <w:rFonts w:cstheme="minorHAnsi"/>
                <w:sz w:val="20"/>
                <w:szCs w:val="20"/>
              </w:rPr>
            </w:pPr>
            <w:r w:rsidRPr="0005527B">
              <w:rPr>
                <w:rFonts w:cstheme="minorHAnsi"/>
                <w:sz w:val="20"/>
                <w:szCs w:val="20"/>
              </w:rPr>
              <w:lastRenderedPageBreak/>
              <w:t>- depression score (SCL-20)</w:t>
            </w:r>
          </w:p>
          <w:p w:rsidR="00CA307F" w:rsidRPr="0005527B" w:rsidRDefault="00CA307F" w:rsidP="002B1D55">
            <w:pPr>
              <w:rPr>
                <w:rFonts w:cstheme="minorHAnsi"/>
                <w:sz w:val="20"/>
                <w:szCs w:val="20"/>
              </w:rPr>
            </w:pPr>
            <w:r w:rsidRPr="0005527B">
              <w:rPr>
                <w:rFonts w:cstheme="minorHAnsi"/>
                <w:sz w:val="20"/>
                <w:szCs w:val="20"/>
              </w:rPr>
              <w:t>- HbA1C</w:t>
            </w:r>
          </w:p>
          <w:p w:rsidR="00CA307F" w:rsidRPr="0005527B" w:rsidRDefault="00CA307F" w:rsidP="002B1D55">
            <w:pPr>
              <w:rPr>
                <w:rFonts w:cstheme="minorHAnsi"/>
                <w:sz w:val="20"/>
                <w:szCs w:val="20"/>
              </w:rPr>
            </w:pPr>
            <w:r w:rsidRPr="0005527B">
              <w:rPr>
                <w:rFonts w:cstheme="minorHAnsi"/>
                <w:sz w:val="20"/>
                <w:szCs w:val="20"/>
              </w:rPr>
              <w:lastRenderedPageBreak/>
              <w:t>- BPs</w:t>
            </w:r>
          </w:p>
          <w:p w:rsidR="00CA307F" w:rsidRPr="0005527B" w:rsidRDefault="00CA307F" w:rsidP="002B1D55">
            <w:pPr>
              <w:rPr>
                <w:rFonts w:cstheme="minorHAnsi"/>
                <w:sz w:val="20"/>
                <w:szCs w:val="20"/>
              </w:rPr>
            </w:pPr>
            <w:r w:rsidRPr="0005527B">
              <w:rPr>
                <w:rFonts w:cstheme="minorHAnsi"/>
                <w:sz w:val="20"/>
                <w:szCs w:val="20"/>
              </w:rPr>
              <w:t>- Cholesterol</w:t>
            </w:r>
          </w:p>
          <w:p w:rsidR="00CA307F" w:rsidRPr="0005527B" w:rsidRDefault="00CA307F" w:rsidP="002B1D55">
            <w:pPr>
              <w:rPr>
                <w:rFonts w:cstheme="minorHAnsi"/>
                <w:sz w:val="20"/>
                <w:szCs w:val="20"/>
              </w:rPr>
            </w:pPr>
            <w:r w:rsidRPr="0005527B">
              <w:rPr>
                <w:rFonts w:cstheme="minorHAnsi"/>
                <w:sz w:val="20"/>
                <w:szCs w:val="20"/>
              </w:rPr>
              <w:t xml:space="preserve">- </w:t>
            </w:r>
            <w:r>
              <w:rPr>
                <w:rFonts w:cstheme="minorHAnsi"/>
                <w:sz w:val="20"/>
                <w:szCs w:val="20"/>
              </w:rPr>
              <w:t>health-related</w:t>
            </w:r>
            <w:r w:rsidRPr="0005527B">
              <w:rPr>
                <w:rFonts w:cstheme="minorHAnsi"/>
                <w:sz w:val="20"/>
                <w:szCs w:val="20"/>
              </w:rPr>
              <w:t xml:space="preserve"> QoL</w:t>
            </w:r>
          </w:p>
          <w:p w:rsidR="00CA307F" w:rsidRPr="0005527B" w:rsidRDefault="00CA307F" w:rsidP="002B1D55">
            <w:pPr>
              <w:rPr>
                <w:rFonts w:cstheme="minorHAnsi"/>
                <w:sz w:val="20"/>
                <w:szCs w:val="20"/>
              </w:rPr>
            </w:pPr>
          </w:p>
        </w:tc>
        <w:tc>
          <w:tcPr>
            <w:tcW w:w="2539" w:type="dxa"/>
            <w:shd w:val="clear" w:color="auto" w:fill="auto"/>
          </w:tcPr>
          <w:p w:rsidR="00CA307F" w:rsidRPr="0005527B" w:rsidRDefault="00CA307F" w:rsidP="002B1D55">
            <w:pPr>
              <w:rPr>
                <w:rFonts w:cstheme="minorHAnsi"/>
                <w:sz w:val="20"/>
                <w:szCs w:val="20"/>
              </w:rPr>
            </w:pPr>
            <w:r w:rsidRPr="0005527B">
              <w:rPr>
                <w:rFonts w:cstheme="minorHAnsi"/>
                <w:sz w:val="20"/>
                <w:szCs w:val="20"/>
              </w:rPr>
              <w:lastRenderedPageBreak/>
              <w:t>Intervention group:</w:t>
            </w:r>
          </w:p>
          <w:p w:rsidR="00CA307F" w:rsidRPr="0005527B" w:rsidRDefault="00CA307F" w:rsidP="002B1D55">
            <w:pPr>
              <w:rPr>
                <w:rFonts w:cstheme="minorHAnsi"/>
                <w:sz w:val="20"/>
                <w:szCs w:val="20"/>
              </w:rPr>
            </w:pPr>
            <w:r w:rsidRPr="0005527B">
              <w:rPr>
                <w:rFonts w:cstheme="minorHAnsi"/>
                <w:sz w:val="20"/>
                <w:szCs w:val="20"/>
              </w:rPr>
              <w:t>- lower depression</w:t>
            </w:r>
          </w:p>
          <w:p w:rsidR="00CA307F" w:rsidRPr="0005527B" w:rsidRDefault="00CA307F" w:rsidP="002B1D55">
            <w:pPr>
              <w:rPr>
                <w:rFonts w:cstheme="minorHAnsi"/>
                <w:sz w:val="20"/>
                <w:szCs w:val="20"/>
              </w:rPr>
            </w:pPr>
            <w:r w:rsidRPr="0005527B">
              <w:rPr>
                <w:rFonts w:cstheme="minorHAnsi"/>
                <w:sz w:val="20"/>
                <w:szCs w:val="20"/>
              </w:rPr>
              <w:t>- lower HbA1C</w:t>
            </w:r>
          </w:p>
          <w:p w:rsidR="00CA307F" w:rsidRPr="0005527B" w:rsidRDefault="00CA307F" w:rsidP="002B1D55">
            <w:pPr>
              <w:rPr>
                <w:rFonts w:cstheme="minorHAnsi"/>
                <w:sz w:val="20"/>
                <w:szCs w:val="20"/>
              </w:rPr>
            </w:pPr>
            <w:r w:rsidRPr="0005527B">
              <w:rPr>
                <w:rFonts w:cstheme="minorHAnsi"/>
                <w:sz w:val="20"/>
                <w:szCs w:val="20"/>
              </w:rPr>
              <w:lastRenderedPageBreak/>
              <w:t xml:space="preserve">- no </w:t>
            </w:r>
            <w:r>
              <w:rPr>
                <w:rFonts w:cstheme="minorHAnsi"/>
                <w:sz w:val="20"/>
                <w:szCs w:val="20"/>
              </w:rPr>
              <w:t xml:space="preserve">significant differences </w:t>
            </w:r>
            <w:r w:rsidRPr="0005527B">
              <w:rPr>
                <w:rFonts w:cstheme="minorHAnsi"/>
                <w:sz w:val="20"/>
                <w:szCs w:val="20"/>
              </w:rPr>
              <w:t xml:space="preserve">in </w:t>
            </w:r>
            <w:r>
              <w:rPr>
                <w:rFonts w:cstheme="minorHAnsi"/>
                <w:sz w:val="20"/>
                <w:szCs w:val="20"/>
              </w:rPr>
              <w:t>blood pressure</w:t>
            </w:r>
          </w:p>
          <w:p w:rsidR="00CA307F" w:rsidRPr="0005527B" w:rsidRDefault="00CA307F" w:rsidP="002B1D55">
            <w:pPr>
              <w:rPr>
                <w:rFonts w:cstheme="minorHAnsi"/>
                <w:sz w:val="20"/>
                <w:szCs w:val="20"/>
              </w:rPr>
            </w:pPr>
            <w:r w:rsidRPr="0005527B">
              <w:rPr>
                <w:rFonts w:cstheme="minorHAnsi"/>
                <w:sz w:val="20"/>
                <w:szCs w:val="20"/>
              </w:rPr>
              <w:t>- lower cholesterol</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xml:space="preserve">- better </w:t>
            </w:r>
            <w:r>
              <w:rPr>
                <w:rFonts w:cstheme="minorHAnsi"/>
                <w:sz w:val="20"/>
                <w:szCs w:val="20"/>
              </w:rPr>
              <w:t>health-related</w:t>
            </w:r>
            <w:r w:rsidRPr="0005527B">
              <w:rPr>
                <w:rFonts w:cstheme="minorHAnsi"/>
                <w:sz w:val="20"/>
                <w:szCs w:val="20"/>
              </w:rPr>
              <w:t xml:space="preserve"> </w:t>
            </w:r>
            <w:r>
              <w:rPr>
                <w:rFonts w:cstheme="minorHAnsi"/>
                <w:sz w:val="20"/>
                <w:szCs w:val="20"/>
              </w:rPr>
              <w:t>quality of life</w:t>
            </w:r>
            <w:r w:rsidRPr="0005527B">
              <w:rPr>
                <w:rFonts w:cstheme="minorHAnsi"/>
                <w:sz w:val="20"/>
                <w:szCs w:val="20"/>
              </w:rPr>
              <w:t xml:space="preserve"> </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lastRenderedPageBreak/>
              <w:t xml:space="preserve">6. </w:t>
            </w:r>
            <w:proofErr w:type="spellStart"/>
            <w:r w:rsidRPr="0005527B">
              <w:rPr>
                <w:rFonts w:cstheme="minorHAnsi"/>
                <w:sz w:val="20"/>
                <w:szCs w:val="20"/>
              </w:rPr>
              <w:t>Krska</w:t>
            </w:r>
            <w:proofErr w:type="spellEnd"/>
            <w:r w:rsidRPr="0005527B">
              <w:rPr>
                <w:rFonts w:cstheme="minorHAnsi"/>
                <w:sz w:val="20"/>
                <w:szCs w:val="20"/>
              </w:rPr>
              <w:t xml:space="preserve"> 2001 </w:t>
            </w:r>
          </w:p>
        </w:tc>
        <w:tc>
          <w:tcPr>
            <w:tcW w:w="2427" w:type="dxa"/>
            <w:shd w:val="clear" w:color="auto" w:fill="auto"/>
          </w:tcPr>
          <w:p w:rsidR="00CA307F" w:rsidRPr="0005527B" w:rsidRDefault="00CA307F" w:rsidP="002B1D55">
            <w:pPr>
              <w:rPr>
                <w:rFonts w:cstheme="minorHAnsi"/>
                <w:sz w:val="20"/>
                <w:szCs w:val="20"/>
              </w:rPr>
            </w:pPr>
            <w:r w:rsidRPr="0005527B">
              <w:rPr>
                <w:rFonts w:cstheme="minorHAnsi"/>
                <w:sz w:val="20"/>
                <w:szCs w:val="20"/>
              </w:rPr>
              <w:t>Pharmacist-led medication review in patients over 65: a randomized, controlled trial in primary care</w:t>
            </w:r>
          </w:p>
        </w:tc>
        <w:tc>
          <w:tcPr>
            <w:tcW w:w="2115" w:type="dxa"/>
            <w:shd w:val="clear" w:color="auto" w:fill="auto"/>
          </w:tcPr>
          <w:p w:rsidR="00CA307F" w:rsidRPr="0005527B" w:rsidRDefault="00CA307F" w:rsidP="002B1D55">
            <w:pPr>
              <w:rPr>
                <w:rFonts w:cstheme="minorHAnsi"/>
                <w:sz w:val="20"/>
                <w:szCs w:val="20"/>
              </w:rPr>
            </w:pPr>
            <w:r>
              <w:rPr>
                <w:rFonts w:cstheme="minorHAnsi"/>
                <w:sz w:val="20"/>
                <w:szCs w:val="20"/>
              </w:rPr>
              <w:t>Patients aged ≥ 65 years with ≥ 2 chronic conditions and having ≥ 4 medical prescriptions</w:t>
            </w:r>
          </w:p>
        </w:tc>
        <w:tc>
          <w:tcPr>
            <w:tcW w:w="2085" w:type="dxa"/>
            <w:shd w:val="clear" w:color="auto" w:fill="auto"/>
          </w:tcPr>
          <w:p w:rsidR="00CA307F" w:rsidRPr="001C55AB" w:rsidRDefault="00CA307F" w:rsidP="002B1D55">
            <w:pPr>
              <w:rPr>
                <w:rFonts w:cstheme="minorHAnsi"/>
                <w:b/>
                <w:bCs/>
                <w:sz w:val="20"/>
                <w:szCs w:val="20"/>
              </w:rPr>
            </w:pPr>
            <w:r>
              <w:rPr>
                <w:rFonts w:cstheme="minorHAnsi"/>
                <w:b/>
                <w:bCs/>
                <w:sz w:val="20"/>
                <w:szCs w:val="20"/>
              </w:rPr>
              <w:t>Three</w:t>
            </w:r>
            <w:r w:rsidRPr="001C55AB">
              <w:rPr>
                <w:rFonts w:cstheme="minorHAnsi"/>
                <w:b/>
                <w:bCs/>
                <w:sz w:val="20"/>
                <w:szCs w:val="20"/>
              </w:rPr>
              <w:t xml:space="preserve"> months:</w:t>
            </w:r>
          </w:p>
          <w:p w:rsidR="00CA307F" w:rsidRPr="0005527B" w:rsidRDefault="00CA307F" w:rsidP="002B1D55">
            <w:pPr>
              <w:rPr>
                <w:rFonts w:cstheme="minorHAnsi"/>
                <w:sz w:val="20"/>
                <w:szCs w:val="20"/>
              </w:rPr>
            </w:pPr>
            <w:r w:rsidRPr="0005527B">
              <w:rPr>
                <w:rFonts w:cstheme="minorHAnsi"/>
                <w:sz w:val="20"/>
                <w:szCs w:val="20"/>
              </w:rPr>
              <w:t xml:space="preserve">- patient care plan created by </w:t>
            </w:r>
            <w:r>
              <w:rPr>
                <w:rFonts w:cstheme="minorHAnsi"/>
                <w:sz w:val="20"/>
                <w:szCs w:val="20"/>
              </w:rPr>
              <w:t>pharmacists</w:t>
            </w:r>
            <w:r w:rsidRPr="0005527B">
              <w:rPr>
                <w:rFonts w:cstheme="minorHAnsi"/>
                <w:sz w:val="20"/>
                <w:szCs w:val="20"/>
              </w:rPr>
              <w:t xml:space="preserve"> + others</w:t>
            </w:r>
          </w:p>
        </w:tc>
        <w:tc>
          <w:tcPr>
            <w:tcW w:w="2093" w:type="dxa"/>
            <w:shd w:val="clear" w:color="auto" w:fill="auto"/>
          </w:tcPr>
          <w:p w:rsidR="00CA307F" w:rsidRPr="0005527B" w:rsidRDefault="00CA307F" w:rsidP="002B1D55">
            <w:pPr>
              <w:rPr>
                <w:rFonts w:cstheme="minorHAnsi"/>
                <w:sz w:val="20"/>
                <w:szCs w:val="20"/>
              </w:rPr>
            </w:pPr>
            <w:r w:rsidRPr="0005527B">
              <w:rPr>
                <w:rFonts w:cstheme="minorHAnsi"/>
                <w:sz w:val="20"/>
                <w:szCs w:val="20"/>
              </w:rPr>
              <w:t>- pharmaceutical care issue</w:t>
            </w:r>
          </w:p>
        </w:tc>
        <w:tc>
          <w:tcPr>
            <w:tcW w:w="2539" w:type="dxa"/>
            <w:shd w:val="clear" w:color="auto" w:fill="auto"/>
          </w:tcPr>
          <w:p w:rsidR="00CA307F" w:rsidRPr="0005527B" w:rsidRDefault="00CA307F" w:rsidP="002B1D55">
            <w:pPr>
              <w:rPr>
                <w:rFonts w:cstheme="minorHAnsi"/>
                <w:sz w:val="20"/>
                <w:szCs w:val="20"/>
              </w:rPr>
            </w:pPr>
            <w:r w:rsidRPr="0005527B">
              <w:rPr>
                <w:rFonts w:cstheme="minorHAnsi"/>
                <w:sz w:val="20"/>
                <w:szCs w:val="20"/>
              </w:rPr>
              <w:t>Intervention group:</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xml:space="preserve">- issue </w:t>
            </w:r>
            <w:r>
              <w:rPr>
                <w:rFonts w:cstheme="minorHAnsi"/>
                <w:sz w:val="20"/>
                <w:szCs w:val="20"/>
              </w:rPr>
              <w:t>resolved</w:t>
            </w:r>
            <w:r w:rsidRPr="0005527B">
              <w:rPr>
                <w:rFonts w:cstheme="minorHAnsi"/>
                <w:sz w:val="20"/>
                <w:szCs w:val="20"/>
              </w:rPr>
              <w:t xml:space="preserve"> better than </w:t>
            </w:r>
            <w:r>
              <w:rPr>
                <w:rFonts w:cstheme="minorHAnsi"/>
                <w:sz w:val="20"/>
                <w:szCs w:val="20"/>
              </w:rPr>
              <w:t xml:space="preserve">the </w:t>
            </w:r>
            <w:r w:rsidRPr="0005527B">
              <w:rPr>
                <w:rFonts w:cstheme="minorHAnsi"/>
                <w:sz w:val="20"/>
                <w:szCs w:val="20"/>
              </w:rPr>
              <w:t>control group</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t xml:space="preserve">7. </w:t>
            </w:r>
            <w:r w:rsidRPr="0005527B">
              <w:rPr>
                <w:rFonts w:cstheme="minorHAnsi"/>
                <w:sz w:val="20"/>
                <w:szCs w:val="20"/>
              </w:rPr>
              <w:t>Sommers 2000</w:t>
            </w:r>
          </w:p>
        </w:tc>
        <w:tc>
          <w:tcPr>
            <w:tcW w:w="2427" w:type="dxa"/>
            <w:shd w:val="clear" w:color="auto" w:fill="auto"/>
          </w:tcPr>
          <w:p w:rsidR="00CA307F" w:rsidRPr="0005527B" w:rsidRDefault="00CA307F" w:rsidP="002B1D55">
            <w:pPr>
              <w:rPr>
                <w:rFonts w:cstheme="minorHAnsi"/>
                <w:sz w:val="20"/>
                <w:szCs w:val="20"/>
              </w:rPr>
            </w:pPr>
            <w:r w:rsidRPr="0005527B">
              <w:rPr>
                <w:rFonts w:cstheme="minorHAnsi"/>
                <w:sz w:val="20"/>
                <w:szCs w:val="20"/>
              </w:rPr>
              <w:t>Physician, nurse, and social worker collaboration in primary care for chronically ill seniors</w:t>
            </w:r>
          </w:p>
        </w:tc>
        <w:tc>
          <w:tcPr>
            <w:tcW w:w="2115" w:type="dxa"/>
            <w:shd w:val="clear" w:color="auto" w:fill="auto"/>
          </w:tcPr>
          <w:p w:rsidR="00CA307F" w:rsidRPr="0005527B" w:rsidRDefault="00CA307F" w:rsidP="002B1D55">
            <w:pPr>
              <w:rPr>
                <w:rFonts w:cstheme="minorHAnsi"/>
                <w:sz w:val="20"/>
                <w:szCs w:val="20"/>
              </w:rPr>
            </w:pPr>
            <w:r>
              <w:rPr>
                <w:rFonts w:cstheme="minorHAnsi"/>
                <w:sz w:val="20"/>
                <w:szCs w:val="20"/>
              </w:rPr>
              <w:t xml:space="preserve">Patients aged ≥ 65 years having ≥ 2 chronic conditions </w:t>
            </w:r>
          </w:p>
        </w:tc>
        <w:tc>
          <w:tcPr>
            <w:tcW w:w="2085" w:type="dxa"/>
            <w:shd w:val="clear" w:color="auto" w:fill="auto"/>
          </w:tcPr>
          <w:p w:rsidR="00CA307F" w:rsidRPr="001C55AB" w:rsidRDefault="00CA307F" w:rsidP="002B1D55">
            <w:pPr>
              <w:rPr>
                <w:rFonts w:cstheme="minorHAnsi"/>
                <w:b/>
                <w:bCs/>
                <w:sz w:val="20"/>
                <w:szCs w:val="20"/>
              </w:rPr>
            </w:pPr>
            <w:r>
              <w:rPr>
                <w:rFonts w:cstheme="minorHAnsi"/>
                <w:b/>
                <w:bCs/>
                <w:sz w:val="20"/>
                <w:szCs w:val="20"/>
              </w:rPr>
              <w:t>Two</w:t>
            </w:r>
            <w:r w:rsidRPr="001C55AB">
              <w:rPr>
                <w:rFonts w:cstheme="minorHAnsi"/>
                <w:b/>
                <w:bCs/>
                <w:sz w:val="20"/>
                <w:szCs w:val="20"/>
              </w:rPr>
              <w:t xml:space="preserve"> years:</w:t>
            </w:r>
          </w:p>
          <w:p w:rsidR="00CA307F" w:rsidRPr="0005527B" w:rsidRDefault="00CA307F" w:rsidP="002B1D55">
            <w:pPr>
              <w:rPr>
                <w:rFonts w:cstheme="minorHAnsi"/>
                <w:sz w:val="20"/>
                <w:szCs w:val="20"/>
              </w:rPr>
            </w:pPr>
            <w:r w:rsidRPr="0005527B">
              <w:rPr>
                <w:rFonts w:cstheme="minorHAnsi"/>
                <w:sz w:val="20"/>
                <w:szCs w:val="20"/>
              </w:rPr>
              <w:t>- enhanced social worker, home assessment, patient care plan</w:t>
            </w:r>
          </w:p>
          <w:p w:rsidR="00CA307F" w:rsidRPr="0005527B" w:rsidRDefault="00CA307F" w:rsidP="002B1D55">
            <w:pPr>
              <w:rPr>
                <w:rFonts w:cstheme="minorHAnsi"/>
                <w:sz w:val="20"/>
                <w:szCs w:val="20"/>
              </w:rPr>
            </w:pPr>
            <w:r w:rsidRPr="0005527B">
              <w:rPr>
                <w:rFonts w:cstheme="minorHAnsi"/>
                <w:sz w:val="20"/>
                <w:szCs w:val="20"/>
              </w:rPr>
              <w:t xml:space="preserve">- training </w:t>
            </w:r>
            <w:r>
              <w:rPr>
                <w:rFonts w:cstheme="minorHAnsi"/>
                <w:sz w:val="20"/>
                <w:szCs w:val="20"/>
              </w:rPr>
              <w:t>in</w:t>
            </w:r>
            <w:r w:rsidRPr="0005527B">
              <w:rPr>
                <w:rFonts w:cstheme="minorHAnsi"/>
                <w:sz w:val="20"/>
                <w:szCs w:val="20"/>
              </w:rPr>
              <w:t xml:space="preserve"> care coordination</w:t>
            </w:r>
          </w:p>
        </w:tc>
        <w:tc>
          <w:tcPr>
            <w:tcW w:w="2093" w:type="dxa"/>
            <w:shd w:val="clear" w:color="auto" w:fill="auto"/>
          </w:tcPr>
          <w:p w:rsidR="00CA307F" w:rsidRPr="0005527B" w:rsidRDefault="00CA307F" w:rsidP="002B1D55">
            <w:pPr>
              <w:rPr>
                <w:rFonts w:cstheme="minorHAnsi"/>
                <w:sz w:val="20"/>
                <w:szCs w:val="20"/>
              </w:rPr>
            </w:pPr>
            <w:r w:rsidRPr="0005527B">
              <w:rPr>
                <w:rFonts w:cstheme="minorHAnsi"/>
                <w:sz w:val="20"/>
                <w:szCs w:val="20"/>
              </w:rPr>
              <w:t>- health service</w:t>
            </w:r>
          </w:p>
          <w:p w:rsidR="00CA307F" w:rsidRPr="0005527B" w:rsidRDefault="00CA307F" w:rsidP="002B1D55">
            <w:pPr>
              <w:rPr>
                <w:rFonts w:cstheme="minorHAnsi"/>
                <w:sz w:val="20"/>
                <w:szCs w:val="20"/>
              </w:rPr>
            </w:pPr>
            <w:r w:rsidRPr="0005527B">
              <w:rPr>
                <w:rFonts w:cstheme="minorHAnsi"/>
                <w:sz w:val="20"/>
                <w:szCs w:val="20"/>
              </w:rPr>
              <w:t>- patient health status</w:t>
            </w:r>
          </w:p>
        </w:tc>
        <w:tc>
          <w:tcPr>
            <w:tcW w:w="2539" w:type="dxa"/>
            <w:shd w:val="clear" w:color="auto" w:fill="auto"/>
          </w:tcPr>
          <w:p w:rsidR="00CA307F" w:rsidRPr="0005527B" w:rsidRDefault="00CA307F" w:rsidP="002B1D55">
            <w:pPr>
              <w:autoSpaceDE w:val="0"/>
              <w:autoSpaceDN w:val="0"/>
              <w:adjustRightInd w:val="0"/>
              <w:rPr>
                <w:rFonts w:cstheme="minorHAnsi"/>
                <w:sz w:val="20"/>
                <w:szCs w:val="20"/>
              </w:rPr>
            </w:pP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t xml:space="preserve">8. </w:t>
            </w:r>
            <w:r w:rsidRPr="0005527B">
              <w:rPr>
                <w:rFonts w:cstheme="minorHAnsi"/>
                <w:sz w:val="20"/>
                <w:szCs w:val="20"/>
              </w:rPr>
              <w:t xml:space="preserve">Barley 2014 </w:t>
            </w:r>
          </w:p>
        </w:tc>
        <w:tc>
          <w:tcPr>
            <w:tcW w:w="2427"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The UPBEAT nurse</w:t>
            </w:r>
            <w:r w:rsidRPr="0005527B">
              <w:rPr>
                <w:rFonts w:cstheme="minorHAnsi"/>
                <w:sz w:val="20"/>
                <w:szCs w:val="20"/>
                <w:cs/>
              </w:rPr>
              <w:t>-</w:t>
            </w:r>
            <w:r w:rsidRPr="0005527B">
              <w:rPr>
                <w:rFonts w:cstheme="minorHAnsi"/>
                <w:sz w:val="20"/>
                <w:szCs w:val="20"/>
              </w:rPr>
              <w:t>delivered</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personalized care intervention for people with coronary</w:t>
            </w:r>
            <w:r>
              <w:rPr>
                <w:rFonts w:cstheme="minorHAnsi"/>
                <w:sz w:val="20"/>
                <w:szCs w:val="20"/>
              </w:rPr>
              <w:t xml:space="preserve"> </w:t>
            </w:r>
            <w:r w:rsidRPr="0005527B">
              <w:rPr>
                <w:rFonts w:cstheme="minorHAnsi"/>
                <w:sz w:val="20"/>
                <w:szCs w:val="20"/>
              </w:rPr>
              <w:t>heart disease who report current chest pain and depression</w:t>
            </w:r>
            <w:r w:rsidRPr="0005527B">
              <w:rPr>
                <w:rFonts w:cstheme="minorHAnsi"/>
                <w:sz w:val="20"/>
                <w:szCs w:val="20"/>
                <w:cs/>
              </w:rPr>
              <w:t>:</w:t>
            </w:r>
          </w:p>
          <w:p w:rsidR="00CA307F" w:rsidRPr="0005527B" w:rsidRDefault="00CA307F" w:rsidP="002B1D55">
            <w:pPr>
              <w:rPr>
                <w:rFonts w:cstheme="minorHAnsi"/>
                <w:sz w:val="20"/>
                <w:szCs w:val="20"/>
              </w:rPr>
            </w:pPr>
            <w:r w:rsidRPr="0005527B">
              <w:rPr>
                <w:rFonts w:cstheme="minorHAnsi"/>
                <w:sz w:val="20"/>
                <w:szCs w:val="20"/>
              </w:rPr>
              <w:t>A randomised controlled pilot study</w:t>
            </w:r>
            <w:r w:rsidRPr="0005527B">
              <w:rPr>
                <w:rFonts w:cstheme="minorHAnsi"/>
                <w:sz w:val="20"/>
                <w:szCs w:val="20"/>
                <w:cs/>
              </w:rPr>
              <w:t>.</w:t>
            </w:r>
          </w:p>
        </w:tc>
        <w:tc>
          <w:tcPr>
            <w:tcW w:w="2115" w:type="dxa"/>
            <w:shd w:val="clear" w:color="auto" w:fill="auto"/>
          </w:tcPr>
          <w:p w:rsidR="00CA307F" w:rsidRPr="0005527B" w:rsidRDefault="00CA307F" w:rsidP="002B1D55">
            <w:pPr>
              <w:rPr>
                <w:rFonts w:cstheme="minorHAnsi"/>
                <w:sz w:val="20"/>
                <w:szCs w:val="20"/>
              </w:rPr>
            </w:pPr>
            <w:proofErr w:type="spellStart"/>
            <w:r w:rsidRPr="0005527B">
              <w:rPr>
                <w:rFonts w:cstheme="minorHAnsi"/>
                <w:sz w:val="20"/>
                <w:szCs w:val="20"/>
              </w:rPr>
              <w:t>CAD+depression</w:t>
            </w:r>
            <w:proofErr w:type="spellEnd"/>
          </w:p>
        </w:tc>
        <w:tc>
          <w:tcPr>
            <w:tcW w:w="2085" w:type="dxa"/>
            <w:shd w:val="clear" w:color="auto" w:fill="auto"/>
          </w:tcPr>
          <w:p w:rsidR="00CA307F" w:rsidRPr="001C55AB" w:rsidRDefault="00CA307F" w:rsidP="002B1D55">
            <w:pPr>
              <w:rPr>
                <w:rFonts w:cstheme="minorHAnsi"/>
                <w:b/>
                <w:bCs/>
                <w:sz w:val="20"/>
                <w:szCs w:val="20"/>
              </w:rPr>
            </w:pPr>
            <w:r>
              <w:rPr>
                <w:rFonts w:cstheme="minorHAnsi"/>
                <w:b/>
                <w:bCs/>
                <w:sz w:val="20"/>
                <w:szCs w:val="20"/>
              </w:rPr>
              <w:t>Six</w:t>
            </w:r>
            <w:r w:rsidRPr="001C55AB">
              <w:rPr>
                <w:rFonts w:cstheme="minorHAnsi"/>
                <w:b/>
                <w:bCs/>
                <w:sz w:val="20"/>
                <w:szCs w:val="20"/>
              </w:rPr>
              <w:t xml:space="preserve"> months:</w:t>
            </w:r>
          </w:p>
          <w:p w:rsidR="00CA307F" w:rsidRPr="0005527B" w:rsidRDefault="00CA307F" w:rsidP="002B1D55">
            <w:pPr>
              <w:rPr>
                <w:rFonts w:cstheme="minorHAnsi"/>
                <w:sz w:val="20"/>
                <w:szCs w:val="20"/>
              </w:rPr>
            </w:pPr>
            <w:r w:rsidRPr="0005527B">
              <w:rPr>
                <w:rFonts w:cstheme="minorHAnsi"/>
                <w:sz w:val="20"/>
                <w:szCs w:val="20"/>
              </w:rPr>
              <w:t>- UPBEAT intervention (nurse case manager, F/U by telephone call)</w:t>
            </w:r>
          </w:p>
        </w:tc>
        <w:tc>
          <w:tcPr>
            <w:tcW w:w="2093"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depression (HADS-D and PHQ)</w:t>
            </w:r>
          </w:p>
          <w:p w:rsidR="00CA307F" w:rsidRPr="0005527B" w:rsidRDefault="00CA307F" w:rsidP="002B1D55">
            <w:pPr>
              <w:rPr>
                <w:rFonts w:cstheme="minorHAnsi"/>
                <w:sz w:val="20"/>
                <w:szCs w:val="20"/>
              </w:rPr>
            </w:pPr>
            <w:r w:rsidRPr="0005527B">
              <w:rPr>
                <w:rFonts w:cstheme="minorHAnsi"/>
                <w:sz w:val="20"/>
                <w:szCs w:val="20"/>
              </w:rPr>
              <w:t>- chest pain</w:t>
            </w:r>
          </w:p>
        </w:tc>
        <w:tc>
          <w:tcPr>
            <w:tcW w:w="2539"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xml:space="preserve">- no sig diff in depression </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xml:space="preserve">- </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t xml:space="preserve">9. </w:t>
            </w:r>
            <w:r w:rsidRPr="0005527B">
              <w:rPr>
                <w:rFonts w:cstheme="minorHAnsi"/>
                <w:sz w:val="20"/>
                <w:szCs w:val="20"/>
              </w:rPr>
              <w:t xml:space="preserve">Bogner 2008 </w:t>
            </w:r>
          </w:p>
        </w:tc>
        <w:tc>
          <w:tcPr>
            <w:tcW w:w="2427" w:type="dxa"/>
            <w:shd w:val="clear" w:color="auto" w:fill="auto"/>
          </w:tcPr>
          <w:p w:rsidR="00CA307F" w:rsidRPr="0005527B" w:rsidRDefault="00CA307F" w:rsidP="002B1D55">
            <w:pPr>
              <w:rPr>
                <w:rFonts w:cstheme="minorHAnsi"/>
                <w:sz w:val="20"/>
                <w:szCs w:val="20"/>
              </w:rPr>
            </w:pPr>
            <w:r w:rsidRPr="0005527B">
              <w:rPr>
                <w:rFonts w:cstheme="minorHAnsi"/>
                <w:sz w:val="20"/>
                <w:szCs w:val="20"/>
              </w:rPr>
              <w:t>Integration of depression and hypertension treatment: a pilot, randomized controlled trial</w:t>
            </w:r>
          </w:p>
        </w:tc>
        <w:tc>
          <w:tcPr>
            <w:tcW w:w="2115" w:type="dxa"/>
            <w:shd w:val="clear" w:color="auto" w:fill="auto"/>
          </w:tcPr>
          <w:p w:rsidR="00CA307F" w:rsidRPr="0005527B" w:rsidRDefault="00CA307F" w:rsidP="002B1D55">
            <w:pPr>
              <w:rPr>
                <w:rFonts w:cstheme="minorHAnsi"/>
                <w:sz w:val="20"/>
                <w:szCs w:val="20"/>
              </w:rPr>
            </w:pPr>
            <w:proofErr w:type="spellStart"/>
            <w:r w:rsidRPr="0005527B">
              <w:rPr>
                <w:rFonts w:cstheme="minorHAnsi"/>
                <w:sz w:val="20"/>
                <w:szCs w:val="20"/>
              </w:rPr>
              <w:t>HT+depression</w:t>
            </w:r>
            <w:proofErr w:type="spellEnd"/>
          </w:p>
        </w:tc>
        <w:tc>
          <w:tcPr>
            <w:tcW w:w="2085" w:type="dxa"/>
            <w:shd w:val="clear" w:color="auto" w:fill="auto"/>
          </w:tcPr>
          <w:p w:rsidR="00CA307F" w:rsidRPr="001C55AB" w:rsidRDefault="00CA307F" w:rsidP="002B1D55">
            <w:pPr>
              <w:rPr>
                <w:rFonts w:cstheme="minorHAnsi"/>
                <w:b/>
                <w:bCs/>
                <w:sz w:val="20"/>
                <w:szCs w:val="20"/>
              </w:rPr>
            </w:pPr>
            <w:r>
              <w:rPr>
                <w:rFonts w:cstheme="minorHAnsi"/>
                <w:b/>
                <w:bCs/>
                <w:sz w:val="20"/>
                <w:szCs w:val="20"/>
              </w:rPr>
              <w:t>Six</w:t>
            </w:r>
            <w:r w:rsidRPr="001C55AB">
              <w:rPr>
                <w:rFonts w:cstheme="minorHAnsi"/>
                <w:b/>
                <w:bCs/>
                <w:sz w:val="20"/>
                <w:szCs w:val="20"/>
              </w:rPr>
              <w:t xml:space="preserve"> weeks:</w:t>
            </w:r>
          </w:p>
          <w:p w:rsidR="00CA307F" w:rsidRPr="0005527B" w:rsidRDefault="00CA307F" w:rsidP="002B1D55">
            <w:pPr>
              <w:rPr>
                <w:rFonts w:cstheme="minorHAnsi"/>
                <w:sz w:val="20"/>
                <w:szCs w:val="20"/>
              </w:rPr>
            </w:pPr>
            <w:r w:rsidRPr="0005527B">
              <w:rPr>
                <w:rFonts w:cstheme="minorHAnsi"/>
                <w:sz w:val="20"/>
                <w:szCs w:val="20"/>
              </w:rPr>
              <w:t>- integration of depression and HT treatment by integrated care managers</w:t>
            </w:r>
          </w:p>
        </w:tc>
        <w:tc>
          <w:tcPr>
            <w:tcW w:w="2093"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depression score (CES-D)</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BP</w:t>
            </w:r>
          </w:p>
          <w:p w:rsidR="00CA307F" w:rsidRPr="0005527B" w:rsidRDefault="00CA307F" w:rsidP="002B1D55">
            <w:pPr>
              <w:rPr>
                <w:rFonts w:cstheme="minorHAnsi"/>
                <w:sz w:val="20"/>
                <w:szCs w:val="20"/>
              </w:rPr>
            </w:pPr>
            <w:r w:rsidRPr="0005527B">
              <w:rPr>
                <w:rFonts w:cstheme="minorHAnsi"/>
                <w:sz w:val="20"/>
                <w:szCs w:val="20"/>
              </w:rPr>
              <w:t>- drug adherent</w:t>
            </w:r>
          </w:p>
        </w:tc>
        <w:tc>
          <w:tcPr>
            <w:tcW w:w="2539"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Intervention group:</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lower BP</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lower depression</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t xml:space="preserve">10. </w:t>
            </w:r>
            <w:r w:rsidRPr="0005527B">
              <w:rPr>
                <w:rFonts w:cstheme="minorHAnsi"/>
                <w:sz w:val="20"/>
                <w:szCs w:val="20"/>
              </w:rPr>
              <w:t xml:space="preserve">Lynch 2014 </w:t>
            </w:r>
          </w:p>
        </w:tc>
        <w:tc>
          <w:tcPr>
            <w:tcW w:w="2427"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A self</w:t>
            </w:r>
            <w:r w:rsidRPr="0005527B">
              <w:rPr>
                <w:rFonts w:cstheme="minorHAnsi"/>
                <w:sz w:val="20"/>
                <w:szCs w:val="20"/>
                <w:cs/>
              </w:rPr>
              <w:t>-</w:t>
            </w:r>
            <w:r w:rsidRPr="0005527B">
              <w:rPr>
                <w:rFonts w:cstheme="minorHAnsi"/>
                <w:sz w:val="20"/>
                <w:szCs w:val="20"/>
              </w:rPr>
              <w:t>management intervention for African Americans with</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comorbid diabetes and hypertension</w:t>
            </w:r>
            <w:r w:rsidRPr="0005527B">
              <w:rPr>
                <w:rFonts w:cstheme="minorHAnsi"/>
                <w:sz w:val="20"/>
                <w:szCs w:val="20"/>
                <w:cs/>
              </w:rPr>
              <w:t xml:space="preserve">: </w:t>
            </w:r>
            <w:r w:rsidRPr="0005527B">
              <w:rPr>
                <w:rFonts w:cstheme="minorHAnsi"/>
                <w:sz w:val="20"/>
                <w:szCs w:val="20"/>
              </w:rPr>
              <w:t>a pilot randomized</w:t>
            </w:r>
          </w:p>
          <w:p w:rsidR="00CA307F" w:rsidRPr="0005527B" w:rsidRDefault="00CA307F" w:rsidP="002B1D55">
            <w:pPr>
              <w:rPr>
                <w:rFonts w:cstheme="minorHAnsi"/>
                <w:sz w:val="20"/>
                <w:szCs w:val="20"/>
              </w:rPr>
            </w:pPr>
            <w:r w:rsidRPr="0005527B">
              <w:rPr>
                <w:rFonts w:cstheme="minorHAnsi"/>
                <w:sz w:val="20"/>
                <w:szCs w:val="20"/>
              </w:rPr>
              <w:t>controlled trial</w:t>
            </w:r>
          </w:p>
        </w:tc>
        <w:tc>
          <w:tcPr>
            <w:tcW w:w="2115" w:type="dxa"/>
            <w:shd w:val="clear" w:color="auto" w:fill="auto"/>
          </w:tcPr>
          <w:p w:rsidR="00CA307F" w:rsidRPr="0005527B" w:rsidRDefault="00CA307F" w:rsidP="002B1D55">
            <w:pPr>
              <w:rPr>
                <w:rFonts w:cstheme="minorHAnsi"/>
                <w:sz w:val="20"/>
                <w:szCs w:val="20"/>
              </w:rPr>
            </w:pPr>
            <w:r w:rsidRPr="0005527B">
              <w:rPr>
                <w:rFonts w:cstheme="minorHAnsi"/>
                <w:sz w:val="20"/>
                <w:szCs w:val="20"/>
              </w:rPr>
              <w:t>DM+HT</w:t>
            </w:r>
          </w:p>
        </w:tc>
        <w:tc>
          <w:tcPr>
            <w:tcW w:w="2085" w:type="dxa"/>
            <w:shd w:val="clear" w:color="auto" w:fill="auto"/>
          </w:tcPr>
          <w:p w:rsidR="00CA307F" w:rsidRPr="001C55AB" w:rsidRDefault="00CA307F" w:rsidP="002B1D55">
            <w:pPr>
              <w:rPr>
                <w:rFonts w:cstheme="minorHAnsi"/>
                <w:b/>
                <w:bCs/>
                <w:sz w:val="20"/>
                <w:szCs w:val="20"/>
              </w:rPr>
            </w:pPr>
            <w:r>
              <w:rPr>
                <w:rFonts w:cstheme="minorHAnsi"/>
                <w:b/>
                <w:bCs/>
                <w:sz w:val="20"/>
                <w:szCs w:val="20"/>
              </w:rPr>
              <w:t>Six</w:t>
            </w:r>
            <w:r w:rsidRPr="001C55AB">
              <w:rPr>
                <w:rFonts w:cstheme="minorHAnsi"/>
                <w:b/>
                <w:bCs/>
                <w:sz w:val="20"/>
                <w:szCs w:val="20"/>
              </w:rPr>
              <w:t xml:space="preserve"> months:</w:t>
            </w:r>
          </w:p>
          <w:p w:rsidR="00CA307F" w:rsidRPr="0005527B" w:rsidRDefault="00CA307F" w:rsidP="002B1D55">
            <w:pPr>
              <w:rPr>
                <w:rFonts w:cstheme="minorHAnsi"/>
                <w:sz w:val="20"/>
                <w:szCs w:val="20"/>
              </w:rPr>
            </w:pPr>
            <w:r w:rsidRPr="0005527B">
              <w:rPr>
                <w:rFonts w:cstheme="minorHAnsi"/>
                <w:sz w:val="20"/>
                <w:szCs w:val="20"/>
              </w:rPr>
              <w:t>- DM self-management</w:t>
            </w:r>
          </w:p>
          <w:p w:rsidR="00CA307F" w:rsidRPr="0005527B" w:rsidRDefault="00CA307F" w:rsidP="002B1D55">
            <w:pPr>
              <w:rPr>
                <w:rFonts w:cstheme="minorHAnsi"/>
                <w:sz w:val="20"/>
                <w:szCs w:val="20"/>
              </w:rPr>
            </w:pPr>
            <w:r w:rsidRPr="0005527B">
              <w:rPr>
                <w:rFonts w:cstheme="minorHAnsi"/>
                <w:sz w:val="20"/>
                <w:szCs w:val="20"/>
              </w:rPr>
              <w:t>- nutrition education</w:t>
            </w:r>
          </w:p>
          <w:p w:rsidR="00CA307F" w:rsidRPr="0005527B" w:rsidRDefault="00CA307F" w:rsidP="002B1D55">
            <w:pPr>
              <w:rPr>
                <w:rFonts w:cstheme="minorHAnsi"/>
                <w:sz w:val="20"/>
                <w:szCs w:val="20"/>
              </w:rPr>
            </w:pPr>
            <w:r w:rsidRPr="0005527B">
              <w:rPr>
                <w:rFonts w:cstheme="minorHAnsi"/>
                <w:sz w:val="20"/>
                <w:szCs w:val="20"/>
              </w:rPr>
              <w:t xml:space="preserve">- </w:t>
            </w:r>
            <w:proofErr w:type="spellStart"/>
            <w:r w:rsidRPr="0005527B">
              <w:rPr>
                <w:rFonts w:cstheme="minorHAnsi"/>
                <w:sz w:val="20"/>
                <w:szCs w:val="20"/>
              </w:rPr>
              <w:t>behavior</w:t>
            </w:r>
            <w:proofErr w:type="spellEnd"/>
            <w:r w:rsidRPr="0005527B">
              <w:rPr>
                <w:rFonts w:cstheme="minorHAnsi"/>
                <w:sz w:val="20"/>
                <w:szCs w:val="20"/>
              </w:rPr>
              <w:t xml:space="preserve"> skills training</w:t>
            </w:r>
          </w:p>
          <w:p w:rsidR="00CA307F" w:rsidRPr="0005527B" w:rsidRDefault="00CA307F" w:rsidP="002B1D55">
            <w:pPr>
              <w:rPr>
                <w:rFonts w:cstheme="minorHAnsi"/>
                <w:sz w:val="20"/>
                <w:szCs w:val="20"/>
              </w:rPr>
            </w:pPr>
            <w:r w:rsidRPr="0005527B">
              <w:rPr>
                <w:rFonts w:cstheme="minorHAnsi"/>
                <w:sz w:val="20"/>
                <w:szCs w:val="20"/>
              </w:rPr>
              <w:t>- self-monitoring skills</w:t>
            </w:r>
          </w:p>
          <w:p w:rsidR="00CA307F" w:rsidRPr="0005527B" w:rsidRDefault="00CA307F" w:rsidP="002B1D55">
            <w:pPr>
              <w:rPr>
                <w:rFonts w:cstheme="minorHAnsi"/>
                <w:sz w:val="20"/>
                <w:szCs w:val="20"/>
              </w:rPr>
            </w:pPr>
            <w:r w:rsidRPr="0005527B">
              <w:rPr>
                <w:rFonts w:cstheme="minorHAnsi"/>
                <w:sz w:val="20"/>
                <w:szCs w:val="20"/>
              </w:rPr>
              <w:t>- goal-setting skills</w:t>
            </w:r>
          </w:p>
          <w:p w:rsidR="00CA307F" w:rsidRPr="0005527B" w:rsidRDefault="00CA307F" w:rsidP="002B1D55">
            <w:pPr>
              <w:rPr>
                <w:rFonts w:cstheme="minorHAnsi"/>
                <w:sz w:val="20"/>
                <w:szCs w:val="20"/>
              </w:rPr>
            </w:pPr>
            <w:r w:rsidRPr="0005527B">
              <w:rPr>
                <w:rFonts w:cstheme="minorHAnsi"/>
                <w:sz w:val="20"/>
                <w:szCs w:val="20"/>
              </w:rPr>
              <w:lastRenderedPageBreak/>
              <w:t>- problem-solving skills</w:t>
            </w:r>
          </w:p>
        </w:tc>
        <w:tc>
          <w:tcPr>
            <w:tcW w:w="2093"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lastRenderedPageBreak/>
              <w:t>- weight loss</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HbA1C</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-BP</w:t>
            </w:r>
          </w:p>
        </w:tc>
        <w:tc>
          <w:tcPr>
            <w:tcW w:w="2539"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xml:space="preserve">- </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no si</w:t>
            </w:r>
            <w:r>
              <w:rPr>
                <w:rFonts w:cstheme="minorHAnsi"/>
                <w:sz w:val="20"/>
                <w:szCs w:val="20"/>
              </w:rPr>
              <w:t>gnificant</w:t>
            </w:r>
            <w:r w:rsidRPr="0005527B">
              <w:rPr>
                <w:rFonts w:cstheme="minorHAnsi"/>
                <w:sz w:val="20"/>
                <w:szCs w:val="20"/>
              </w:rPr>
              <w:t>. diff</w:t>
            </w:r>
            <w:r>
              <w:rPr>
                <w:rFonts w:cstheme="minorHAnsi"/>
                <w:sz w:val="20"/>
                <w:szCs w:val="20"/>
              </w:rPr>
              <w:t>erences</w:t>
            </w:r>
            <w:r w:rsidRPr="0005527B">
              <w:rPr>
                <w:rFonts w:cstheme="minorHAnsi"/>
                <w:sz w:val="20"/>
                <w:szCs w:val="20"/>
              </w:rPr>
              <w:t xml:space="preserve"> in </w:t>
            </w:r>
            <w:r>
              <w:rPr>
                <w:rFonts w:cstheme="minorHAnsi"/>
                <w:sz w:val="20"/>
                <w:szCs w:val="20"/>
              </w:rPr>
              <w:t>blood pressure</w:t>
            </w:r>
            <w:r w:rsidRPr="0005527B">
              <w:rPr>
                <w:rFonts w:cstheme="minorHAnsi"/>
                <w:sz w:val="20"/>
                <w:szCs w:val="20"/>
              </w:rPr>
              <w:t xml:space="preserve"> and HbA1C</w:t>
            </w:r>
          </w:p>
          <w:p w:rsidR="00CA307F" w:rsidRPr="0005527B" w:rsidRDefault="00CA307F" w:rsidP="002B1D55">
            <w:pPr>
              <w:autoSpaceDE w:val="0"/>
              <w:autoSpaceDN w:val="0"/>
              <w:adjustRightInd w:val="0"/>
              <w:rPr>
                <w:rFonts w:cstheme="minorHAnsi"/>
                <w:sz w:val="20"/>
                <w:szCs w:val="20"/>
              </w:rPr>
            </w:pP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lastRenderedPageBreak/>
              <w:t xml:space="preserve">11. </w:t>
            </w:r>
            <w:r w:rsidRPr="0005527B">
              <w:rPr>
                <w:rFonts w:cstheme="minorHAnsi"/>
                <w:sz w:val="20"/>
                <w:szCs w:val="20"/>
              </w:rPr>
              <w:t>Howard Thompson A, et al. 2013</w:t>
            </w:r>
          </w:p>
        </w:tc>
        <w:tc>
          <w:tcPr>
            <w:tcW w:w="2427" w:type="dxa"/>
            <w:shd w:val="clear" w:color="auto" w:fill="auto"/>
          </w:tcPr>
          <w:p w:rsidR="00CA307F" w:rsidRPr="0005527B" w:rsidRDefault="00CA307F" w:rsidP="002B1D55">
            <w:pPr>
              <w:shd w:val="clear" w:color="auto" w:fill="FFFFFF"/>
              <w:spacing w:before="100" w:beforeAutospacing="1" w:after="100" w:afterAutospacing="1"/>
              <w:outlineLvl w:val="0"/>
              <w:rPr>
                <w:rFonts w:cstheme="minorHAnsi"/>
                <w:color w:val="212121"/>
                <w:kern w:val="36"/>
                <w:sz w:val="20"/>
                <w:szCs w:val="20"/>
              </w:rPr>
            </w:pPr>
            <w:r w:rsidRPr="0005527B">
              <w:rPr>
                <w:rFonts w:cstheme="minorHAnsi"/>
                <w:color w:val="212121"/>
                <w:kern w:val="36"/>
                <w:sz w:val="20"/>
                <w:szCs w:val="20"/>
              </w:rPr>
              <w:t>Pharmacist-physician collaboration for diabetes care: cardiovascular outcomes</w:t>
            </w:r>
          </w:p>
          <w:p w:rsidR="00CA307F" w:rsidRPr="0005527B" w:rsidRDefault="00CA307F" w:rsidP="002B1D55">
            <w:pPr>
              <w:autoSpaceDE w:val="0"/>
              <w:autoSpaceDN w:val="0"/>
              <w:adjustRightInd w:val="0"/>
              <w:rPr>
                <w:rFonts w:cstheme="minorHAnsi"/>
                <w:sz w:val="20"/>
                <w:szCs w:val="20"/>
              </w:rPr>
            </w:pPr>
          </w:p>
        </w:tc>
        <w:tc>
          <w:tcPr>
            <w:tcW w:w="2115" w:type="dxa"/>
            <w:shd w:val="clear" w:color="auto" w:fill="auto"/>
          </w:tcPr>
          <w:p w:rsidR="00CA307F" w:rsidRPr="0005527B" w:rsidRDefault="00CA307F" w:rsidP="002B1D55">
            <w:pPr>
              <w:rPr>
                <w:rFonts w:cstheme="minorHAnsi"/>
                <w:sz w:val="20"/>
                <w:szCs w:val="20"/>
              </w:rPr>
            </w:pPr>
            <w:r w:rsidRPr="0005527B">
              <w:rPr>
                <w:rFonts w:cstheme="minorHAnsi"/>
                <w:sz w:val="20"/>
                <w:szCs w:val="20"/>
              </w:rPr>
              <w:t>CV risk patients with DM</w:t>
            </w:r>
          </w:p>
        </w:tc>
        <w:tc>
          <w:tcPr>
            <w:tcW w:w="2085" w:type="dxa"/>
            <w:shd w:val="clear" w:color="auto" w:fill="auto"/>
          </w:tcPr>
          <w:p w:rsidR="00CA307F" w:rsidRPr="001C55AB" w:rsidRDefault="00CA307F" w:rsidP="002B1D55">
            <w:pPr>
              <w:rPr>
                <w:rFonts w:cstheme="minorHAnsi"/>
                <w:b/>
                <w:bCs/>
                <w:sz w:val="20"/>
                <w:szCs w:val="20"/>
              </w:rPr>
            </w:pPr>
            <w:r w:rsidRPr="001C55AB">
              <w:rPr>
                <w:rFonts w:cstheme="minorHAnsi"/>
                <w:b/>
                <w:bCs/>
                <w:sz w:val="20"/>
                <w:szCs w:val="20"/>
              </w:rPr>
              <w:t xml:space="preserve">1- to 12-wk intervals: </w:t>
            </w:r>
          </w:p>
          <w:p w:rsidR="00CA307F" w:rsidRPr="0005527B" w:rsidRDefault="00CA307F" w:rsidP="002B1D55">
            <w:pPr>
              <w:rPr>
                <w:rFonts w:cstheme="minorHAnsi"/>
                <w:sz w:val="20"/>
                <w:szCs w:val="20"/>
              </w:rPr>
            </w:pPr>
            <w:r w:rsidRPr="0005527B">
              <w:rPr>
                <w:rFonts w:cstheme="minorHAnsi"/>
                <w:sz w:val="20"/>
                <w:szCs w:val="20"/>
              </w:rPr>
              <w:t xml:space="preserve">- Pharmacists educated patients, reviewed blood glucose logs, ordered and monitored labs, and adjusted medications </w:t>
            </w:r>
          </w:p>
          <w:p w:rsidR="00CA307F" w:rsidRPr="0005527B" w:rsidRDefault="00CA307F" w:rsidP="002B1D55">
            <w:pPr>
              <w:rPr>
                <w:rFonts w:cstheme="minorHAnsi"/>
                <w:sz w:val="20"/>
                <w:szCs w:val="20"/>
              </w:rPr>
            </w:pPr>
          </w:p>
        </w:tc>
        <w:tc>
          <w:tcPr>
            <w:tcW w:w="2093"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Pre- vs</w:t>
            </w:r>
            <w:r>
              <w:rPr>
                <w:rFonts w:cstheme="minorHAnsi"/>
                <w:sz w:val="20"/>
                <w:szCs w:val="20"/>
              </w:rPr>
              <w:t>.</w:t>
            </w:r>
            <w:r w:rsidRPr="0005527B">
              <w:rPr>
                <w:rFonts w:cstheme="minorHAnsi"/>
                <w:sz w:val="20"/>
                <w:szCs w:val="20"/>
              </w:rPr>
              <w:t xml:space="preserve"> post-PPCM </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xml:space="preserve">- Reduction in SBP, DBP, and LDL-C </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Percentage of patients achieving BP goal (&lt;130/80)</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Percentage of patients achieving LDL-C goal (&lt;100mg/dl)</w:t>
            </w:r>
          </w:p>
        </w:tc>
        <w:tc>
          <w:tcPr>
            <w:tcW w:w="2539"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PPCM has a positive impact on CV risk in patients with T2DM.</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t xml:space="preserve">12. </w:t>
            </w:r>
            <w:r w:rsidRPr="0005527B">
              <w:rPr>
                <w:rFonts w:cstheme="minorHAnsi"/>
                <w:sz w:val="20"/>
                <w:szCs w:val="20"/>
              </w:rPr>
              <w:t>Hogg 2009</w:t>
            </w:r>
          </w:p>
        </w:tc>
        <w:tc>
          <w:tcPr>
            <w:tcW w:w="2427" w:type="dxa"/>
            <w:shd w:val="clear" w:color="auto" w:fill="auto"/>
          </w:tcPr>
          <w:p w:rsidR="00CA307F" w:rsidRPr="0005527B" w:rsidRDefault="00CA307F" w:rsidP="002B1D55">
            <w:pPr>
              <w:pStyle w:val="Heading1"/>
              <w:shd w:val="clear" w:color="auto" w:fill="FFFFFF"/>
              <w:spacing w:before="0" w:beforeAutospacing="0" w:after="120" w:afterAutospacing="0" w:line="324" w:lineRule="atLeast"/>
              <w:outlineLvl w:val="0"/>
              <w:rPr>
                <w:rFonts w:asciiTheme="minorHAnsi" w:hAnsiTheme="minorHAnsi" w:cstheme="minorHAnsi"/>
                <w:b w:val="0"/>
                <w:bCs w:val="0"/>
                <w:color w:val="000000"/>
                <w:sz w:val="20"/>
                <w:szCs w:val="20"/>
              </w:rPr>
            </w:pPr>
            <w:r w:rsidRPr="0005527B">
              <w:rPr>
                <w:rFonts w:asciiTheme="minorHAnsi" w:hAnsiTheme="minorHAnsi" w:cstheme="minorHAnsi"/>
                <w:b w:val="0"/>
                <w:bCs w:val="0"/>
                <w:color w:val="000000"/>
                <w:sz w:val="20"/>
                <w:szCs w:val="20"/>
              </w:rPr>
              <w:t xml:space="preserve">Randomized controlled trial of Anticipatory and Preventive </w:t>
            </w:r>
            <w:r>
              <w:rPr>
                <w:rFonts w:asciiTheme="minorHAnsi" w:hAnsiTheme="minorHAnsi" w:cstheme="minorHAnsi"/>
                <w:b w:val="0"/>
                <w:bCs w:val="0"/>
                <w:color w:val="000000"/>
                <w:sz w:val="20"/>
                <w:szCs w:val="20"/>
              </w:rPr>
              <w:t>Multidisciplinary</w:t>
            </w:r>
            <w:r w:rsidRPr="0005527B">
              <w:rPr>
                <w:rFonts w:asciiTheme="minorHAnsi" w:hAnsiTheme="minorHAnsi" w:cstheme="minorHAnsi"/>
                <w:b w:val="0"/>
                <w:bCs w:val="0"/>
                <w:color w:val="000000"/>
                <w:sz w:val="20"/>
                <w:szCs w:val="20"/>
              </w:rPr>
              <w:t xml:space="preserve"> Team Care</w:t>
            </w:r>
          </w:p>
          <w:p w:rsidR="00CA307F" w:rsidRPr="0005527B" w:rsidRDefault="00CA307F" w:rsidP="002B1D55">
            <w:pPr>
              <w:autoSpaceDE w:val="0"/>
              <w:autoSpaceDN w:val="0"/>
              <w:adjustRightInd w:val="0"/>
              <w:rPr>
                <w:rFonts w:cstheme="minorHAnsi"/>
                <w:sz w:val="20"/>
                <w:szCs w:val="20"/>
              </w:rPr>
            </w:pPr>
            <w:r w:rsidRPr="0005527B">
              <w:rPr>
                <w:rFonts w:cstheme="minorHAnsi"/>
                <w:color w:val="000000"/>
                <w:sz w:val="20"/>
                <w:szCs w:val="20"/>
              </w:rPr>
              <w:t>For complex patients in a community-based primary care setting</w:t>
            </w:r>
          </w:p>
        </w:tc>
        <w:tc>
          <w:tcPr>
            <w:tcW w:w="2115" w:type="dxa"/>
            <w:shd w:val="clear" w:color="auto" w:fill="auto"/>
          </w:tcPr>
          <w:p w:rsidR="00CA307F" w:rsidRPr="0005527B" w:rsidRDefault="00CA307F" w:rsidP="002B1D55">
            <w:pPr>
              <w:rPr>
                <w:rFonts w:cstheme="minorHAnsi"/>
                <w:sz w:val="20"/>
                <w:szCs w:val="20"/>
              </w:rPr>
            </w:pPr>
          </w:p>
        </w:tc>
        <w:tc>
          <w:tcPr>
            <w:tcW w:w="2085" w:type="dxa"/>
            <w:shd w:val="clear" w:color="auto" w:fill="auto"/>
          </w:tcPr>
          <w:p w:rsidR="00CA307F" w:rsidRPr="001C55AB" w:rsidRDefault="00CA307F" w:rsidP="002B1D55">
            <w:pPr>
              <w:autoSpaceDE w:val="0"/>
              <w:autoSpaceDN w:val="0"/>
              <w:adjustRightInd w:val="0"/>
              <w:rPr>
                <w:rFonts w:cstheme="minorHAnsi"/>
                <w:b/>
                <w:bCs/>
                <w:sz w:val="20"/>
                <w:szCs w:val="20"/>
              </w:rPr>
            </w:pPr>
            <w:r w:rsidRPr="001C55AB">
              <w:rPr>
                <w:rFonts w:cstheme="minorHAnsi"/>
                <w:b/>
                <w:bCs/>
                <w:sz w:val="20"/>
                <w:szCs w:val="20"/>
              </w:rPr>
              <w:t>14.4 months:</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xml:space="preserve">Anticipatory and Preventive Team Care </w:t>
            </w:r>
            <w:r w:rsidRPr="0005527B">
              <w:rPr>
                <w:rFonts w:cstheme="minorHAnsi"/>
                <w:sz w:val="20"/>
                <w:szCs w:val="20"/>
                <w:cs/>
              </w:rPr>
              <w:t>(</w:t>
            </w:r>
            <w:proofErr w:type="spellStart"/>
            <w:r w:rsidRPr="0005527B">
              <w:rPr>
                <w:rFonts w:cstheme="minorHAnsi"/>
                <w:sz w:val="20"/>
                <w:szCs w:val="20"/>
              </w:rPr>
              <w:t>APTCare</w:t>
            </w:r>
            <w:proofErr w:type="spellEnd"/>
            <w:r w:rsidRPr="0005527B">
              <w:rPr>
                <w:rFonts w:cstheme="minorHAnsi"/>
                <w:sz w:val="20"/>
                <w:szCs w:val="20"/>
                <w:cs/>
              </w:rPr>
              <w:t xml:space="preserve">) </w:t>
            </w:r>
            <w:r w:rsidRPr="0005527B">
              <w:rPr>
                <w:rFonts w:cstheme="minorHAnsi"/>
                <w:sz w:val="20"/>
                <w:szCs w:val="20"/>
              </w:rPr>
              <w:t>from a collaborative team composed of</w:t>
            </w:r>
          </w:p>
          <w:p w:rsidR="00CA307F" w:rsidRPr="0005527B" w:rsidRDefault="00CA307F" w:rsidP="002B1D55">
            <w:pPr>
              <w:rPr>
                <w:rFonts w:cstheme="minorHAnsi"/>
                <w:sz w:val="20"/>
                <w:szCs w:val="20"/>
              </w:rPr>
            </w:pPr>
            <w:r w:rsidRPr="0005527B">
              <w:rPr>
                <w:rFonts w:cstheme="minorHAnsi"/>
                <w:sz w:val="20"/>
                <w:szCs w:val="20"/>
              </w:rPr>
              <w:t>their physicians, 1 of 3 nurse practitioners, and a pharmacist</w:t>
            </w:r>
          </w:p>
          <w:p w:rsidR="00CA307F" w:rsidRPr="0005527B" w:rsidRDefault="00CA307F" w:rsidP="002B1D55">
            <w:pPr>
              <w:rPr>
                <w:rFonts w:cstheme="minorHAnsi"/>
                <w:sz w:val="20"/>
                <w:szCs w:val="20"/>
              </w:rPr>
            </w:pPr>
            <w:r w:rsidRPr="0005527B">
              <w:rPr>
                <w:rFonts w:cstheme="minorHAnsi"/>
                <w:sz w:val="20"/>
                <w:szCs w:val="20"/>
              </w:rPr>
              <w:t>VS usual care (FM alone)</w:t>
            </w:r>
          </w:p>
        </w:tc>
        <w:tc>
          <w:tcPr>
            <w:tcW w:w="2093"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xml:space="preserve">- chronic disease management score </w:t>
            </w:r>
            <w:r w:rsidRPr="0005527B">
              <w:rPr>
                <w:rFonts w:cstheme="minorHAnsi"/>
                <w:sz w:val="20"/>
                <w:szCs w:val="20"/>
                <w:cs/>
              </w:rPr>
              <w:t>(</w:t>
            </w:r>
            <w:r w:rsidRPr="0005527B">
              <w:rPr>
                <w:rFonts w:cstheme="minorHAnsi"/>
                <w:sz w:val="20"/>
                <w:szCs w:val="20"/>
              </w:rPr>
              <w:t>CDM</w:t>
            </w:r>
            <w:r w:rsidRPr="0005527B">
              <w:rPr>
                <w:rFonts w:cstheme="minorHAnsi"/>
                <w:sz w:val="20"/>
                <w:szCs w:val="20"/>
                <w:cs/>
              </w:rPr>
              <w:t xml:space="preserve">) </w:t>
            </w:r>
            <w:r w:rsidRPr="0005527B">
              <w:rPr>
                <w:rFonts w:cstheme="minorHAnsi"/>
                <w:sz w:val="20"/>
                <w:szCs w:val="20"/>
              </w:rPr>
              <w:t>for diabetes</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preventive care</w:t>
            </w:r>
          </w:p>
        </w:tc>
        <w:tc>
          <w:tcPr>
            <w:tcW w:w="2539"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Intervention group;</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not significantly associated with the QOC score</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Improved preventive care by 16</w:t>
            </w:r>
            <w:r w:rsidRPr="0005527B">
              <w:rPr>
                <w:rFonts w:cstheme="minorHAnsi"/>
                <w:sz w:val="20"/>
                <w:szCs w:val="20"/>
                <w:cs/>
              </w:rPr>
              <w:t>.</w:t>
            </w:r>
            <w:r w:rsidRPr="0005527B">
              <w:rPr>
                <w:rFonts w:cstheme="minorHAnsi"/>
                <w:sz w:val="20"/>
                <w:szCs w:val="20"/>
              </w:rPr>
              <w:t>5</w:t>
            </w:r>
            <w:r w:rsidRPr="0005527B">
              <w:rPr>
                <w:rFonts w:cstheme="minorHAnsi"/>
                <w:sz w:val="20"/>
                <w:szCs w:val="20"/>
                <w:cs/>
              </w:rPr>
              <w:t>%</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cstheme="minorHAnsi"/>
                <w:sz w:val="20"/>
                <w:szCs w:val="20"/>
              </w:rPr>
              <w:t xml:space="preserve">13. </w:t>
            </w:r>
            <w:proofErr w:type="spellStart"/>
            <w:r w:rsidRPr="0005527B">
              <w:rPr>
                <w:rFonts w:cstheme="minorHAnsi"/>
                <w:sz w:val="20"/>
                <w:szCs w:val="20"/>
              </w:rPr>
              <w:t>Köberlein</w:t>
            </w:r>
            <w:proofErr w:type="spellEnd"/>
            <w:r w:rsidRPr="0005527B">
              <w:rPr>
                <w:rFonts w:cstheme="minorHAnsi"/>
                <w:sz w:val="20"/>
                <w:szCs w:val="20"/>
                <w:cs/>
              </w:rPr>
              <w:t>-</w:t>
            </w:r>
            <w:proofErr w:type="spellStart"/>
            <w:r w:rsidRPr="0005527B">
              <w:rPr>
                <w:rFonts w:cstheme="minorHAnsi"/>
                <w:sz w:val="20"/>
                <w:szCs w:val="20"/>
              </w:rPr>
              <w:t>Neu</w:t>
            </w:r>
            <w:proofErr w:type="spellEnd"/>
            <w:r w:rsidRPr="0005527B">
              <w:rPr>
                <w:rFonts w:cstheme="minorHAnsi"/>
                <w:sz w:val="20"/>
                <w:szCs w:val="20"/>
              </w:rPr>
              <w:t>, J</w:t>
            </w:r>
            <w:r w:rsidRPr="0005527B">
              <w:rPr>
                <w:rFonts w:cstheme="minorHAnsi"/>
                <w:sz w:val="20"/>
                <w:szCs w:val="20"/>
                <w:cs/>
              </w:rPr>
              <w:t>.</w:t>
            </w:r>
            <w:r w:rsidRPr="0005527B">
              <w:rPr>
                <w:rFonts w:cstheme="minorHAnsi"/>
                <w:sz w:val="20"/>
                <w:szCs w:val="20"/>
              </w:rPr>
              <w:t xml:space="preserve"> 2016</w:t>
            </w:r>
          </w:p>
        </w:tc>
        <w:tc>
          <w:tcPr>
            <w:tcW w:w="2427"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Interprofessional Medication Management in Patients With Multiple Morbidities</w:t>
            </w:r>
          </w:p>
        </w:tc>
        <w:tc>
          <w:tcPr>
            <w:tcW w:w="2115" w:type="dxa"/>
            <w:shd w:val="clear" w:color="auto" w:fill="auto"/>
          </w:tcPr>
          <w:p w:rsidR="00CA307F" w:rsidRPr="0005527B" w:rsidRDefault="00CA307F" w:rsidP="002B1D55">
            <w:pPr>
              <w:rPr>
                <w:rFonts w:cstheme="minorHAnsi"/>
                <w:sz w:val="20"/>
                <w:szCs w:val="20"/>
              </w:rPr>
            </w:pPr>
            <w:r w:rsidRPr="0005527B">
              <w:rPr>
                <w:rFonts w:cstheme="minorHAnsi"/>
                <w:sz w:val="20"/>
                <w:szCs w:val="20"/>
              </w:rPr>
              <w:t>≥ 2 chronic conditions in different organs + 1 CV disease</w:t>
            </w:r>
          </w:p>
        </w:tc>
        <w:tc>
          <w:tcPr>
            <w:tcW w:w="2085" w:type="dxa"/>
            <w:shd w:val="clear" w:color="auto" w:fill="auto"/>
          </w:tcPr>
          <w:p w:rsidR="00CA307F" w:rsidRPr="001C55AB" w:rsidRDefault="00CA307F" w:rsidP="002B1D55">
            <w:pPr>
              <w:rPr>
                <w:rFonts w:cstheme="minorHAnsi"/>
                <w:b/>
                <w:bCs/>
                <w:sz w:val="20"/>
                <w:szCs w:val="20"/>
              </w:rPr>
            </w:pPr>
            <w:r w:rsidRPr="001C55AB">
              <w:rPr>
                <w:rFonts w:cstheme="minorHAnsi"/>
                <w:b/>
                <w:bCs/>
                <w:sz w:val="20"/>
                <w:szCs w:val="20"/>
              </w:rPr>
              <w:t>15 months:</w:t>
            </w:r>
          </w:p>
          <w:p w:rsidR="00CA307F" w:rsidRPr="0005527B" w:rsidRDefault="00CA307F" w:rsidP="002B1D55">
            <w:pPr>
              <w:rPr>
                <w:rFonts w:cstheme="minorHAnsi"/>
                <w:sz w:val="20"/>
                <w:szCs w:val="20"/>
              </w:rPr>
            </w:pPr>
            <w:r w:rsidRPr="0005527B">
              <w:rPr>
                <w:rFonts w:cstheme="minorHAnsi"/>
                <w:sz w:val="20"/>
                <w:szCs w:val="20"/>
              </w:rPr>
              <w:t xml:space="preserve">1. medication management, and </w:t>
            </w:r>
          </w:p>
          <w:p w:rsidR="00CA307F" w:rsidRPr="0005527B" w:rsidRDefault="00CA307F" w:rsidP="002B1D55">
            <w:pPr>
              <w:rPr>
                <w:rFonts w:cstheme="minorHAnsi"/>
                <w:sz w:val="20"/>
                <w:szCs w:val="20"/>
              </w:rPr>
            </w:pPr>
            <w:r w:rsidRPr="0005527B">
              <w:rPr>
                <w:rFonts w:cstheme="minorHAnsi"/>
                <w:sz w:val="20"/>
                <w:szCs w:val="20"/>
              </w:rPr>
              <w:t xml:space="preserve">2. care provided by the </w:t>
            </w:r>
            <w:proofErr w:type="spellStart"/>
            <w:r w:rsidRPr="0005527B">
              <w:rPr>
                <w:rFonts w:cstheme="minorHAnsi"/>
                <w:sz w:val="20"/>
                <w:szCs w:val="20"/>
              </w:rPr>
              <w:t>Pflege</w:t>
            </w:r>
            <w:proofErr w:type="spellEnd"/>
            <w:r w:rsidRPr="0005527B">
              <w:rPr>
                <w:rFonts w:cstheme="minorHAnsi"/>
                <w:sz w:val="20"/>
                <w:szCs w:val="20"/>
              </w:rPr>
              <w:t xml:space="preserve">- und </w:t>
            </w:r>
            <w:proofErr w:type="spellStart"/>
            <w:r w:rsidRPr="0005527B">
              <w:rPr>
                <w:rFonts w:cstheme="minorHAnsi"/>
                <w:sz w:val="20"/>
                <w:szCs w:val="20"/>
              </w:rPr>
              <w:t>Wohnberatung</w:t>
            </w:r>
            <w:proofErr w:type="spellEnd"/>
            <w:r w:rsidRPr="0005527B">
              <w:rPr>
                <w:rFonts w:cstheme="minorHAnsi"/>
                <w:sz w:val="20"/>
                <w:szCs w:val="20"/>
              </w:rPr>
              <w:t xml:space="preserve"> (</w:t>
            </w:r>
            <w:proofErr w:type="spellStart"/>
            <w:r w:rsidRPr="0005527B">
              <w:rPr>
                <w:rFonts w:cstheme="minorHAnsi"/>
                <w:sz w:val="20"/>
                <w:szCs w:val="20"/>
              </w:rPr>
              <w:t>PuW</w:t>
            </w:r>
            <w:proofErr w:type="spellEnd"/>
            <w:r w:rsidRPr="0005527B">
              <w:rPr>
                <w:rFonts w:cstheme="minorHAnsi"/>
                <w:sz w:val="20"/>
                <w:szCs w:val="20"/>
              </w:rPr>
              <w:t>, home-care specialists)</w:t>
            </w:r>
          </w:p>
        </w:tc>
        <w:tc>
          <w:tcPr>
            <w:tcW w:w="2093"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quality of pharmacotherapy (MAI)</w:t>
            </w:r>
          </w:p>
        </w:tc>
        <w:tc>
          <w:tcPr>
            <w:tcW w:w="2539" w:type="dxa"/>
            <w:shd w:val="clear" w:color="auto" w:fill="auto"/>
          </w:tcPr>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Intervention phase:</w:t>
            </w:r>
          </w:p>
          <w:p w:rsidR="00CA307F" w:rsidRPr="0005527B" w:rsidRDefault="00CA307F" w:rsidP="002B1D55">
            <w:pPr>
              <w:autoSpaceDE w:val="0"/>
              <w:autoSpaceDN w:val="0"/>
              <w:adjustRightInd w:val="0"/>
              <w:rPr>
                <w:rFonts w:cstheme="minorHAnsi"/>
                <w:sz w:val="20"/>
                <w:szCs w:val="20"/>
              </w:rPr>
            </w:pPr>
            <w:r w:rsidRPr="0005527B">
              <w:rPr>
                <w:rFonts w:cstheme="minorHAnsi"/>
                <w:sz w:val="20"/>
                <w:szCs w:val="20"/>
              </w:rPr>
              <w:t xml:space="preserve">- significant reduction of mean MAI score </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ascii="Segoe UI" w:eastAsiaTheme="minorEastAsia" w:hAnsi="Segoe UI" w:cs="Segoe UI"/>
                <w:sz w:val="18"/>
                <w:szCs w:val="18"/>
                <w:lang w:eastAsia="zh-CN"/>
              </w:rPr>
              <w:t xml:space="preserve">14. </w:t>
            </w:r>
            <w:proofErr w:type="spellStart"/>
            <w:r>
              <w:rPr>
                <w:rFonts w:ascii="Segoe UI" w:eastAsiaTheme="minorEastAsia" w:hAnsi="Segoe UI" w:cs="Segoe UI"/>
                <w:sz w:val="18"/>
                <w:szCs w:val="18"/>
                <w:lang w:eastAsia="zh-CN"/>
              </w:rPr>
              <w:t>Naganathan</w:t>
            </w:r>
            <w:proofErr w:type="spellEnd"/>
            <w:r>
              <w:rPr>
                <w:rFonts w:ascii="Segoe UI" w:eastAsiaTheme="minorEastAsia" w:hAnsi="Segoe UI" w:cs="Segoe UI"/>
                <w:sz w:val="18"/>
                <w:szCs w:val="18"/>
                <w:lang w:eastAsia="zh-CN"/>
              </w:rPr>
              <w:t xml:space="preserve"> G, 2016</w:t>
            </w:r>
          </w:p>
        </w:tc>
        <w:tc>
          <w:tcPr>
            <w:tcW w:w="2427" w:type="dxa"/>
            <w:shd w:val="clear" w:color="auto" w:fill="auto"/>
          </w:tcPr>
          <w:p w:rsidR="00CA307F" w:rsidRPr="0005527B" w:rsidRDefault="00CA307F" w:rsidP="002B1D55">
            <w:pPr>
              <w:autoSpaceDE w:val="0"/>
              <w:autoSpaceDN w:val="0"/>
              <w:adjustRightInd w:val="0"/>
              <w:rPr>
                <w:rFonts w:cstheme="minorHAnsi"/>
                <w:sz w:val="20"/>
                <w:szCs w:val="20"/>
              </w:rPr>
            </w:pPr>
            <w:r>
              <w:rPr>
                <w:rFonts w:ascii="Segoe UI" w:eastAsiaTheme="minorEastAsia" w:hAnsi="Segoe UI" w:cs="Segoe UI"/>
                <w:sz w:val="18"/>
                <w:szCs w:val="18"/>
                <w:lang w:eastAsia="zh-CN"/>
              </w:rPr>
              <w:t>Perceived value of support for older adults coping with multi</w:t>
            </w:r>
            <w:r>
              <w:rPr>
                <w:rFonts w:ascii="Segoe UI" w:eastAsiaTheme="minorEastAsia" w:hAnsi="Segoe UI" w:cs="Angsana New"/>
                <w:sz w:val="18"/>
                <w:szCs w:val="18"/>
                <w:cs/>
                <w:lang w:eastAsia="zh-CN"/>
              </w:rPr>
              <w:t>-</w:t>
            </w:r>
            <w:r>
              <w:rPr>
                <w:rFonts w:ascii="Segoe UI" w:eastAsiaTheme="minorEastAsia" w:hAnsi="Segoe UI" w:cs="Segoe UI"/>
                <w:sz w:val="18"/>
                <w:szCs w:val="18"/>
                <w:lang w:eastAsia="zh-CN"/>
              </w:rPr>
              <w:t>morbidity</w:t>
            </w:r>
            <w:r>
              <w:rPr>
                <w:rFonts w:ascii="Segoe UI" w:eastAsiaTheme="minorEastAsia" w:hAnsi="Segoe UI" w:cs="Angsana New"/>
                <w:sz w:val="18"/>
                <w:szCs w:val="18"/>
                <w:cs/>
                <w:lang w:eastAsia="zh-CN"/>
              </w:rPr>
              <w:t xml:space="preserve">: </w:t>
            </w:r>
            <w:r>
              <w:rPr>
                <w:rFonts w:ascii="Segoe UI" w:eastAsiaTheme="minorEastAsia" w:hAnsi="Segoe UI" w:cs="Segoe UI"/>
                <w:sz w:val="18"/>
                <w:szCs w:val="18"/>
                <w:lang w:eastAsia="zh-CN"/>
              </w:rPr>
              <w:t>patient, informal caregiver and family physician perspectives</w:t>
            </w:r>
          </w:p>
        </w:tc>
        <w:tc>
          <w:tcPr>
            <w:tcW w:w="2115" w:type="dxa"/>
            <w:shd w:val="clear" w:color="auto" w:fill="auto"/>
          </w:tcPr>
          <w:p w:rsidR="00CA307F" w:rsidRPr="00711BB7" w:rsidRDefault="00CA307F" w:rsidP="002B1D55">
            <w:pPr>
              <w:rPr>
                <w:rFonts w:eastAsiaTheme="minorEastAsia" w:cs="Browallia New"/>
                <w:sz w:val="20"/>
                <w:szCs w:val="25"/>
                <w:lang w:eastAsia="zh-CN"/>
              </w:rPr>
            </w:pPr>
            <w:r>
              <w:rPr>
                <w:rFonts w:eastAsiaTheme="minorEastAsia" w:cs="Browallia New"/>
                <w:sz w:val="20"/>
                <w:szCs w:val="25"/>
                <w:lang w:eastAsia="zh-CN"/>
              </w:rPr>
              <w:t xml:space="preserve">Patients aged </w:t>
            </w:r>
            <w:r>
              <w:rPr>
                <w:rFonts w:eastAsiaTheme="minorEastAsia" w:cstheme="minorHAnsi"/>
                <w:sz w:val="20"/>
                <w:szCs w:val="25"/>
                <w:lang w:eastAsia="zh-CN"/>
              </w:rPr>
              <w:t>≥</w:t>
            </w:r>
            <w:r>
              <w:rPr>
                <w:rFonts w:eastAsiaTheme="minorEastAsia" w:cs="Browallia New"/>
                <w:sz w:val="20"/>
                <w:szCs w:val="25"/>
                <w:lang w:eastAsia="zh-CN"/>
              </w:rPr>
              <w:t xml:space="preserve"> 65 years with </w:t>
            </w:r>
            <w:r>
              <w:rPr>
                <w:rFonts w:eastAsiaTheme="minorEastAsia" w:cstheme="minorHAnsi"/>
                <w:sz w:val="20"/>
                <w:szCs w:val="25"/>
                <w:lang w:eastAsia="zh-CN"/>
              </w:rPr>
              <w:t>≥</w:t>
            </w:r>
            <w:r>
              <w:rPr>
                <w:rFonts w:eastAsiaTheme="minorEastAsia" w:cs="Browallia New"/>
                <w:sz w:val="20"/>
                <w:szCs w:val="25"/>
                <w:lang w:eastAsia="zh-CN"/>
              </w:rPr>
              <w:t xml:space="preserve"> 2 conditions</w:t>
            </w:r>
          </w:p>
        </w:tc>
        <w:tc>
          <w:tcPr>
            <w:tcW w:w="2085" w:type="dxa"/>
            <w:shd w:val="clear" w:color="auto" w:fill="auto"/>
          </w:tcPr>
          <w:p w:rsidR="00CA307F" w:rsidRPr="0005527B" w:rsidRDefault="00CA307F" w:rsidP="002B1D55">
            <w:pPr>
              <w:rPr>
                <w:rFonts w:cstheme="minorHAnsi"/>
                <w:sz w:val="20"/>
                <w:szCs w:val="20"/>
              </w:rPr>
            </w:pPr>
            <w:r>
              <w:rPr>
                <w:rFonts w:cstheme="minorHAnsi"/>
                <w:sz w:val="20"/>
                <w:szCs w:val="20"/>
              </w:rPr>
              <w:t xml:space="preserve">Semi-structural interview about </w:t>
            </w:r>
            <w:r w:rsidRPr="00B13B09">
              <w:rPr>
                <w:rFonts w:cstheme="minorHAnsi"/>
                <w:sz w:val="20"/>
                <w:szCs w:val="20"/>
              </w:rPr>
              <w:t xml:space="preserve">care experiences, </w:t>
            </w:r>
            <w:r>
              <w:rPr>
                <w:rFonts w:cstheme="minorHAnsi"/>
                <w:sz w:val="20"/>
                <w:szCs w:val="20"/>
              </w:rPr>
              <w:t>perception of support,</w:t>
            </w:r>
            <w:r w:rsidRPr="00B13B09">
              <w:rPr>
                <w:rFonts w:cstheme="minorHAnsi"/>
                <w:sz w:val="20"/>
                <w:szCs w:val="20"/>
              </w:rPr>
              <w:t xml:space="preserve"> goals of care</w:t>
            </w:r>
            <w:r>
              <w:rPr>
                <w:rFonts w:cstheme="minorHAnsi"/>
                <w:sz w:val="20"/>
                <w:szCs w:val="20"/>
              </w:rPr>
              <w:t>,</w:t>
            </w:r>
            <w:r w:rsidRPr="00B13B09">
              <w:rPr>
                <w:rFonts w:cstheme="minorHAnsi"/>
                <w:sz w:val="20"/>
                <w:szCs w:val="20"/>
              </w:rPr>
              <w:t xml:space="preserve"> and frustrations</w:t>
            </w:r>
          </w:p>
        </w:tc>
        <w:tc>
          <w:tcPr>
            <w:tcW w:w="2093" w:type="dxa"/>
            <w:shd w:val="clear" w:color="auto" w:fill="auto"/>
          </w:tcPr>
          <w:p w:rsidR="00CA307F" w:rsidRPr="00F70954" w:rsidRDefault="00CA307F" w:rsidP="002B1D55">
            <w:pPr>
              <w:autoSpaceDE w:val="0"/>
              <w:autoSpaceDN w:val="0"/>
              <w:adjustRightInd w:val="0"/>
              <w:rPr>
                <w:sz w:val="20"/>
                <w:szCs w:val="20"/>
                <w:cs/>
              </w:rPr>
            </w:pPr>
            <w:r>
              <w:rPr>
                <w:rFonts w:cstheme="minorHAnsi"/>
                <w:sz w:val="20"/>
                <w:szCs w:val="20"/>
              </w:rPr>
              <w:t>-</w:t>
            </w:r>
          </w:p>
        </w:tc>
        <w:tc>
          <w:tcPr>
            <w:tcW w:w="2539" w:type="dxa"/>
            <w:shd w:val="clear" w:color="auto" w:fill="auto"/>
          </w:tcPr>
          <w:p w:rsidR="00CA307F" w:rsidRPr="0005527B" w:rsidRDefault="00CA307F" w:rsidP="002B1D55">
            <w:pPr>
              <w:autoSpaceDE w:val="0"/>
              <w:autoSpaceDN w:val="0"/>
              <w:adjustRightInd w:val="0"/>
              <w:rPr>
                <w:rFonts w:cstheme="minorHAnsi"/>
                <w:sz w:val="20"/>
                <w:szCs w:val="20"/>
              </w:rPr>
            </w:pPr>
            <w:r>
              <w:rPr>
                <w:rFonts w:cstheme="minorHAnsi"/>
                <w:sz w:val="20"/>
                <w:szCs w:val="20"/>
              </w:rPr>
              <w:t>Formal care was considered positive by caregivers’ and providers’ views, but it was rejected by patients. Patients preferred informal care from their familiar caregivers.</w:t>
            </w:r>
          </w:p>
        </w:tc>
      </w:tr>
      <w:tr w:rsidR="00CA307F" w:rsidRPr="0005527B" w:rsidTr="002B1D55">
        <w:tc>
          <w:tcPr>
            <w:tcW w:w="1691" w:type="dxa"/>
            <w:shd w:val="clear" w:color="auto" w:fill="auto"/>
          </w:tcPr>
          <w:p w:rsidR="00CA307F" w:rsidRDefault="00CA307F" w:rsidP="002B1D55">
            <w:pPr>
              <w:rPr>
                <w:rFonts w:ascii="Segoe UI" w:eastAsiaTheme="minorEastAsia" w:hAnsi="Segoe UI" w:cs="Segoe UI"/>
                <w:sz w:val="18"/>
                <w:szCs w:val="18"/>
                <w:lang w:eastAsia="zh-CN"/>
              </w:rPr>
            </w:pPr>
            <w:r>
              <w:rPr>
                <w:sz w:val="20"/>
                <w:szCs w:val="20"/>
              </w:rPr>
              <w:t xml:space="preserve">15. </w:t>
            </w:r>
            <w:proofErr w:type="spellStart"/>
            <w:r w:rsidRPr="00C13D36">
              <w:rPr>
                <w:sz w:val="20"/>
                <w:szCs w:val="20"/>
              </w:rPr>
              <w:t>Christiane</w:t>
            </w:r>
            <w:proofErr w:type="spellEnd"/>
            <w:r w:rsidRPr="00C13D36">
              <w:rPr>
                <w:sz w:val="20"/>
                <w:szCs w:val="20"/>
              </w:rPr>
              <w:t xml:space="preserve"> </w:t>
            </w:r>
            <w:proofErr w:type="spellStart"/>
            <w:r w:rsidRPr="00C13D36">
              <w:rPr>
                <w:sz w:val="20"/>
                <w:szCs w:val="20"/>
              </w:rPr>
              <w:t>Muth</w:t>
            </w:r>
            <w:proofErr w:type="spellEnd"/>
            <w:r>
              <w:rPr>
                <w:sz w:val="20"/>
                <w:szCs w:val="20"/>
              </w:rPr>
              <w:t xml:space="preserve"> 2014</w:t>
            </w:r>
          </w:p>
        </w:tc>
        <w:tc>
          <w:tcPr>
            <w:tcW w:w="2427" w:type="dxa"/>
            <w:shd w:val="clear" w:color="auto" w:fill="auto"/>
          </w:tcPr>
          <w:p w:rsidR="00CA307F" w:rsidRDefault="00CA307F" w:rsidP="002B1D55">
            <w:pPr>
              <w:autoSpaceDE w:val="0"/>
              <w:autoSpaceDN w:val="0"/>
              <w:adjustRightInd w:val="0"/>
              <w:rPr>
                <w:rFonts w:ascii="Segoe UI" w:eastAsiaTheme="minorEastAsia" w:hAnsi="Segoe UI" w:cs="Segoe UI"/>
                <w:sz w:val="18"/>
                <w:szCs w:val="18"/>
                <w:lang w:eastAsia="zh-CN"/>
              </w:rPr>
            </w:pPr>
            <w:r w:rsidRPr="00C13D36">
              <w:rPr>
                <w:sz w:val="20"/>
                <w:szCs w:val="20"/>
              </w:rPr>
              <w:t>Current guidelines poorly address multimorbidity: pilot of the interaction matrix method</w:t>
            </w:r>
          </w:p>
        </w:tc>
        <w:tc>
          <w:tcPr>
            <w:tcW w:w="2115" w:type="dxa"/>
            <w:shd w:val="clear" w:color="auto" w:fill="auto"/>
          </w:tcPr>
          <w:p w:rsidR="00CA307F" w:rsidRDefault="00CA307F" w:rsidP="002B1D55">
            <w:pPr>
              <w:rPr>
                <w:rFonts w:eastAsiaTheme="minorEastAsia" w:cs="Browallia New"/>
                <w:sz w:val="20"/>
                <w:szCs w:val="25"/>
                <w:lang w:eastAsia="zh-CN"/>
              </w:rPr>
            </w:pPr>
            <w:r w:rsidRPr="00C13D36">
              <w:rPr>
                <w:sz w:val="20"/>
                <w:szCs w:val="20"/>
              </w:rPr>
              <w:t>Patients with chronic heart failure (CHF) with other comorbidities</w:t>
            </w:r>
          </w:p>
        </w:tc>
        <w:tc>
          <w:tcPr>
            <w:tcW w:w="2085" w:type="dxa"/>
            <w:shd w:val="clear" w:color="auto" w:fill="auto"/>
          </w:tcPr>
          <w:p w:rsidR="00CA307F" w:rsidRDefault="00CA307F" w:rsidP="002B1D55">
            <w:pPr>
              <w:rPr>
                <w:rFonts w:cstheme="minorHAnsi"/>
                <w:sz w:val="20"/>
                <w:szCs w:val="20"/>
              </w:rPr>
            </w:pPr>
            <w:r w:rsidRPr="00C13D36">
              <w:rPr>
                <w:sz w:val="20"/>
                <w:szCs w:val="20"/>
              </w:rPr>
              <w:t>CHF guideline and other 47 guidelines</w:t>
            </w:r>
          </w:p>
        </w:tc>
        <w:tc>
          <w:tcPr>
            <w:tcW w:w="2093" w:type="dxa"/>
            <w:shd w:val="clear" w:color="auto" w:fill="auto"/>
          </w:tcPr>
          <w:p w:rsidR="00CA307F" w:rsidRDefault="00CA307F" w:rsidP="002B1D55">
            <w:pPr>
              <w:autoSpaceDE w:val="0"/>
              <w:autoSpaceDN w:val="0"/>
              <w:adjustRightInd w:val="0"/>
              <w:rPr>
                <w:rFonts w:cstheme="minorHAnsi"/>
                <w:sz w:val="20"/>
                <w:szCs w:val="20"/>
              </w:rPr>
            </w:pPr>
            <w:r w:rsidRPr="00C13D36">
              <w:rPr>
                <w:sz w:val="20"/>
                <w:szCs w:val="20"/>
              </w:rPr>
              <w:t>-</w:t>
            </w:r>
          </w:p>
        </w:tc>
        <w:tc>
          <w:tcPr>
            <w:tcW w:w="2539" w:type="dxa"/>
            <w:shd w:val="clear" w:color="auto" w:fill="auto"/>
          </w:tcPr>
          <w:p w:rsidR="00CA307F" w:rsidRDefault="00CA307F" w:rsidP="002B1D55">
            <w:pPr>
              <w:autoSpaceDE w:val="0"/>
              <w:autoSpaceDN w:val="0"/>
              <w:adjustRightInd w:val="0"/>
              <w:rPr>
                <w:rFonts w:cstheme="minorHAnsi"/>
                <w:sz w:val="20"/>
                <w:szCs w:val="20"/>
              </w:rPr>
            </w:pPr>
            <w:r w:rsidRPr="00C13D36">
              <w:rPr>
                <w:sz w:val="20"/>
                <w:szCs w:val="20"/>
              </w:rPr>
              <w:t xml:space="preserve">Propose </w:t>
            </w:r>
            <w:r>
              <w:rPr>
                <w:sz w:val="20"/>
                <w:szCs w:val="20"/>
              </w:rPr>
              <w:t xml:space="preserve">a </w:t>
            </w:r>
            <w:r w:rsidRPr="00C13D36">
              <w:rPr>
                <w:sz w:val="20"/>
                <w:szCs w:val="20"/>
              </w:rPr>
              <w:t xml:space="preserve">framework for identifying interactions between guidelines. Identify interactions between </w:t>
            </w:r>
            <w:r w:rsidRPr="00C13D36">
              <w:rPr>
                <w:sz w:val="20"/>
                <w:szCs w:val="20"/>
              </w:rPr>
              <w:lastRenderedPageBreak/>
              <w:t>guidelines</w:t>
            </w:r>
          </w:p>
        </w:tc>
      </w:tr>
      <w:tr w:rsidR="00CA307F" w:rsidRPr="0005527B" w:rsidTr="002B1D55">
        <w:tc>
          <w:tcPr>
            <w:tcW w:w="1691" w:type="dxa"/>
            <w:shd w:val="clear" w:color="auto" w:fill="auto"/>
          </w:tcPr>
          <w:p w:rsidR="00CA307F" w:rsidRPr="0005527B" w:rsidRDefault="00CA307F" w:rsidP="002B1D55">
            <w:pPr>
              <w:rPr>
                <w:rFonts w:cstheme="minorHAnsi"/>
                <w:sz w:val="20"/>
                <w:szCs w:val="20"/>
              </w:rPr>
            </w:pPr>
            <w:r>
              <w:rPr>
                <w:rFonts w:ascii="Segoe UI" w:eastAsiaTheme="minorEastAsia" w:hAnsi="Segoe UI" w:cs="Segoe UI"/>
                <w:sz w:val="18"/>
                <w:szCs w:val="18"/>
                <w:lang w:eastAsia="zh-CN"/>
              </w:rPr>
              <w:lastRenderedPageBreak/>
              <w:t xml:space="preserve">16. </w:t>
            </w:r>
            <w:proofErr w:type="spellStart"/>
            <w:r>
              <w:rPr>
                <w:rFonts w:ascii="Segoe UI" w:eastAsiaTheme="minorEastAsia" w:hAnsi="Segoe UI" w:cs="Segoe UI"/>
                <w:sz w:val="18"/>
                <w:szCs w:val="18"/>
                <w:lang w:eastAsia="zh-CN"/>
              </w:rPr>
              <w:t>Zulman</w:t>
            </w:r>
            <w:proofErr w:type="spellEnd"/>
            <w:r>
              <w:rPr>
                <w:rFonts w:ascii="Segoe UI" w:eastAsiaTheme="minorEastAsia" w:hAnsi="Segoe UI" w:cs="Segoe UI"/>
                <w:sz w:val="18"/>
                <w:szCs w:val="18"/>
                <w:lang w:eastAsia="zh-CN"/>
              </w:rPr>
              <w:t xml:space="preserve"> DM, 2015</w:t>
            </w:r>
          </w:p>
        </w:tc>
        <w:tc>
          <w:tcPr>
            <w:tcW w:w="2427" w:type="dxa"/>
            <w:shd w:val="clear" w:color="auto" w:fill="auto"/>
          </w:tcPr>
          <w:p w:rsidR="00CA307F" w:rsidRPr="0005527B" w:rsidRDefault="00CA307F" w:rsidP="002B1D55">
            <w:pPr>
              <w:autoSpaceDE w:val="0"/>
              <w:autoSpaceDN w:val="0"/>
              <w:adjustRightInd w:val="0"/>
              <w:rPr>
                <w:rFonts w:cstheme="minorHAnsi"/>
                <w:sz w:val="20"/>
                <w:szCs w:val="20"/>
              </w:rPr>
            </w:pPr>
            <w:r>
              <w:rPr>
                <w:rFonts w:ascii="Segoe UI" w:eastAsiaTheme="minorEastAsia" w:hAnsi="Segoe UI" w:cs="Segoe UI"/>
                <w:sz w:val="18"/>
                <w:szCs w:val="18"/>
                <w:lang w:eastAsia="zh-CN"/>
              </w:rPr>
              <w:t>How can eHealth technology address challenges related to multimorbidity? Perspectives from patients with multiple chronic conditions</w:t>
            </w:r>
            <w:r>
              <w:rPr>
                <w:rFonts w:ascii="Segoe UI" w:eastAsiaTheme="minorEastAsia" w:hAnsi="Segoe UI" w:cs="Angsana New"/>
                <w:sz w:val="18"/>
                <w:szCs w:val="18"/>
                <w:cs/>
                <w:lang w:eastAsia="zh-CN"/>
              </w:rPr>
              <w:t>.</w:t>
            </w:r>
          </w:p>
        </w:tc>
        <w:tc>
          <w:tcPr>
            <w:tcW w:w="2115" w:type="dxa"/>
            <w:shd w:val="clear" w:color="auto" w:fill="auto"/>
          </w:tcPr>
          <w:p w:rsidR="00CA307F" w:rsidRPr="0005527B" w:rsidRDefault="00CA307F" w:rsidP="002B1D55">
            <w:pPr>
              <w:rPr>
                <w:rFonts w:cstheme="minorHAnsi"/>
                <w:sz w:val="20"/>
                <w:szCs w:val="20"/>
              </w:rPr>
            </w:pPr>
            <w:r>
              <w:rPr>
                <w:rFonts w:cstheme="minorHAnsi"/>
                <w:sz w:val="20"/>
                <w:szCs w:val="20"/>
              </w:rPr>
              <w:t xml:space="preserve">Patients with </w:t>
            </w:r>
            <w:r w:rsidRPr="00996681">
              <w:rPr>
                <w:rFonts w:cstheme="minorHAnsi"/>
                <w:sz w:val="20"/>
                <w:szCs w:val="20"/>
              </w:rPr>
              <w:t>≥3 chronic</w:t>
            </w:r>
            <w:r>
              <w:rPr>
                <w:rFonts w:cstheme="minorHAnsi"/>
                <w:sz w:val="20"/>
                <w:szCs w:val="20"/>
              </w:rPr>
              <w:t xml:space="preserve"> </w:t>
            </w:r>
            <w:r w:rsidRPr="00996681">
              <w:rPr>
                <w:rFonts w:cstheme="minorHAnsi"/>
                <w:sz w:val="20"/>
                <w:szCs w:val="20"/>
              </w:rPr>
              <w:t>conditions and experience using technology for health</w:t>
            </w:r>
            <w:r>
              <w:rPr>
                <w:rFonts w:cstheme="minorHAnsi"/>
                <w:sz w:val="20"/>
                <w:szCs w:val="20"/>
              </w:rPr>
              <w:t>-</w:t>
            </w:r>
            <w:r w:rsidRPr="00996681">
              <w:rPr>
                <w:rFonts w:cstheme="minorHAnsi"/>
                <w:sz w:val="20"/>
                <w:szCs w:val="20"/>
              </w:rPr>
              <w:t>related purposes</w:t>
            </w:r>
          </w:p>
        </w:tc>
        <w:tc>
          <w:tcPr>
            <w:tcW w:w="2085" w:type="dxa"/>
            <w:shd w:val="clear" w:color="auto" w:fill="auto"/>
          </w:tcPr>
          <w:p w:rsidR="00CA307F" w:rsidRPr="0005527B" w:rsidRDefault="00CA307F" w:rsidP="002B1D55">
            <w:pPr>
              <w:rPr>
                <w:rFonts w:cstheme="minorHAnsi"/>
                <w:sz w:val="20"/>
                <w:szCs w:val="20"/>
              </w:rPr>
            </w:pPr>
            <w:r>
              <w:rPr>
                <w:rFonts w:cstheme="minorHAnsi"/>
                <w:sz w:val="20"/>
                <w:szCs w:val="20"/>
              </w:rPr>
              <w:t>Focused group interview about using health technology</w:t>
            </w:r>
          </w:p>
        </w:tc>
        <w:tc>
          <w:tcPr>
            <w:tcW w:w="2093" w:type="dxa"/>
            <w:shd w:val="clear" w:color="auto" w:fill="auto"/>
          </w:tcPr>
          <w:p w:rsidR="00CA307F" w:rsidRPr="0005527B" w:rsidRDefault="00CA307F" w:rsidP="002B1D55">
            <w:pPr>
              <w:autoSpaceDE w:val="0"/>
              <w:autoSpaceDN w:val="0"/>
              <w:adjustRightInd w:val="0"/>
              <w:rPr>
                <w:rFonts w:cstheme="minorHAnsi"/>
                <w:sz w:val="20"/>
                <w:szCs w:val="20"/>
              </w:rPr>
            </w:pPr>
            <w:r>
              <w:rPr>
                <w:rFonts w:cstheme="minorHAnsi"/>
                <w:sz w:val="20"/>
                <w:szCs w:val="20"/>
              </w:rPr>
              <w:t>The purposes of technology use</w:t>
            </w:r>
          </w:p>
        </w:tc>
        <w:tc>
          <w:tcPr>
            <w:tcW w:w="2539" w:type="dxa"/>
            <w:shd w:val="clear" w:color="auto" w:fill="auto"/>
          </w:tcPr>
          <w:p w:rsidR="00CA307F" w:rsidRDefault="00CA307F" w:rsidP="002B1D55">
            <w:pPr>
              <w:autoSpaceDE w:val="0"/>
              <w:autoSpaceDN w:val="0"/>
              <w:adjustRightInd w:val="0"/>
              <w:rPr>
                <w:rFonts w:cstheme="minorHAnsi"/>
                <w:sz w:val="20"/>
                <w:szCs w:val="20"/>
              </w:rPr>
            </w:pPr>
            <w:r>
              <w:rPr>
                <w:rFonts w:cstheme="minorHAnsi"/>
                <w:sz w:val="20"/>
                <w:szCs w:val="20"/>
              </w:rPr>
              <w:t>96% - health information</w:t>
            </w:r>
          </w:p>
          <w:p w:rsidR="00CA307F" w:rsidRDefault="00CA307F" w:rsidP="002B1D55">
            <w:pPr>
              <w:autoSpaceDE w:val="0"/>
              <w:autoSpaceDN w:val="0"/>
              <w:adjustRightInd w:val="0"/>
              <w:rPr>
                <w:rFonts w:eastAsiaTheme="minorEastAsia"/>
                <w:sz w:val="20"/>
                <w:szCs w:val="20"/>
                <w:lang w:eastAsia="zh-CN"/>
              </w:rPr>
            </w:pPr>
            <w:r>
              <w:rPr>
                <w:rFonts w:eastAsiaTheme="minorEastAsia"/>
                <w:sz w:val="20"/>
                <w:szCs w:val="20"/>
                <w:lang w:eastAsia="zh-CN"/>
              </w:rPr>
              <w:t>92% - communication with health providers</w:t>
            </w:r>
          </w:p>
          <w:p w:rsidR="00CA307F" w:rsidRDefault="00CA307F" w:rsidP="002B1D55">
            <w:pPr>
              <w:autoSpaceDE w:val="0"/>
              <w:autoSpaceDN w:val="0"/>
              <w:adjustRightInd w:val="0"/>
              <w:rPr>
                <w:rFonts w:eastAsiaTheme="minorEastAsia"/>
                <w:sz w:val="20"/>
                <w:szCs w:val="20"/>
                <w:lang w:eastAsia="zh-CN"/>
              </w:rPr>
            </w:pPr>
            <w:r>
              <w:rPr>
                <w:rFonts w:eastAsiaTheme="minorEastAsia"/>
                <w:sz w:val="20"/>
                <w:szCs w:val="20"/>
                <w:lang w:eastAsia="zh-CN"/>
              </w:rPr>
              <w:t>83% - track medical information</w:t>
            </w:r>
          </w:p>
          <w:p w:rsidR="00CA307F" w:rsidRDefault="00CA307F" w:rsidP="002B1D55">
            <w:pPr>
              <w:autoSpaceDE w:val="0"/>
              <w:autoSpaceDN w:val="0"/>
              <w:adjustRightInd w:val="0"/>
              <w:rPr>
                <w:rFonts w:eastAsiaTheme="minorEastAsia"/>
                <w:sz w:val="20"/>
                <w:szCs w:val="20"/>
                <w:lang w:eastAsia="zh-CN"/>
              </w:rPr>
            </w:pPr>
            <w:r>
              <w:rPr>
                <w:rFonts w:eastAsiaTheme="minorEastAsia"/>
                <w:sz w:val="20"/>
                <w:szCs w:val="20"/>
                <w:lang w:eastAsia="zh-CN"/>
              </w:rPr>
              <w:t xml:space="preserve">77% - track medications </w:t>
            </w:r>
          </w:p>
          <w:p w:rsidR="00CA307F" w:rsidRPr="004948AC" w:rsidRDefault="00CA307F" w:rsidP="002B1D55">
            <w:pPr>
              <w:autoSpaceDE w:val="0"/>
              <w:autoSpaceDN w:val="0"/>
              <w:adjustRightInd w:val="0"/>
              <w:rPr>
                <w:rFonts w:eastAsiaTheme="minorEastAsia"/>
                <w:sz w:val="20"/>
                <w:szCs w:val="20"/>
                <w:lang w:eastAsia="zh-CN"/>
              </w:rPr>
            </w:pPr>
            <w:r>
              <w:rPr>
                <w:rFonts w:eastAsiaTheme="minorEastAsia"/>
                <w:sz w:val="20"/>
                <w:szCs w:val="20"/>
                <w:lang w:eastAsia="zh-CN"/>
              </w:rPr>
              <w:t>55% - decision-making support regarding treatment</w:t>
            </w:r>
          </w:p>
        </w:tc>
      </w:tr>
    </w:tbl>
    <w:p w:rsidR="00CA307F" w:rsidRPr="00FA094A" w:rsidRDefault="00CA307F" w:rsidP="00CA307F"/>
    <w:p w:rsidR="00CA307F" w:rsidRPr="007E0B33" w:rsidRDefault="00CA307F" w:rsidP="00CA307F">
      <w:pPr>
        <w:autoSpaceDE w:val="0"/>
        <w:autoSpaceDN w:val="0"/>
        <w:adjustRightInd w:val="0"/>
        <w:rPr>
          <w:rFonts w:asciiTheme="minorBidi" w:hAnsiTheme="minorBidi"/>
          <w:sz w:val="32"/>
          <w:szCs w:val="32"/>
          <w:cs/>
        </w:rPr>
      </w:pPr>
    </w:p>
    <w:p w:rsidR="00AC22D3" w:rsidRPr="007E0B33" w:rsidRDefault="00AC22D3" w:rsidP="00C141A2">
      <w:pPr>
        <w:autoSpaceDE w:val="0"/>
        <w:autoSpaceDN w:val="0"/>
        <w:adjustRightInd w:val="0"/>
        <w:rPr>
          <w:rFonts w:asciiTheme="minorBidi" w:hAnsiTheme="minorBidi"/>
          <w:sz w:val="32"/>
          <w:szCs w:val="32"/>
          <w:cs/>
        </w:rPr>
      </w:pPr>
    </w:p>
    <w:sectPr w:rsidR="00AC22D3" w:rsidRPr="007E0B33" w:rsidSect="008E3FFA">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dvBOOKO-R">
    <w:altName w:val="Cambria"/>
    <w:panose1 w:val="00000000000000000000"/>
    <w:charset w:val="00"/>
    <w:family w:val="roman"/>
    <w:notTrueType/>
    <w:pitch w:val="default"/>
    <w:sig w:usb0="00000000" w:usb1="00000000" w:usb2="00000000" w:usb3="00000000" w:csb0="00000000" w:csb1="00000000"/>
  </w:font>
  <w:font w:name="Browallia New">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EF3"/>
    <w:multiLevelType w:val="hybridMultilevel"/>
    <w:tmpl w:val="8BFCEDD6"/>
    <w:lvl w:ilvl="0" w:tplc="F5CE7B52">
      <w:numFmt w:val="bullet"/>
      <w:lvlText w:val="-"/>
      <w:lvlJc w:val="left"/>
      <w:pPr>
        <w:ind w:left="720" w:hanging="360"/>
      </w:pPr>
      <w:rPr>
        <w:rFonts w:ascii="Cordia New" w:eastAsia="Times New Roman"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261E9"/>
    <w:multiLevelType w:val="hybridMultilevel"/>
    <w:tmpl w:val="05BEA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33F7C"/>
    <w:multiLevelType w:val="hybridMultilevel"/>
    <w:tmpl w:val="9272AD40"/>
    <w:lvl w:ilvl="0" w:tplc="1BB8C740">
      <w:numFmt w:val="bullet"/>
      <w:lvlText w:val="-"/>
      <w:lvlJc w:val="left"/>
      <w:pPr>
        <w:ind w:left="720" w:hanging="360"/>
      </w:pPr>
      <w:rPr>
        <w:rFonts w:ascii="Arial" w:eastAsia="Times New Roman" w:hAnsi="Arial" w:cs="Arial" w:hint="default"/>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57AB7"/>
    <w:multiLevelType w:val="multilevel"/>
    <w:tmpl w:val="480EB6AC"/>
    <w:lvl w:ilvl="0">
      <w:start w:val="3"/>
      <w:numFmt w:val="decimal"/>
      <w:lvlText w:val="%1"/>
      <w:lvlJc w:val="left"/>
      <w:pPr>
        <w:ind w:left="360" w:hanging="360"/>
      </w:pPr>
      <w:rPr>
        <w:rFonts w:hint="default"/>
        <w:b/>
        <w:color w:val="0070C0"/>
      </w:rPr>
    </w:lvl>
    <w:lvl w:ilvl="1">
      <w:start w:val="1"/>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4">
    <w:nsid w:val="1C2D17D1"/>
    <w:multiLevelType w:val="hybridMultilevel"/>
    <w:tmpl w:val="AB2E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B153D"/>
    <w:multiLevelType w:val="hybridMultilevel"/>
    <w:tmpl w:val="265E5788"/>
    <w:lvl w:ilvl="0" w:tplc="0409000F">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1269D7"/>
    <w:multiLevelType w:val="hybridMultilevel"/>
    <w:tmpl w:val="87705538"/>
    <w:lvl w:ilvl="0" w:tplc="A7B2EB74">
      <w:start w:val="1"/>
      <w:numFmt w:val="bullet"/>
      <w:lvlText w:val=""/>
      <w:lvlJc w:val="left"/>
      <w:pPr>
        <w:ind w:left="1080" w:hanging="360"/>
      </w:pPr>
      <w:rPr>
        <w:rFonts w:ascii="Symbol" w:eastAsia="Times New Roman"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6606071"/>
    <w:multiLevelType w:val="hybridMultilevel"/>
    <w:tmpl w:val="92A66C20"/>
    <w:lvl w:ilvl="0" w:tplc="B65C6D88">
      <w:start w:val="1"/>
      <w:numFmt w:val="decimal"/>
      <w:lvlText w:val="%1)"/>
      <w:lvlJc w:val="left"/>
      <w:pPr>
        <w:ind w:left="720" w:hanging="360"/>
      </w:pPr>
      <w:rPr>
        <w:rFonts w:asciiTheme="minorBidi" w:hAnsiTheme="minorBidi" w:cs="Times New Roman"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D45F1E"/>
    <w:multiLevelType w:val="hybridMultilevel"/>
    <w:tmpl w:val="4A4CCFF8"/>
    <w:lvl w:ilvl="0" w:tplc="ED2AF3C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167276"/>
    <w:multiLevelType w:val="hybridMultilevel"/>
    <w:tmpl w:val="C840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05697"/>
    <w:multiLevelType w:val="hybridMultilevel"/>
    <w:tmpl w:val="5E4E61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4469A1"/>
    <w:multiLevelType w:val="hybridMultilevel"/>
    <w:tmpl w:val="20C68F96"/>
    <w:lvl w:ilvl="0" w:tplc="ED2AF3C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904949"/>
    <w:multiLevelType w:val="hybridMultilevel"/>
    <w:tmpl w:val="102CCE10"/>
    <w:lvl w:ilvl="0" w:tplc="6F36080C">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941175"/>
    <w:multiLevelType w:val="hybridMultilevel"/>
    <w:tmpl w:val="76C24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C2972"/>
    <w:multiLevelType w:val="hybridMultilevel"/>
    <w:tmpl w:val="629C59D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82793D"/>
    <w:multiLevelType w:val="hybridMultilevel"/>
    <w:tmpl w:val="FD80B6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02B4D"/>
    <w:multiLevelType w:val="hybridMultilevel"/>
    <w:tmpl w:val="5ACEF3B8"/>
    <w:lvl w:ilvl="0" w:tplc="836095B0">
      <w:start w:val="1"/>
      <w:numFmt w:val="decimal"/>
      <w:lvlText w:val="%1."/>
      <w:lvlJc w:val="left"/>
      <w:pPr>
        <w:ind w:left="720" w:hanging="360"/>
      </w:pPr>
      <w:rPr>
        <w:rFonts w:asciiTheme="minorBidi" w:eastAsia="Times New Roman" w:hAnsiTheme="minorBidi" w:cstheme="minorBidi"/>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4D743C"/>
    <w:multiLevelType w:val="hybridMultilevel"/>
    <w:tmpl w:val="FC084BE0"/>
    <w:lvl w:ilvl="0" w:tplc="50EE1B98">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680BE7"/>
    <w:multiLevelType w:val="multilevel"/>
    <w:tmpl w:val="BF1E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637D1F"/>
    <w:multiLevelType w:val="multilevel"/>
    <w:tmpl w:val="CC22C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71304A"/>
    <w:multiLevelType w:val="multilevel"/>
    <w:tmpl w:val="A114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A3B25"/>
    <w:multiLevelType w:val="hybridMultilevel"/>
    <w:tmpl w:val="843EA888"/>
    <w:lvl w:ilvl="0" w:tplc="1BB8C740">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8B2E9A"/>
    <w:multiLevelType w:val="hybridMultilevel"/>
    <w:tmpl w:val="90EE8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E3477C6">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E30EAA"/>
    <w:multiLevelType w:val="hybridMultilevel"/>
    <w:tmpl w:val="3D8E0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4C63A3"/>
    <w:multiLevelType w:val="hybridMultilevel"/>
    <w:tmpl w:val="38022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0"/>
  </w:num>
  <w:num w:numId="4">
    <w:abstractNumId w:val="18"/>
  </w:num>
  <w:num w:numId="5">
    <w:abstractNumId w:val="1"/>
  </w:num>
  <w:num w:numId="6">
    <w:abstractNumId w:val="22"/>
  </w:num>
  <w:num w:numId="7">
    <w:abstractNumId w:val="3"/>
  </w:num>
  <w:num w:numId="8">
    <w:abstractNumId w:val="5"/>
  </w:num>
  <w:num w:numId="9">
    <w:abstractNumId w:val="9"/>
  </w:num>
  <w:num w:numId="10">
    <w:abstractNumId w:val="14"/>
  </w:num>
  <w:num w:numId="11">
    <w:abstractNumId w:val="13"/>
  </w:num>
  <w:num w:numId="12">
    <w:abstractNumId w:val="10"/>
  </w:num>
  <w:num w:numId="13">
    <w:abstractNumId w:val="24"/>
  </w:num>
  <w:num w:numId="14">
    <w:abstractNumId w:val="4"/>
  </w:num>
  <w:num w:numId="15">
    <w:abstractNumId w:val="17"/>
  </w:num>
  <w:num w:numId="16">
    <w:abstractNumId w:val="12"/>
  </w:num>
  <w:num w:numId="17">
    <w:abstractNumId w:val="6"/>
  </w:num>
  <w:num w:numId="18">
    <w:abstractNumId w:val="8"/>
  </w:num>
  <w:num w:numId="19">
    <w:abstractNumId w:val="21"/>
  </w:num>
  <w:num w:numId="20">
    <w:abstractNumId w:val="11"/>
  </w:num>
  <w:num w:numId="21">
    <w:abstractNumId w:val="15"/>
  </w:num>
  <w:num w:numId="22">
    <w:abstractNumId w:val="20"/>
  </w:num>
  <w:num w:numId="23">
    <w:abstractNumId w:val="19"/>
  </w:num>
  <w:num w:numId="24">
    <w:abstractNumId w:val="23"/>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docVars>
    <w:docVar w:name="__Grammarly_42____i" w:val="H4sIAAAAAAAEAKtWckksSQxILCpxzi/NK1GyMqwFAAEhoTITAAAA"/>
    <w:docVar w:name="__Grammarly_42___1" w:val="H4sIAAAAAAAEAKtWcslP9kxRslIyNDYyNTGyMDUxMzYwtTCxNDFQ0lEKTi0uzszPAykwqgUAyIvUDC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2wp0srcrrwv3e5tetxfvxurrt0fsdt2swd&quot;&gt;My EndNote Library-Converted&lt;record-ids&gt;&lt;item&gt;2928&lt;/item&gt;&lt;item&gt;3497&lt;/item&gt;&lt;item&gt;3516&lt;/item&gt;&lt;item&gt;3517&lt;/item&gt;&lt;item&gt;3518&lt;/item&gt;&lt;item&gt;3519&lt;/item&gt;&lt;item&gt;3520&lt;/item&gt;&lt;item&gt;3521&lt;/item&gt;&lt;item&gt;3522&lt;/item&gt;&lt;item&gt;3523&lt;/item&gt;&lt;item&gt;3524&lt;/item&gt;&lt;item&gt;3525&lt;/item&gt;&lt;item&gt;3526&lt;/item&gt;&lt;item&gt;3527&lt;/item&gt;&lt;item&gt;3528&lt;/item&gt;&lt;item&gt;3529&lt;/item&gt;&lt;item&gt;3530&lt;/item&gt;&lt;item&gt;3531&lt;/item&gt;&lt;item&gt;3532&lt;/item&gt;&lt;item&gt;3533&lt;/item&gt;&lt;item&gt;3534&lt;/item&gt;&lt;item&gt;3535&lt;/item&gt;&lt;item&gt;3536&lt;/item&gt;&lt;item&gt;3537&lt;/item&gt;&lt;item&gt;3538&lt;/item&gt;&lt;item&gt;3539&lt;/item&gt;&lt;item&gt;3540&lt;/item&gt;&lt;item&gt;3541&lt;/item&gt;&lt;item&gt;3542&lt;/item&gt;&lt;item&gt;3543&lt;/item&gt;&lt;item&gt;3544&lt;/item&gt;&lt;item&gt;3545&lt;/item&gt;&lt;item&gt;3546&lt;/item&gt;&lt;item&gt;3547&lt;/item&gt;&lt;item&gt;3548&lt;/item&gt;&lt;item&gt;3549&lt;/item&gt;&lt;item&gt;3550&lt;/item&gt;&lt;item&gt;3551&lt;/item&gt;&lt;item&gt;3552&lt;/item&gt;&lt;item&gt;3553&lt;/item&gt;&lt;item&gt;3554&lt;/item&gt;&lt;item&gt;3555&lt;/item&gt;&lt;item&gt;3556&lt;/item&gt;&lt;item&gt;3557&lt;/item&gt;&lt;item&gt;3558&lt;/item&gt;&lt;item&gt;3559&lt;/item&gt;&lt;item&gt;3560&lt;/item&gt;&lt;item&gt;3561&lt;/item&gt;&lt;item&gt;3562&lt;/item&gt;&lt;item&gt;3563&lt;/item&gt;&lt;item&gt;3564&lt;/item&gt;&lt;item&gt;3565&lt;/item&gt;&lt;item&gt;3566&lt;/item&gt;&lt;item&gt;3567&lt;/item&gt;&lt;item&gt;3568&lt;/item&gt;&lt;item&gt;3569&lt;/item&gt;&lt;item&gt;3570&lt;/item&gt;&lt;item&gt;3571&lt;/item&gt;&lt;item&gt;3572&lt;/item&gt;&lt;item&gt;3573&lt;/item&gt;&lt;item&gt;3574&lt;/item&gt;&lt;item&gt;3575&lt;/item&gt;&lt;item&gt;3576&lt;/item&gt;&lt;item&gt;3577&lt;/item&gt;&lt;item&gt;3578&lt;/item&gt;&lt;item&gt;3579&lt;/item&gt;&lt;item&gt;3580&lt;/item&gt;&lt;item&gt;3581&lt;/item&gt;&lt;item&gt;3582&lt;/item&gt;&lt;item&gt;3583&lt;/item&gt;&lt;item&gt;3584&lt;/item&gt;&lt;item&gt;3585&lt;/item&gt;&lt;item&gt;3586&lt;/item&gt;&lt;item&gt;3587&lt;/item&gt;&lt;item&gt;3588&lt;/item&gt;&lt;item&gt;3589&lt;/item&gt;&lt;item&gt;3590&lt;/item&gt;&lt;item&gt;3591&lt;/item&gt;&lt;item&gt;3592&lt;/item&gt;&lt;item&gt;3593&lt;/item&gt;&lt;item&gt;3594&lt;/item&gt;&lt;item&gt;3595&lt;/item&gt;&lt;item&gt;3596&lt;/item&gt;&lt;item&gt;3635&lt;/item&gt;&lt;item&gt;3636&lt;/item&gt;&lt;item&gt;3637&lt;/item&gt;&lt;item&gt;3638&lt;/item&gt;&lt;item&gt;3639&lt;/item&gt;&lt;item&gt;3640&lt;/item&gt;&lt;item&gt;3868&lt;/item&gt;&lt;item&gt;3869&lt;/item&gt;&lt;/record-ids&gt;&lt;/item&gt;&lt;/Libraries&gt;"/>
  </w:docVars>
  <w:rsids>
    <w:rsidRoot w:val="00E37CE2"/>
    <w:rsid w:val="0001035F"/>
    <w:rsid w:val="00010E5D"/>
    <w:rsid w:val="00013DD5"/>
    <w:rsid w:val="00015597"/>
    <w:rsid w:val="00017FF5"/>
    <w:rsid w:val="00022CE9"/>
    <w:rsid w:val="00024920"/>
    <w:rsid w:val="00031DAD"/>
    <w:rsid w:val="00053280"/>
    <w:rsid w:val="00061324"/>
    <w:rsid w:val="000707B5"/>
    <w:rsid w:val="00086487"/>
    <w:rsid w:val="0009020A"/>
    <w:rsid w:val="0009488A"/>
    <w:rsid w:val="00094F59"/>
    <w:rsid w:val="00095427"/>
    <w:rsid w:val="000A0F47"/>
    <w:rsid w:val="000A4549"/>
    <w:rsid w:val="000A5C7A"/>
    <w:rsid w:val="000B160C"/>
    <w:rsid w:val="000E06A2"/>
    <w:rsid w:val="001017CD"/>
    <w:rsid w:val="00114099"/>
    <w:rsid w:val="0012356E"/>
    <w:rsid w:val="00124BA5"/>
    <w:rsid w:val="00131B48"/>
    <w:rsid w:val="001337DF"/>
    <w:rsid w:val="00136731"/>
    <w:rsid w:val="001440FE"/>
    <w:rsid w:val="00147608"/>
    <w:rsid w:val="0015163E"/>
    <w:rsid w:val="0015333B"/>
    <w:rsid w:val="00167B5A"/>
    <w:rsid w:val="00172198"/>
    <w:rsid w:val="00172B19"/>
    <w:rsid w:val="001825D5"/>
    <w:rsid w:val="00183867"/>
    <w:rsid w:val="0018692B"/>
    <w:rsid w:val="001915D6"/>
    <w:rsid w:val="0019276F"/>
    <w:rsid w:val="00193E47"/>
    <w:rsid w:val="001944D4"/>
    <w:rsid w:val="00196409"/>
    <w:rsid w:val="001A14B4"/>
    <w:rsid w:val="001A3B57"/>
    <w:rsid w:val="001A4EFD"/>
    <w:rsid w:val="001A55AB"/>
    <w:rsid w:val="001B1CB8"/>
    <w:rsid w:val="001B4048"/>
    <w:rsid w:val="001E0F63"/>
    <w:rsid w:val="001E31C2"/>
    <w:rsid w:val="001E5E15"/>
    <w:rsid w:val="001F1804"/>
    <w:rsid w:val="001F44ED"/>
    <w:rsid w:val="002030BE"/>
    <w:rsid w:val="0020481C"/>
    <w:rsid w:val="002074CF"/>
    <w:rsid w:val="002140CD"/>
    <w:rsid w:val="0023584F"/>
    <w:rsid w:val="00237290"/>
    <w:rsid w:val="002555E9"/>
    <w:rsid w:val="00255935"/>
    <w:rsid w:val="00270F33"/>
    <w:rsid w:val="00272822"/>
    <w:rsid w:val="0027649B"/>
    <w:rsid w:val="00285A4E"/>
    <w:rsid w:val="0029105C"/>
    <w:rsid w:val="0029421E"/>
    <w:rsid w:val="002956B5"/>
    <w:rsid w:val="002A0ADF"/>
    <w:rsid w:val="002A571B"/>
    <w:rsid w:val="002A5AF9"/>
    <w:rsid w:val="002B24DA"/>
    <w:rsid w:val="002B3039"/>
    <w:rsid w:val="002B6F24"/>
    <w:rsid w:val="002D0088"/>
    <w:rsid w:val="002D13E2"/>
    <w:rsid w:val="002D32F9"/>
    <w:rsid w:val="002E75AD"/>
    <w:rsid w:val="002F4E2E"/>
    <w:rsid w:val="00306B19"/>
    <w:rsid w:val="00315BD1"/>
    <w:rsid w:val="003173E7"/>
    <w:rsid w:val="0032791A"/>
    <w:rsid w:val="00331563"/>
    <w:rsid w:val="00350F48"/>
    <w:rsid w:val="00363A24"/>
    <w:rsid w:val="003669AF"/>
    <w:rsid w:val="00376711"/>
    <w:rsid w:val="00383846"/>
    <w:rsid w:val="00384F14"/>
    <w:rsid w:val="00385098"/>
    <w:rsid w:val="003A1262"/>
    <w:rsid w:val="003A15EF"/>
    <w:rsid w:val="003B10EC"/>
    <w:rsid w:val="003B373E"/>
    <w:rsid w:val="003B3D68"/>
    <w:rsid w:val="003C2549"/>
    <w:rsid w:val="003C7C2E"/>
    <w:rsid w:val="003D1917"/>
    <w:rsid w:val="003D4FF2"/>
    <w:rsid w:val="003D511B"/>
    <w:rsid w:val="003D7BA7"/>
    <w:rsid w:val="003F04D3"/>
    <w:rsid w:val="003F0C1E"/>
    <w:rsid w:val="003F19F0"/>
    <w:rsid w:val="00413ABC"/>
    <w:rsid w:val="00416834"/>
    <w:rsid w:val="004233A7"/>
    <w:rsid w:val="0042602B"/>
    <w:rsid w:val="00432503"/>
    <w:rsid w:val="00434975"/>
    <w:rsid w:val="004352F1"/>
    <w:rsid w:val="0043780B"/>
    <w:rsid w:val="00454229"/>
    <w:rsid w:val="00461472"/>
    <w:rsid w:val="004661FE"/>
    <w:rsid w:val="00467A3A"/>
    <w:rsid w:val="004717B2"/>
    <w:rsid w:val="00475366"/>
    <w:rsid w:val="004842EA"/>
    <w:rsid w:val="004A2F8B"/>
    <w:rsid w:val="004B3B3F"/>
    <w:rsid w:val="004B6688"/>
    <w:rsid w:val="004C241F"/>
    <w:rsid w:val="004C7054"/>
    <w:rsid w:val="004C7438"/>
    <w:rsid w:val="004D248C"/>
    <w:rsid w:val="004E031A"/>
    <w:rsid w:val="004E5D13"/>
    <w:rsid w:val="004F1CA8"/>
    <w:rsid w:val="00500A0B"/>
    <w:rsid w:val="00501989"/>
    <w:rsid w:val="00506B30"/>
    <w:rsid w:val="00517417"/>
    <w:rsid w:val="00520E96"/>
    <w:rsid w:val="00530D07"/>
    <w:rsid w:val="00531EBB"/>
    <w:rsid w:val="00535E26"/>
    <w:rsid w:val="00543AB8"/>
    <w:rsid w:val="00545918"/>
    <w:rsid w:val="005639D2"/>
    <w:rsid w:val="00567AC1"/>
    <w:rsid w:val="005713D4"/>
    <w:rsid w:val="00574C9E"/>
    <w:rsid w:val="00577FF2"/>
    <w:rsid w:val="00584173"/>
    <w:rsid w:val="00587C58"/>
    <w:rsid w:val="00591E6E"/>
    <w:rsid w:val="00595184"/>
    <w:rsid w:val="0059793C"/>
    <w:rsid w:val="005A1D81"/>
    <w:rsid w:val="005A7922"/>
    <w:rsid w:val="005C3148"/>
    <w:rsid w:val="005C3DF3"/>
    <w:rsid w:val="005D6576"/>
    <w:rsid w:val="005E6967"/>
    <w:rsid w:val="005F7576"/>
    <w:rsid w:val="00600ADD"/>
    <w:rsid w:val="00601907"/>
    <w:rsid w:val="00615898"/>
    <w:rsid w:val="006254C7"/>
    <w:rsid w:val="0062752E"/>
    <w:rsid w:val="00640BA1"/>
    <w:rsid w:val="00650BE8"/>
    <w:rsid w:val="0065738B"/>
    <w:rsid w:val="006578CC"/>
    <w:rsid w:val="00664C34"/>
    <w:rsid w:val="00666AE7"/>
    <w:rsid w:val="00666EDC"/>
    <w:rsid w:val="00666F9E"/>
    <w:rsid w:val="006722A7"/>
    <w:rsid w:val="00684232"/>
    <w:rsid w:val="00695273"/>
    <w:rsid w:val="006A0FA3"/>
    <w:rsid w:val="006B32AF"/>
    <w:rsid w:val="006C2F71"/>
    <w:rsid w:val="006C349E"/>
    <w:rsid w:val="006C41BD"/>
    <w:rsid w:val="006C5C0A"/>
    <w:rsid w:val="006D7044"/>
    <w:rsid w:val="006E4077"/>
    <w:rsid w:val="006E6247"/>
    <w:rsid w:val="006F40D0"/>
    <w:rsid w:val="0070093D"/>
    <w:rsid w:val="00701886"/>
    <w:rsid w:val="00702D34"/>
    <w:rsid w:val="00705315"/>
    <w:rsid w:val="0071323E"/>
    <w:rsid w:val="00713834"/>
    <w:rsid w:val="007164B9"/>
    <w:rsid w:val="00724052"/>
    <w:rsid w:val="00724674"/>
    <w:rsid w:val="00726978"/>
    <w:rsid w:val="00727496"/>
    <w:rsid w:val="00730823"/>
    <w:rsid w:val="00733910"/>
    <w:rsid w:val="007341EB"/>
    <w:rsid w:val="00737B83"/>
    <w:rsid w:val="00745924"/>
    <w:rsid w:val="00746EF0"/>
    <w:rsid w:val="00755D25"/>
    <w:rsid w:val="00762777"/>
    <w:rsid w:val="007678C4"/>
    <w:rsid w:val="007703CC"/>
    <w:rsid w:val="00772B6A"/>
    <w:rsid w:val="00773A87"/>
    <w:rsid w:val="00775898"/>
    <w:rsid w:val="00775B13"/>
    <w:rsid w:val="007858EB"/>
    <w:rsid w:val="007876F7"/>
    <w:rsid w:val="00791B97"/>
    <w:rsid w:val="007A1FE8"/>
    <w:rsid w:val="007C0055"/>
    <w:rsid w:val="007D3357"/>
    <w:rsid w:val="007D36BA"/>
    <w:rsid w:val="007D5A8E"/>
    <w:rsid w:val="007D72DC"/>
    <w:rsid w:val="007D7A21"/>
    <w:rsid w:val="007E0B33"/>
    <w:rsid w:val="007E3D69"/>
    <w:rsid w:val="007F0187"/>
    <w:rsid w:val="007F0241"/>
    <w:rsid w:val="007F1894"/>
    <w:rsid w:val="007F6D4A"/>
    <w:rsid w:val="00800C4C"/>
    <w:rsid w:val="00803709"/>
    <w:rsid w:val="00812A2C"/>
    <w:rsid w:val="0081798B"/>
    <w:rsid w:val="00820B61"/>
    <w:rsid w:val="0082108A"/>
    <w:rsid w:val="0082487A"/>
    <w:rsid w:val="00825508"/>
    <w:rsid w:val="00831DC2"/>
    <w:rsid w:val="00856AB3"/>
    <w:rsid w:val="00856CAA"/>
    <w:rsid w:val="00857E47"/>
    <w:rsid w:val="00863C08"/>
    <w:rsid w:val="00865661"/>
    <w:rsid w:val="0087389E"/>
    <w:rsid w:val="008807A9"/>
    <w:rsid w:val="008808E9"/>
    <w:rsid w:val="00880A21"/>
    <w:rsid w:val="008A4333"/>
    <w:rsid w:val="008A4B8D"/>
    <w:rsid w:val="008A5EE2"/>
    <w:rsid w:val="008B3134"/>
    <w:rsid w:val="008B5318"/>
    <w:rsid w:val="008B57A6"/>
    <w:rsid w:val="008B6575"/>
    <w:rsid w:val="008C30A4"/>
    <w:rsid w:val="008C7B09"/>
    <w:rsid w:val="008D1061"/>
    <w:rsid w:val="008D2A71"/>
    <w:rsid w:val="008D3E60"/>
    <w:rsid w:val="008D3E8C"/>
    <w:rsid w:val="008E33A3"/>
    <w:rsid w:val="008E3AA6"/>
    <w:rsid w:val="008F3DB7"/>
    <w:rsid w:val="008F637B"/>
    <w:rsid w:val="0090249F"/>
    <w:rsid w:val="009038AF"/>
    <w:rsid w:val="00903E50"/>
    <w:rsid w:val="00913696"/>
    <w:rsid w:val="0092199C"/>
    <w:rsid w:val="009227C7"/>
    <w:rsid w:val="009304DD"/>
    <w:rsid w:val="00944F13"/>
    <w:rsid w:val="00945A22"/>
    <w:rsid w:val="00955A96"/>
    <w:rsid w:val="00962C13"/>
    <w:rsid w:val="00963CEE"/>
    <w:rsid w:val="00965D05"/>
    <w:rsid w:val="00970314"/>
    <w:rsid w:val="00970E2A"/>
    <w:rsid w:val="00974AE1"/>
    <w:rsid w:val="0098401F"/>
    <w:rsid w:val="009A2FF4"/>
    <w:rsid w:val="009A5284"/>
    <w:rsid w:val="009A5376"/>
    <w:rsid w:val="009A78C0"/>
    <w:rsid w:val="009B5AD8"/>
    <w:rsid w:val="009B6053"/>
    <w:rsid w:val="009C0D6D"/>
    <w:rsid w:val="009C1B5C"/>
    <w:rsid w:val="009C3135"/>
    <w:rsid w:val="009D1C11"/>
    <w:rsid w:val="009D58B0"/>
    <w:rsid w:val="009E12A4"/>
    <w:rsid w:val="009E2E32"/>
    <w:rsid w:val="009E3A1A"/>
    <w:rsid w:val="009E3E08"/>
    <w:rsid w:val="009E5D7F"/>
    <w:rsid w:val="009E74C5"/>
    <w:rsid w:val="009F61BA"/>
    <w:rsid w:val="009F7FE3"/>
    <w:rsid w:val="00A00A48"/>
    <w:rsid w:val="00A02508"/>
    <w:rsid w:val="00A0663F"/>
    <w:rsid w:val="00A06AD0"/>
    <w:rsid w:val="00A155B8"/>
    <w:rsid w:val="00A17360"/>
    <w:rsid w:val="00A17942"/>
    <w:rsid w:val="00A21098"/>
    <w:rsid w:val="00A21C26"/>
    <w:rsid w:val="00A42C1A"/>
    <w:rsid w:val="00A43105"/>
    <w:rsid w:val="00A4447E"/>
    <w:rsid w:val="00A4578D"/>
    <w:rsid w:val="00A51341"/>
    <w:rsid w:val="00A55F3A"/>
    <w:rsid w:val="00A5724E"/>
    <w:rsid w:val="00A57554"/>
    <w:rsid w:val="00A60316"/>
    <w:rsid w:val="00A60A42"/>
    <w:rsid w:val="00A60B38"/>
    <w:rsid w:val="00A650ED"/>
    <w:rsid w:val="00A84016"/>
    <w:rsid w:val="00A86373"/>
    <w:rsid w:val="00A87BEA"/>
    <w:rsid w:val="00AA596F"/>
    <w:rsid w:val="00AB1C9C"/>
    <w:rsid w:val="00AB2868"/>
    <w:rsid w:val="00AB4116"/>
    <w:rsid w:val="00AB5F85"/>
    <w:rsid w:val="00AB6E6A"/>
    <w:rsid w:val="00AC1DE5"/>
    <w:rsid w:val="00AC22D3"/>
    <w:rsid w:val="00AC3A33"/>
    <w:rsid w:val="00AD18EC"/>
    <w:rsid w:val="00AD40F0"/>
    <w:rsid w:val="00B04FFA"/>
    <w:rsid w:val="00B07E6C"/>
    <w:rsid w:val="00B1113C"/>
    <w:rsid w:val="00B12E69"/>
    <w:rsid w:val="00B16139"/>
    <w:rsid w:val="00B16589"/>
    <w:rsid w:val="00B16701"/>
    <w:rsid w:val="00B22DE6"/>
    <w:rsid w:val="00B25564"/>
    <w:rsid w:val="00B310C2"/>
    <w:rsid w:val="00B35066"/>
    <w:rsid w:val="00B35A1D"/>
    <w:rsid w:val="00B37ECD"/>
    <w:rsid w:val="00B4022C"/>
    <w:rsid w:val="00B4158B"/>
    <w:rsid w:val="00B5609A"/>
    <w:rsid w:val="00B56132"/>
    <w:rsid w:val="00B61528"/>
    <w:rsid w:val="00B707CF"/>
    <w:rsid w:val="00B72208"/>
    <w:rsid w:val="00B76037"/>
    <w:rsid w:val="00B7749D"/>
    <w:rsid w:val="00B818F8"/>
    <w:rsid w:val="00B83219"/>
    <w:rsid w:val="00BA32DD"/>
    <w:rsid w:val="00BA3A81"/>
    <w:rsid w:val="00BA4590"/>
    <w:rsid w:val="00BA5C8D"/>
    <w:rsid w:val="00BB2CD8"/>
    <w:rsid w:val="00BC2165"/>
    <w:rsid w:val="00BC27F9"/>
    <w:rsid w:val="00BC38B6"/>
    <w:rsid w:val="00BC66CB"/>
    <w:rsid w:val="00BD02DD"/>
    <w:rsid w:val="00BD4049"/>
    <w:rsid w:val="00BE6FF8"/>
    <w:rsid w:val="00BF331B"/>
    <w:rsid w:val="00C03495"/>
    <w:rsid w:val="00C079D5"/>
    <w:rsid w:val="00C109D3"/>
    <w:rsid w:val="00C141A2"/>
    <w:rsid w:val="00C15299"/>
    <w:rsid w:val="00C20759"/>
    <w:rsid w:val="00C22DBA"/>
    <w:rsid w:val="00C23F1C"/>
    <w:rsid w:val="00C27EF3"/>
    <w:rsid w:val="00C30B32"/>
    <w:rsid w:val="00C324B2"/>
    <w:rsid w:val="00C32C75"/>
    <w:rsid w:val="00C3592F"/>
    <w:rsid w:val="00C40A06"/>
    <w:rsid w:val="00C452DC"/>
    <w:rsid w:val="00C52D80"/>
    <w:rsid w:val="00C53EAB"/>
    <w:rsid w:val="00C577BF"/>
    <w:rsid w:val="00C60C65"/>
    <w:rsid w:val="00C63EC9"/>
    <w:rsid w:val="00C83DFA"/>
    <w:rsid w:val="00C85DB2"/>
    <w:rsid w:val="00C86E4D"/>
    <w:rsid w:val="00C906DB"/>
    <w:rsid w:val="00C92896"/>
    <w:rsid w:val="00C95B9F"/>
    <w:rsid w:val="00CA307F"/>
    <w:rsid w:val="00CA432E"/>
    <w:rsid w:val="00CA52A0"/>
    <w:rsid w:val="00CC3000"/>
    <w:rsid w:val="00CD3909"/>
    <w:rsid w:val="00CD4ECD"/>
    <w:rsid w:val="00CE0745"/>
    <w:rsid w:val="00CE1636"/>
    <w:rsid w:val="00CF1B58"/>
    <w:rsid w:val="00CF423B"/>
    <w:rsid w:val="00CF6F7E"/>
    <w:rsid w:val="00D00D11"/>
    <w:rsid w:val="00D05D8D"/>
    <w:rsid w:val="00D10A9A"/>
    <w:rsid w:val="00D16E58"/>
    <w:rsid w:val="00D26C23"/>
    <w:rsid w:val="00D274FD"/>
    <w:rsid w:val="00D71ACA"/>
    <w:rsid w:val="00D733BD"/>
    <w:rsid w:val="00D75AAD"/>
    <w:rsid w:val="00D85B55"/>
    <w:rsid w:val="00D962C7"/>
    <w:rsid w:val="00D9664A"/>
    <w:rsid w:val="00D96EF4"/>
    <w:rsid w:val="00D97949"/>
    <w:rsid w:val="00DD1E77"/>
    <w:rsid w:val="00DD21A8"/>
    <w:rsid w:val="00DE2098"/>
    <w:rsid w:val="00DE49B9"/>
    <w:rsid w:val="00DE4A9F"/>
    <w:rsid w:val="00DF11DB"/>
    <w:rsid w:val="00DF3ABF"/>
    <w:rsid w:val="00DF3C71"/>
    <w:rsid w:val="00DF5C76"/>
    <w:rsid w:val="00DF6716"/>
    <w:rsid w:val="00E00875"/>
    <w:rsid w:val="00E05E88"/>
    <w:rsid w:val="00E079DE"/>
    <w:rsid w:val="00E11DC8"/>
    <w:rsid w:val="00E12F76"/>
    <w:rsid w:val="00E136C3"/>
    <w:rsid w:val="00E163D2"/>
    <w:rsid w:val="00E16FA5"/>
    <w:rsid w:val="00E220B7"/>
    <w:rsid w:val="00E37002"/>
    <w:rsid w:val="00E37CE2"/>
    <w:rsid w:val="00E50DE7"/>
    <w:rsid w:val="00E54E6E"/>
    <w:rsid w:val="00E57B58"/>
    <w:rsid w:val="00E624C2"/>
    <w:rsid w:val="00E62971"/>
    <w:rsid w:val="00E72335"/>
    <w:rsid w:val="00E84E31"/>
    <w:rsid w:val="00E84EF6"/>
    <w:rsid w:val="00E901C9"/>
    <w:rsid w:val="00E9373F"/>
    <w:rsid w:val="00EA5AF5"/>
    <w:rsid w:val="00EA6C40"/>
    <w:rsid w:val="00EC4FDC"/>
    <w:rsid w:val="00EC5A4F"/>
    <w:rsid w:val="00EC5C73"/>
    <w:rsid w:val="00ED452A"/>
    <w:rsid w:val="00ED541B"/>
    <w:rsid w:val="00EE1A32"/>
    <w:rsid w:val="00EE4718"/>
    <w:rsid w:val="00EE698B"/>
    <w:rsid w:val="00EE7155"/>
    <w:rsid w:val="00EF1355"/>
    <w:rsid w:val="00EF24ED"/>
    <w:rsid w:val="00F0049F"/>
    <w:rsid w:val="00F143BC"/>
    <w:rsid w:val="00F229E3"/>
    <w:rsid w:val="00F22FE4"/>
    <w:rsid w:val="00F247D2"/>
    <w:rsid w:val="00F25CEB"/>
    <w:rsid w:val="00F3158E"/>
    <w:rsid w:val="00F32DAD"/>
    <w:rsid w:val="00F33ED5"/>
    <w:rsid w:val="00F34D82"/>
    <w:rsid w:val="00F40F50"/>
    <w:rsid w:val="00F43A1E"/>
    <w:rsid w:val="00F45B86"/>
    <w:rsid w:val="00F57254"/>
    <w:rsid w:val="00F57E9E"/>
    <w:rsid w:val="00F60CC3"/>
    <w:rsid w:val="00F61C5B"/>
    <w:rsid w:val="00F66F28"/>
    <w:rsid w:val="00F6777C"/>
    <w:rsid w:val="00F7376E"/>
    <w:rsid w:val="00F76C16"/>
    <w:rsid w:val="00F85F62"/>
    <w:rsid w:val="00F903E0"/>
    <w:rsid w:val="00F9507E"/>
    <w:rsid w:val="00FA0EE0"/>
    <w:rsid w:val="00FA769F"/>
    <w:rsid w:val="00FB097C"/>
    <w:rsid w:val="00FC1863"/>
    <w:rsid w:val="00FC2E26"/>
    <w:rsid w:val="00FC6AA6"/>
    <w:rsid w:val="00FC7B32"/>
    <w:rsid w:val="00FD0D46"/>
    <w:rsid w:val="00FE2EBA"/>
    <w:rsid w:val="00FE3577"/>
    <w:rsid w:val="00FE470A"/>
    <w:rsid w:val="00FE4DAB"/>
    <w:rsid w:val="00FF43CD"/>
    <w:rsid w:val="00FF4B2C"/>
    <w:rsid w:val="00FF6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80"/>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AD18EC"/>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uiPriority w:val="9"/>
    <w:semiHidden/>
    <w:unhideWhenUsed/>
    <w:qFormat/>
    <w:rsid w:val="00475366"/>
    <w:pPr>
      <w:keepNext/>
      <w:keepLines/>
      <w:spacing w:before="40"/>
      <w:outlineLvl w:val="2"/>
    </w:pPr>
    <w:rPr>
      <w:rFonts w:asciiTheme="majorHAnsi" w:eastAsiaTheme="majorEastAsia" w:hAnsiTheme="majorHAnsi" w:cstheme="majorBidi"/>
      <w:color w:val="1F3763"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37CE2"/>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E37CE2"/>
    <w:rPr>
      <w:sz w:val="16"/>
      <w:szCs w:val="16"/>
    </w:rPr>
  </w:style>
  <w:style w:type="paragraph" w:styleId="CommentText">
    <w:name w:val="annotation text"/>
    <w:basedOn w:val="Normal"/>
    <w:link w:val="CommentTextChar"/>
    <w:uiPriority w:val="99"/>
    <w:unhideWhenUsed/>
    <w:rsid w:val="00E37CE2"/>
    <w:pPr>
      <w:spacing w:after="160"/>
    </w:pPr>
    <w:rPr>
      <w:rFonts w:asciiTheme="minorHAnsi" w:eastAsiaTheme="minorHAnsi" w:hAnsiTheme="minorHAnsi" w:cstheme="minorBidi"/>
      <w:sz w:val="20"/>
      <w:szCs w:val="25"/>
      <w:lang w:val="en-US" w:eastAsia="en-US"/>
    </w:rPr>
  </w:style>
  <w:style w:type="character" w:customStyle="1" w:styleId="CommentTextChar">
    <w:name w:val="Comment Text Char"/>
    <w:basedOn w:val="DefaultParagraphFont"/>
    <w:link w:val="CommentText"/>
    <w:uiPriority w:val="99"/>
    <w:rsid w:val="00E37CE2"/>
    <w:rPr>
      <w:sz w:val="20"/>
      <w:szCs w:val="25"/>
    </w:rPr>
  </w:style>
  <w:style w:type="paragraph" w:styleId="BalloonText">
    <w:name w:val="Balloon Text"/>
    <w:basedOn w:val="Normal"/>
    <w:link w:val="BalloonTextChar"/>
    <w:uiPriority w:val="99"/>
    <w:semiHidden/>
    <w:unhideWhenUsed/>
    <w:rsid w:val="00E37CE2"/>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37CE2"/>
    <w:rPr>
      <w:rFonts w:ascii="Segoe UI" w:hAnsi="Segoe UI" w:cs="Angsana New"/>
      <w:sz w:val="18"/>
      <w:szCs w:val="22"/>
    </w:rPr>
  </w:style>
  <w:style w:type="character" w:customStyle="1" w:styleId="Heading1Char">
    <w:name w:val="Heading 1 Char"/>
    <w:basedOn w:val="DefaultParagraphFont"/>
    <w:link w:val="Heading1"/>
    <w:uiPriority w:val="9"/>
    <w:rsid w:val="00AD18E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01886"/>
    <w:rPr>
      <w:color w:val="0563C1" w:themeColor="hyperlink"/>
      <w:u w:val="single"/>
    </w:rPr>
  </w:style>
  <w:style w:type="character" w:customStyle="1" w:styleId="UnresolvedMention">
    <w:name w:val="Unresolved Mention"/>
    <w:basedOn w:val="DefaultParagraphFont"/>
    <w:uiPriority w:val="99"/>
    <w:semiHidden/>
    <w:unhideWhenUsed/>
    <w:rsid w:val="00701886"/>
    <w:rPr>
      <w:color w:val="605E5C"/>
      <w:shd w:val="clear" w:color="auto" w:fill="E1DFDD"/>
    </w:rPr>
  </w:style>
  <w:style w:type="paragraph" w:customStyle="1" w:styleId="EndNoteBibliographyTitle">
    <w:name w:val="EndNote Bibliography Title"/>
    <w:basedOn w:val="Normal"/>
    <w:link w:val="EndNoteBibliographyTitleChar"/>
    <w:rsid w:val="008F637B"/>
    <w:pPr>
      <w:spacing w:line="259" w:lineRule="auto"/>
      <w:jc w:val="center"/>
    </w:pPr>
    <w:rPr>
      <w:rFonts w:eastAsiaTheme="minorHAnsi"/>
      <w:noProof/>
      <w:szCs w:val="28"/>
      <w:lang w:val="en-US" w:eastAsia="en-US"/>
    </w:rPr>
  </w:style>
  <w:style w:type="character" w:customStyle="1" w:styleId="EndNoteBibliographyTitleChar">
    <w:name w:val="EndNote Bibliography Title Char"/>
    <w:basedOn w:val="DefaultParagraphFont"/>
    <w:link w:val="EndNoteBibliographyTitle"/>
    <w:rsid w:val="008F637B"/>
    <w:rPr>
      <w:rFonts w:ascii="Times New Roman" w:hAnsi="Times New Roman" w:cs="Times New Roman"/>
      <w:noProof/>
      <w:sz w:val="24"/>
    </w:rPr>
  </w:style>
  <w:style w:type="paragraph" w:customStyle="1" w:styleId="EndNoteBibliography">
    <w:name w:val="EndNote Bibliography"/>
    <w:basedOn w:val="Normal"/>
    <w:link w:val="EndNoteBibliographyChar"/>
    <w:rsid w:val="008F637B"/>
    <w:pPr>
      <w:spacing w:after="160"/>
    </w:pPr>
    <w:rPr>
      <w:rFonts w:eastAsiaTheme="minorHAnsi"/>
      <w:noProof/>
      <w:szCs w:val="28"/>
      <w:lang w:val="en-US" w:eastAsia="en-US"/>
    </w:rPr>
  </w:style>
  <w:style w:type="character" w:customStyle="1" w:styleId="EndNoteBibliographyChar">
    <w:name w:val="EndNote Bibliography Char"/>
    <w:basedOn w:val="DefaultParagraphFont"/>
    <w:link w:val="EndNoteBibliography"/>
    <w:rsid w:val="008F637B"/>
    <w:rPr>
      <w:rFonts w:ascii="Times New Roman" w:hAnsi="Times New Roman" w:cs="Times New Roman"/>
      <w:noProof/>
      <w:sz w:val="24"/>
    </w:rPr>
  </w:style>
  <w:style w:type="character" w:customStyle="1" w:styleId="Heading3Char">
    <w:name w:val="Heading 3 Char"/>
    <w:basedOn w:val="DefaultParagraphFont"/>
    <w:link w:val="Heading3"/>
    <w:uiPriority w:val="9"/>
    <w:semiHidden/>
    <w:rsid w:val="00475366"/>
    <w:rPr>
      <w:rFonts w:asciiTheme="majorHAnsi" w:eastAsiaTheme="majorEastAsia" w:hAnsiTheme="majorHAnsi" w:cstheme="majorBidi"/>
      <w:color w:val="1F3763" w:themeColor="accent1" w:themeShade="7F"/>
      <w:sz w:val="24"/>
      <w:szCs w:val="30"/>
    </w:rPr>
  </w:style>
  <w:style w:type="table" w:styleId="TableGrid">
    <w:name w:val="Table Grid"/>
    <w:basedOn w:val="TableNormal"/>
    <w:uiPriority w:val="59"/>
    <w:rsid w:val="00955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3EC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F7FE3"/>
    <w:rPr>
      <w:b/>
      <w:bCs/>
    </w:rPr>
  </w:style>
  <w:style w:type="character" w:customStyle="1" w:styleId="NormalWebChar">
    <w:name w:val="Normal (Web) Char"/>
    <w:basedOn w:val="DefaultParagraphFont"/>
    <w:link w:val="NormalWeb"/>
    <w:uiPriority w:val="99"/>
    <w:rsid w:val="00FF43CD"/>
    <w:rPr>
      <w:rFonts w:ascii="Times New Roman" w:eastAsia="Times New Roman" w:hAnsi="Times New Roman" w:cs="Times New Roman"/>
      <w:sz w:val="24"/>
      <w:szCs w:val="24"/>
    </w:rPr>
  </w:style>
  <w:style w:type="character" w:customStyle="1" w:styleId="fontstyle01">
    <w:name w:val="fontstyle01"/>
    <w:basedOn w:val="DefaultParagraphFont"/>
    <w:rsid w:val="00FF43CD"/>
    <w:rPr>
      <w:rFonts w:ascii="AdvBOOKO-R" w:hAnsi="AdvBOOKO-R" w:hint="default"/>
      <w:b w:val="0"/>
      <w:bCs w:val="0"/>
      <w:i w:val="0"/>
      <w:iCs w:val="0"/>
      <w:color w:val="242021"/>
      <w:sz w:val="18"/>
      <w:szCs w:val="18"/>
    </w:rPr>
  </w:style>
  <w:style w:type="paragraph" w:styleId="ListParagraph">
    <w:name w:val="List Paragraph"/>
    <w:basedOn w:val="Normal"/>
    <w:link w:val="ListParagraphChar"/>
    <w:uiPriority w:val="34"/>
    <w:qFormat/>
    <w:rsid w:val="001944D4"/>
    <w:pPr>
      <w:spacing w:after="160" w:line="259" w:lineRule="auto"/>
      <w:ind w:left="720"/>
      <w:contextualSpacing/>
    </w:pPr>
    <w:rPr>
      <w:rFonts w:asciiTheme="minorHAnsi" w:eastAsiaTheme="minorHAnsi" w:hAnsiTheme="minorHAnsi" w:cstheme="minorBidi"/>
      <w:sz w:val="22"/>
      <w:szCs w:val="28"/>
      <w:lang w:val="en-US" w:eastAsia="en-US"/>
    </w:rPr>
  </w:style>
  <w:style w:type="character" w:customStyle="1" w:styleId="ListParagraphChar">
    <w:name w:val="List Paragraph Char"/>
    <w:basedOn w:val="DefaultParagraphFont"/>
    <w:link w:val="ListParagraph"/>
    <w:uiPriority w:val="34"/>
    <w:rsid w:val="00543AB8"/>
  </w:style>
  <w:style w:type="paragraph" w:styleId="NoSpacing">
    <w:name w:val="No Spacing"/>
    <w:link w:val="NoSpacingChar"/>
    <w:uiPriority w:val="1"/>
    <w:qFormat/>
    <w:rsid w:val="009A5376"/>
    <w:pPr>
      <w:spacing w:after="0" w:line="240" w:lineRule="auto"/>
    </w:pPr>
  </w:style>
  <w:style w:type="character" w:customStyle="1" w:styleId="NoSpacingChar">
    <w:name w:val="No Spacing Char"/>
    <w:basedOn w:val="DefaultParagraphFont"/>
    <w:link w:val="NoSpacing"/>
    <w:uiPriority w:val="1"/>
    <w:rsid w:val="009A5376"/>
  </w:style>
  <w:style w:type="paragraph" w:styleId="CommentSubject">
    <w:name w:val="annotation subject"/>
    <w:basedOn w:val="CommentText"/>
    <w:next w:val="CommentText"/>
    <w:link w:val="CommentSubjectChar"/>
    <w:uiPriority w:val="99"/>
    <w:semiHidden/>
    <w:unhideWhenUsed/>
    <w:rsid w:val="00AB1C9C"/>
    <w:rPr>
      <w:b/>
      <w:bCs/>
    </w:rPr>
  </w:style>
  <w:style w:type="character" w:customStyle="1" w:styleId="CommentSubjectChar">
    <w:name w:val="Comment Subject Char"/>
    <w:basedOn w:val="CommentTextChar"/>
    <w:link w:val="CommentSubject"/>
    <w:uiPriority w:val="99"/>
    <w:semiHidden/>
    <w:rsid w:val="00AB1C9C"/>
    <w:rPr>
      <w:b/>
      <w:bCs/>
      <w:sz w:val="20"/>
      <w:szCs w:val="25"/>
    </w:rPr>
  </w:style>
  <w:style w:type="character" w:customStyle="1" w:styleId="apple-converted-space">
    <w:name w:val="apple-converted-space"/>
    <w:basedOn w:val="DefaultParagraphFont"/>
    <w:rsid w:val="006E6247"/>
  </w:style>
</w:styles>
</file>

<file path=word/webSettings.xml><?xml version="1.0" encoding="utf-8"?>
<w:webSettings xmlns:r="http://schemas.openxmlformats.org/officeDocument/2006/relationships" xmlns:w="http://schemas.openxmlformats.org/wordprocessingml/2006/main">
  <w:divs>
    <w:div w:id="72314245">
      <w:bodyDiv w:val="1"/>
      <w:marLeft w:val="0"/>
      <w:marRight w:val="0"/>
      <w:marTop w:val="0"/>
      <w:marBottom w:val="0"/>
      <w:divBdr>
        <w:top w:val="none" w:sz="0" w:space="0" w:color="auto"/>
        <w:left w:val="none" w:sz="0" w:space="0" w:color="auto"/>
        <w:bottom w:val="none" w:sz="0" w:space="0" w:color="auto"/>
        <w:right w:val="none" w:sz="0" w:space="0" w:color="auto"/>
      </w:divBdr>
    </w:div>
    <w:div w:id="173999895">
      <w:bodyDiv w:val="1"/>
      <w:marLeft w:val="0"/>
      <w:marRight w:val="0"/>
      <w:marTop w:val="0"/>
      <w:marBottom w:val="0"/>
      <w:divBdr>
        <w:top w:val="none" w:sz="0" w:space="0" w:color="auto"/>
        <w:left w:val="none" w:sz="0" w:space="0" w:color="auto"/>
        <w:bottom w:val="none" w:sz="0" w:space="0" w:color="auto"/>
        <w:right w:val="none" w:sz="0" w:space="0" w:color="auto"/>
      </w:divBdr>
    </w:div>
    <w:div w:id="315569625">
      <w:bodyDiv w:val="1"/>
      <w:marLeft w:val="0"/>
      <w:marRight w:val="0"/>
      <w:marTop w:val="0"/>
      <w:marBottom w:val="0"/>
      <w:divBdr>
        <w:top w:val="none" w:sz="0" w:space="0" w:color="auto"/>
        <w:left w:val="none" w:sz="0" w:space="0" w:color="auto"/>
        <w:bottom w:val="none" w:sz="0" w:space="0" w:color="auto"/>
        <w:right w:val="none" w:sz="0" w:space="0" w:color="auto"/>
      </w:divBdr>
    </w:div>
    <w:div w:id="347871950">
      <w:bodyDiv w:val="1"/>
      <w:marLeft w:val="0"/>
      <w:marRight w:val="0"/>
      <w:marTop w:val="0"/>
      <w:marBottom w:val="0"/>
      <w:divBdr>
        <w:top w:val="none" w:sz="0" w:space="0" w:color="auto"/>
        <w:left w:val="none" w:sz="0" w:space="0" w:color="auto"/>
        <w:bottom w:val="none" w:sz="0" w:space="0" w:color="auto"/>
        <w:right w:val="none" w:sz="0" w:space="0" w:color="auto"/>
      </w:divBdr>
    </w:div>
    <w:div w:id="379785639">
      <w:bodyDiv w:val="1"/>
      <w:marLeft w:val="0"/>
      <w:marRight w:val="0"/>
      <w:marTop w:val="0"/>
      <w:marBottom w:val="0"/>
      <w:divBdr>
        <w:top w:val="none" w:sz="0" w:space="0" w:color="auto"/>
        <w:left w:val="none" w:sz="0" w:space="0" w:color="auto"/>
        <w:bottom w:val="none" w:sz="0" w:space="0" w:color="auto"/>
        <w:right w:val="none" w:sz="0" w:space="0" w:color="auto"/>
      </w:divBdr>
    </w:div>
    <w:div w:id="834614092">
      <w:bodyDiv w:val="1"/>
      <w:marLeft w:val="0"/>
      <w:marRight w:val="0"/>
      <w:marTop w:val="0"/>
      <w:marBottom w:val="0"/>
      <w:divBdr>
        <w:top w:val="none" w:sz="0" w:space="0" w:color="auto"/>
        <w:left w:val="none" w:sz="0" w:space="0" w:color="auto"/>
        <w:bottom w:val="none" w:sz="0" w:space="0" w:color="auto"/>
        <w:right w:val="none" w:sz="0" w:space="0" w:color="auto"/>
      </w:divBdr>
    </w:div>
    <w:div w:id="838883026">
      <w:bodyDiv w:val="1"/>
      <w:marLeft w:val="0"/>
      <w:marRight w:val="0"/>
      <w:marTop w:val="0"/>
      <w:marBottom w:val="0"/>
      <w:divBdr>
        <w:top w:val="none" w:sz="0" w:space="0" w:color="auto"/>
        <w:left w:val="none" w:sz="0" w:space="0" w:color="auto"/>
        <w:bottom w:val="none" w:sz="0" w:space="0" w:color="auto"/>
        <w:right w:val="none" w:sz="0" w:space="0" w:color="auto"/>
      </w:divBdr>
    </w:div>
    <w:div w:id="848719029">
      <w:bodyDiv w:val="1"/>
      <w:marLeft w:val="0"/>
      <w:marRight w:val="0"/>
      <w:marTop w:val="0"/>
      <w:marBottom w:val="0"/>
      <w:divBdr>
        <w:top w:val="none" w:sz="0" w:space="0" w:color="auto"/>
        <w:left w:val="none" w:sz="0" w:space="0" w:color="auto"/>
        <w:bottom w:val="none" w:sz="0" w:space="0" w:color="auto"/>
        <w:right w:val="none" w:sz="0" w:space="0" w:color="auto"/>
      </w:divBdr>
    </w:div>
    <w:div w:id="1116824983">
      <w:bodyDiv w:val="1"/>
      <w:marLeft w:val="0"/>
      <w:marRight w:val="0"/>
      <w:marTop w:val="0"/>
      <w:marBottom w:val="0"/>
      <w:divBdr>
        <w:top w:val="none" w:sz="0" w:space="0" w:color="auto"/>
        <w:left w:val="none" w:sz="0" w:space="0" w:color="auto"/>
        <w:bottom w:val="none" w:sz="0" w:space="0" w:color="auto"/>
        <w:right w:val="none" w:sz="0" w:space="0" w:color="auto"/>
      </w:divBdr>
    </w:div>
    <w:div w:id="1358233626">
      <w:bodyDiv w:val="1"/>
      <w:marLeft w:val="0"/>
      <w:marRight w:val="0"/>
      <w:marTop w:val="0"/>
      <w:marBottom w:val="0"/>
      <w:divBdr>
        <w:top w:val="none" w:sz="0" w:space="0" w:color="auto"/>
        <w:left w:val="none" w:sz="0" w:space="0" w:color="auto"/>
        <w:bottom w:val="none" w:sz="0" w:space="0" w:color="auto"/>
        <w:right w:val="none" w:sz="0" w:space="0" w:color="auto"/>
      </w:divBdr>
      <w:divsChild>
        <w:div w:id="2077824369">
          <w:marLeft w:val="0"/>
          <w:marRight w:val="0"/>
          <w:marTop w:val="0"/>
          <w:marBottom w:val="0"/>
          <w:divBdr>
            <w:top w:val="none" w:sz="0" w:space="0" w:color="auto"/>
            <w:left w:val="none" w:sz="0" w:space="0" w:color="auto"/>
            <w:bottom w:val="none" w:sz="0" w:space="0" w:color="auto"/>
            <w:right w:val="none" w:sz="0" w:space="0" w:color="auto"/>
          </w:divBdr>
        </w:div>
        <w:div w:id="819077912">
          <w:marLeft w:val="0"/>
          <w:marRight w:val="0"/>
          <w:marTop w:val="0"/>
          <w:marBottom w:val="0"/>
          <w:divBdr>
            <w:top w:val="none" w:sz="0" w:space="0" w:color="auto"/>
            <w:left w:val="none" w:sz="0" w:space="0" w:color="auto"/>
            <w:bottom w:val="none" w:sz="0" w:space="0" w:color="auto"/>
            <w:right w:val="none" w:sz="0" w:space="0" w:color="auto"/>
          </w:divBdr>
        </w:div>
      </w:divsChild>
    </w:div>
    <w:div w:id="1468159743">
      <w:bodyDiv w:val="1"/>
      <w:marLeft w:val="0"/>
      <w:marRight w:val="0"/>
      <w:marTop w:val="0"/>
      <w:marBottom w:val="0"/>
      <w:divBdr>
        <w:top w:val="none" w:sz="0" w:space="0" w:color="auto"/>
        <w:left w:val="none" w:sz="0" w:space="0" w:color="auto"/>
        <w:bottom w:val="none" w:sz="0" w:space="0" w:color="auto"/>
        <w:right w:val="none" w:sz="0" w:space="0" w:color="auto"/>
      </w:divBdr>
    </w:div>
    <w:div w:id="1602954048">
      <w:bodyDiv w:val="1"/>
      <w:marLeft w:val="0"/>
      <w:marRight w:val="0"/>
      <w:marTop w:val="0"/>
      <w:marBottom w:val="0"/>
      <w:divBdr>
        <w:top w:val="none" w:sz="0" w:space="0" w:color="auto"/>
        <w:left w:val="none" w:sz="0" w:space="0" w:color="auto"/>
        <w:bottom w:val="none" w:sz="0" w:space="0" w:color="auto"/>
        <w:right w:val="none" w:sz="0" w:space="0" w:color="auto"/>
      </w:divBdr>
      <w:divsChild>
        <w:div w:id="434862281">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 w:id="1858275517">
      <w:bodyDiv w:val="1"/>
      <w:marLeft w:val="0"/>
      <w:marRight w:val="0"/>
      <w:marTop w:val="0"/>
      <w:marBottom w:val="0"/>
      <w:divBdr>
        <w:top w:val="none" w:sz="0" w:space="0" w:color="auto"/>
        <w:left w:val="none" w:sz="0" w:space="0" w:color="auto"/>
        <w:bottom w:val="none" w:sz="0" w:space="0" w:color="auto"/>
        <w:right w:val="none" w:sz="0" w:space="0" w:color="auto"/>
      </w:divBdr>
    </w:div>
    <w:div w:id="2010937097">
      <w:bodyDiv w:val="1"/>
      <w:marLeft w:val="0"/>
      <w:marRight w:val="0"/>
      <w:marTop w:val="0"/>
      <w:marBottom w:val="0"/>
      <w:divBdr>
        <w:top w:val="none" w:sz="0" w:space="0" w:color="auto"/>
        <w:left w:val="none" w:sz="0" w:space="0" w:color="auto"/>
        <w:bottom w:val="none" w:sz="0" w:space="0" w:color="auto"/>
        <w:right w:val="none" w:sz="0" w:space="0" w:color="auto"/>
      </w:divBdr>
    </w:div>
    <w:div w:id="205142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9C6EA3-33DB-9749-8640-C4738F81F5A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24B95-9DFF-4553-981F-33DDD5EB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Sundari.ka</cp:lastModifiedBy>
  <cp:revision>2</cp:revision>
  <dcterms:created xsi:type="dcterms:W3CDTF">2022-06-30T04:51:00Z</dcterms:created>
  <dcterms:modified xsi:type="dcterms:W3CDTF">2022-06-30T04:51:00Z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documentId_6480</vt:lpwstr>
  </property>
  <property fmtid="{D5CDD505-2E9C-101B-9397-08002B2CF9AE}" pid="3" name="grammarly_documentContext">
    <vt:lpwstr>{"goals":[],"domain":"general","emotions":[],"dialect":"american"}</vt:lpwstr>
  </property>
</Properties>
</file>