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8C29" w14:textId="59CA4E08" w:rsidR="00882F2C" w:rsidRPr="00A56D00" w:rsidRDefault="006E5ADD" w:rsidP="00882F2C">
      <w:pPr>
        <w:pStyle w:val="Heading2"/>
        <w:spacing w:line="360" w:lineRule="auto"/>
        <w:rPr>
          <w:rStyle w:val="normaltextrun"/>
          <w:rFonts w:asciiTheme="minorHAnsi" w:hAnsiTheme="minorHAnsi" w:cstheme="minorHAnsi"/>
          <w:b/>
          <w:bCs/>
          <w:color w:val="auto"/>
          <w:sz w:val="20"/>
          <w:szCs w:val="20"/>
          <w:bdr w:val="none" w:sz="0" w:space="0" w:color="auto" w:frame="1"/>
        </w:rPr>
      </w:pPr>
      <w:bookmarkStart w:id="0" w:name="_Toc84267855"/>
      <w:r>
        <w:rPr>
          <w:rStyle w:val="normaltextrun"/>
          <w:rFonts w:asciiTheme="minorHAnsi" w:hAnsiTheme="minorHAnsi" w:cstheme="minorHAnsi"/>
          <w:b/>
          <w:bCs/>
          <w:color w:val="auto"/>
          <w:sz w:val="20"/>
          <w:szCs w:val="20"/>
          <w:bdr w:val="none" w:sz="0" w:space="0" w:color="auto" w:frame="1"/>
        </w:rPr>
        <w:t>Supplementary material</w:t>
      </w:r>
      <w:r w:rsidR="00882F2C" w:rsidRPr="00A56D00">
        <w:rPr>
          <w:rStyle w:val="normaltextrun"/>
          <w:rFonts w:asciiTheme="minorHAnsi" w:hAnsiTheme="minorHAnsi" w:cstheme="minorHAnsi"/>
          <w:b/>
          <w:bCs/>
          <w:color w:val="auto"/>
          <w:sz w:val="20"/>
          <w:szCs w:val="20"/>
          <w:bdr w:val="none" w:sz="0" w:space="0" w:color="auto" w:frame="1"/>
        </w:rPr>
        <w:t xml:space="preserve"> – Data Extraction Tables</w:t>
      </w:r>
      <w:bookmarkEnd w:id="0"/>
    </w:p>
    <w:p w14:paraId="00D6D186" w14:textId="77777777" w:rsidR="00882F2C" w:rsidRPr="00A56D00" w:rsidRDefault="00882F2C" w:rsidP="00882F2C">
      <w:pPr>
        <w:pStyle w:val="Heading2"/>
        <w:spacing w:before="0" w:line="360" w:lineRule="auto"/>
        <w:rPr>
          <w:rStyle w:val="normaltextrun"/>
          <w:rFonts w:asciiTheme="minorHAnsi" w:hAnsiTheme="minorHAnsi" w:cstheme="minorHAnsi"/>
          <w:b/>
          <w:bCs/>
          <w:color w:val="auto"/>
          <w:sz w:val="20"/>
          <w:szCs w:val="20"/>
        </w:rPr>
      </w:pPr>
      <w:bookmarkStart w:id="1" w:name="_Toc84267856"/>
      <w:r w:rsidRPr="00A56D00">
        <w:rPr>
          <w:rStyle w:val="normaltextrun"/>
          <w:rFonts w:asciiTheme="minorHAnsi" w:hAnsiTheme="minorHAnsi" w:cstheme="minorHAnsi"/>
          <w:b/>
          <w:bCs/>
          <w:color w:val="auto"/>
          <w:sz w:val="20"/>
          <w:szCs w:val="20"/>
        </w:rPr>
        <w:t>Patient and HCP Experiences of HEN</w:t>
      </w:r>
      <w:bookmarkEnd w:id="1"/>
    </w:p>
    <w:tbl>
      <w:tblPr>
        <w:tblStyle w:val="TableGrid"/>
        <w:tblW w:w="13948" w:type="dxa"/>
        <w:tblLook w:val="04A0" w:firstRow="1" w:lastRow="0" w:firstColumn="1" w:lastColumn="0" w:noHBand="0" w:noVBand="1"/>
      </w:tblPr>
      <w:tblGrid>
        <w:gridCol w:w="1697"/>
        <w:gridCol w:w="1570"/>
        <w:gridCol w:w="2459"/>
        <w:gridCol w:w="4179"/>
        <w:gridCol w:w="4043"/>
      </w:tblGrid>
      <w:tr w:rsidR="00882F2C" w:rsidRPr="00A56D00" w14:paraId="1D8E8CD8" w14:textId="77777777" w:rsidTr="00CF53D4">
        <w:tc>
          <w:tcPr>
            <w:tcW w:w="1697" w:type="dxa"/>
          </w:tcPr>
          <w:p w14:paraId="4C309FE0" w14:textId="77777777" w:rsidR="00882F2C" w:rsidRPr="00A56D00" w:rsidRDefault="00882F2C" w:rsidP="00CF53D4">
            <w:pPr>
              <w:rPr>
                <w:rFonts w:cstheme="minorHAnsi"/>
                <w:b/>
                <w:bCs/>
                <w:sz w:val="20"/>
                <w:szCs w:val="20"/>
              </w:rPr>
            </w:pPr>
            <w:r w:rsidRPr="00A56D00">
              <w:rPr>
                <w:rFonts w:cstheme="minorHAnsi"/>
                <w:b/>
                <w:bCs/>
                <w:sz w:val="20"/>
                <w:szCs w:val="20"/>
              </w:rPr>
              <w:t>Author (Year)</w:t>
            </w:r>
          </w:p>
        </w:tc>
        <w:tc>
          <w:tcPr>
            <w:tcW w:w="1570" w:type="dxa"/>
          </w:tcPr>
          <w:p w14:paraId="007235F0" w14:textId="77777777" w:rsidR="00882F2C" w:rsidRPr="00A56D00" w:rsidRDefault="00882F2C" w:rsidP="00CF53D4">
            <w:pPr>
              <w:rPr>
                <w:rFonts w:cstheme="minorHAnsi"/>
                <w:b/>
                <w:bCs/>
                <w:sz w:val="20"/>
                <w:szCs w:val="20"/>
              </w:rPr>
            </w:pPr>
            <w:r w:rsidRPr="00A56D00">
              <w:rPr>
                <w:rFonts w:cstheme="minorHAnsi"/>
                <w:b/>
                <w:bCs/>
                <w:sz w:val="20"/>
                <w:szCs w:val="20"/>
              </w:rPr>
              <w:t>Country</w:t>
            </w:r>
          </w:p>
        </w:tc>
        <w:tc>
          <w:tcPr>
            <w:tcW w:w="2459" w:type="dxa"/>
          </w:tcPr>
          <w:p w14:paraId="388BE3CC" w14:textId="77777777" w:rsidR="00882F2C" w:rsidRPr="00A56D00" w:rsidRDefault="00882F2C" w:rsidP="00CF53D4">
            <w:pPr>
              <w:rPr>
                <w:rFonts w:cstheme="minorHAnsi"/>
                <w:b/>
                <w:bCs/>
                <w:sz w:val="20"/>
                <w:szCs w:val="20"/>
              </w:rPr>
            </w:pPr>
            <w:r w:rsidRPr="00A56D00">
              <w:rPr>
                <w:rFonts w:cstheme="minorHAnsi"/>
                <w:b/>
                <w:bCs/>
                <w:sz w:val="20"/>
                <w:szCs w:val="20"/>
              </w:rPr>
              <w:t>Study Aim</w:t>
            </w:r>
          </w:p>
        </w:tc>
        <w:tc>
          <w:tcPr>
            <w:tcW w:w="4179" w:type="dxa"/>
          </w:tcPr>
          <w:p w14:paraId="69AED802" w14:textId="77777777" w:rsidR="00882F2C" w:rsidRPr="00A56D00" w:rsidRDefault="00882F2C" w:rsidP="00CF53D4">
            <w:pPr>
              <w:rPr>
                <w:rFonts w:cstheme="minorHAnsi"/>
                <w:b/>
                <w:bCs/>
                <w:sz w:val="20"/>
                <w:szCs w:val="20"/>
              </w:rPr>
            </w:pPr>
            <w:r w:rsidRPr="00A56D00">
              <w:rPr>
                <w:rFonts w:cstheme="minorHAnsi"/>
                <w:b/>
                <w:bCs/>
                <w:sz w:val="20"/>
                <w:szCs w:val="20"/>
              </w:rPr>
              <w:t>Key Findings</w:t>
            </w:r>
          </w:p>
        </w:tc>
        <w:tc>
          <w:tcPr>
            <w:tcW w:w="4043" w:type="dxa"/>
          </w:tcPr>
          <w:p w14:paraId="73A1B44B" w14:textId="77777777" w:rsidR="00882F2C" w:rsidRPr="00A56D00" w:rsidRDefault="00882F2C" w:rsidP="00CF53D4">
            <w:pPr>
              <w:rPr>
                <w:rFonts w:cstheme="minorHAnsi"/>
                <w:b/>
                <w:bCs/>
                <w:sz w:val="20"/>
                <w:szCs w:val="20"/>
              </w:rPr>
            </w:pPr>
            <w:r w:rsidRPr="00A56D00">
              <w:rPr>
                <w:rFonts w:cstheme="minorHAnsi"/>
                <w:b/>
                <w:bCs/>
                <w:sz w:val="20"/>
                <w:szCs w:val="20"/>
              </w:rPr>
              <w:t>Notable Quote</w:t>
            </w:r>
          </w:p>
        </w:tc>
      </w:tr>
      <w:tr w:rsidR="00882F2C" w:rsidRPr="00A56D00" w14:paraId="42E71316" w14:textId="77777777" w:rsidTr="00CF53D4">
        <w:tc>
          <w:tcPr>
            <w:tcW w:w="9905" w:type="dxa"/>
            <w:gridSpan w:val="4"/>
          </w:tcPr>
          <w:p w14:paraId="00BE0E05" w14:textId="77777777" w:rsidR="00882F2C" w:rsidRPr="00A56D00" w:rsidRDefault="00882F2C" w:rsidP="00CF53D4">
            <w:pPr>
              <w:rPr>
                <w:rFonts w:cstheme="minorHAnsi"/>
                <w:b/>
                <w:bCs/>
                <w:sz w:val="20"/>
                <w:szCs w:val="20"/>
              </w:rPr>
            </w:pPr>
            <w:r w:rsidRPr="00A56D00">
              <w:rPr>
                <w:rFonts w:cstheme="minorHAnsi"/>
                <w:b/>
                <w:bCs/>
                <w:sz w:val="20"/>
                <w:szCs w:val="20"/>
              </w:rPr>
              <w:t>PART A – Qualitative Studies</w:t>
            </w:r>
          </w:p>
        </w:tc>
        <w:tc>
          <w:tcPr>
            <w:tcW w:w="4043" w:type="dxa"/>
          </w:tcPr>
          <w:p w14:paraId="162C773D" w14:textId="77777777" w:rsidR="00882F2C" w:rsidRPr="00A56D00" w:rsidRDefault="00882F2C" w:rsidP="00CF53D4">
            <w:pPr>
              <w:rPr>
                <w:rFonts w:cstheme="minorHAnsi"/>
                <w:b/>
                <w:bCs/>
                <w:sz w:val="20"/>
                <w:szCs w:val="20"/>
              </w:rPr>
            </w:pPr>
          </w:p>
        </w:tc>
      </w:tr>
      <w:tr w:rsidR="00882F2C" w:rsidRPr="00A56D00" w14:paraId="7D4125B8" w14:textId="77777777" w:rsidTr="00CF53D4">
        <w:tc>
          <w:tcPr>
            <w:tcW w:w="1697" w:type="dxa"/>
            <w:vMerge w:val="restart"/>
          </w:tcPr>
          <w:p w14:paraId="35D4139D" w14:textId="77777777" w:rsidR="00882F2C" w:rsidRPr="00A56D00" w:rsidRDefault="00882F2C" w:rsidP="00CF53D4">
            <w:pPr>
              <w:rPr>
                <w:rFonts w:cstheme="minorHAnsi"/>
                <w:sz w:val="20"/>
                <w:szCs w:val="20"/>
              </w:rPr>
            </w:pPr>
            <w:r w:rsidRPr="00A56D00">
              <w:rPr>
                <w:rFonts w:cstheme="minorHAnsi"/>
                <w:sz w:val="20"/>
                <w:szCs w:val="20"/>
              </w:rPr>
              <w:t xml:space="preserve">Ang et al </w:t>
            </w:r>
          </w:p>
          <w:p w14:paraId="24013D50" w14:textId="77777777" w:rsidR="00882F2C" w:rsidRPr="00A56D00" w:rsidRDefault="00882F2C" w:rsidP="00CF53D4">
            <w:pPr>
              <w:rPr>
                <w:rFonts w:cstheme="minorHAnsi"/>
                <w:sz w:val="20"/>
                <w:szCs w:val="20"/>
              </w:rPr>
            </w:pPr>
            <w:r w:rsidRPr="00A56D00">
              <w:rPr>
                <w:rFonts w:cstheme="minorHAnsi"/>
                <w:sz w:val="20"/>
                <w:szCs w:val="20"/>
              </w:rPr>
              <w:t>(2019)</w:t>
            </w:r>
          </w:p>
        </w:tc>
        <w:tc>
          <w:tcPr>
            <w:tcW w:w="1570" w:type="dxa"/>
            <w:vMerge w:val="restart"/>
          </w:tcPr>
          <w:p w14:paraId="5E99E048" w14:textId="77777777" w:rsidR="00882F2C" w:rsidRPr="00A56D00" w:rsidRDefault="00882F2C" w:rsidP="00CF53D4">
            <w:pPr>
              <w:rPr>
                <w:rFonts w:cstheme="minorHAnsi"/>
                <w:sz w:val="20"/>
                <w:szCs w:val="20"/>
              </w:rPr>
            </w:pPr>
            <w:r w:rsidRPr="00A56D00">
              <w:rPr>
                <w:rFonts w:cstheme="minorHAnsi"/>
                <w:sz w:val="20"/>
                <w:szCs w:val="20"/>
              </w:rPr>
              <w:t>Singapore</w:t>
            </w:r>
          </w:p>
        </w:tc>
        <w:tc>
          <w:tcPr>
            <w:tcW w:w="2459" w:type="dxa"/>
            <w:vMerge w:val="restart"/>
          </w:tcPr>
          <w:p w14:paraId="503E092A"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upon initiation of long-term HEN</w:t>
            </w:r>
          </w:p>
        </w:tc>
        <w:tc>
          <w:tcPr>
            <w:tcW w:w="4179" w:type="dxa"/>
          </w:tcPr>
          <w:p w14:paraId="76F27662" w14:textId="77777777" w:rsidR="00882F2C" w:rsidRPr="00A56D00" w:rsidRDefault="00882F2C" w:rsidP="00CF53D4">
            <w:pPr>
              <w:rPr>
                <w:rFonts w:cstheme="minorHAnsi"/>
                <w:sz w:val="20"/>
                <w:szCs w:val="20"/>
              </w:rPr>
            </w:pPr>
            <w:r w:rsidRPr="00A56D00">
              <w:rPr>
                <w:rFonts w:cstheme="minorHAnsi"/>
                <w:sz w:val="20"/>
                <w:szCs w:val="20"/>
              </w:rPr>
              <w:t>(IE): A lack of adequate knowledge on the procedure of PEG insertion and possible complications increases the anxiety level and fear of patients towards the procedure of PEG insertion.</w:t>
            </w:r>
          </w:p>
        </w:tc>
        <w:tc>
          <w:tcPr>
            <w:tcW w:w="4043" w:type="dxa"/>
          </w:tcPr>
          <w:p w14:paraId="4EB47D8B" w14:textId="77777777" w:rsidR="00882F2C" w:rsidRPr="00A56D00" w:rsidRDefault="00882F2C" w:rsidP="00CF53D4">
            <w:pPr>
              <w:rPr>
                <w:rFonts w:cstheme="minorHAnsi"/>
                <w:sz w:val="20"/>
                <w:szCs w:val="20"/>
              </w:rPr>
            </w:pPr>
          </w:p>
        </w:tc>
      </w:tr>
      <w:tr w:rsidR="00882F2C" w:rsidRPr="00A56D00" w14:paraId="4EA3FC0A" w14:textId="77777777" w:rsidTr="00CF53D4">
        <w:tc>
          <w:tcPr>
            <w:tcW w:w="1697" w:type="dxa"/>
            <w:vMerge/>
          </w:tcPr>
          <w:p w14:paraId="4750F715" w14:textId="77777777" w:rsidR="00882F2C" w:rsidRPr="00A56D00" w:rsidRDefault="00882F2C" w:rsidP="00CF53D4">
            <w:pPr>
              <w:rPr>
                <w:rFonts w:cstheme="minorHAnsi"/>
                <w:sz w:val="20"/>
                <w:szCs w:val="20"/>
              </w:rPr>
            </w:pPr>
          </w:p>
        </w:tc>
        <w:tc>
          <w:tcPr>
            <w:tcW w:w="1570" w:type="dxa"/>
            <w:vMerge/>
          </w:tcPr>
          <w:p w14:paraId="0823C88F" w14:textId="77777777" w:rsidR="00882F2C" w:rsidRPr="00A56D00" w:rsidRDefault="00882F2C" w:rsidP="00CF53D4">
            <w:pPr>
              <w:rPr>
                <w:rFonts w:cstheme="minorHAnsi"/>
                <w:sz w:val="20"/>
                <w:szCs w:val="20"/>
              </w:rPr>
            </w:pPr>
          </w:p>
        </w:tc>
        <w:tc>
          <w:tcPr>
            <w:tcW w:w="2459" w:type="dxa"/>
            <w:vMerge/>
          </w:tcPr>
          <w:p w14:paraId="5FD1C6F3" w14:textId="77777777" w:rsidR="00882F2C" w:rsidRPr="00A56D00" w:rsidRDefault="00882F2C" w:rsidP="00CF53D4">
            <w:pPr>
              <w:rPr>
                <w:rFonts w:cstheme="minorHAnsi"/>
                <w:sz w:val="20"/>
                <w:szCs w:val="20"/>
              </w:rPr>
            </w:pPr>
          </w:p>
        </w:tc>
        <w:tc>
          <w:tcPr>
            <w:tcW w:w="4179" w:type="dxa"/>
          </w:tcPr>
          <w:p w14:paraId="0DCA508A" w14:textId="77777777" w:rsidR="00882F2C" w:rsidRPr="00A56D00" w:rsidRDefault="00882F2C" w:rsidP="00CF53D4">
            <w:pPr>
              <w:rPr>
                <w:rFonts w:cstheme="minorHAnsi"/>
                <w:sz w:val="20"/>
                <w:szCs w:val="20"/>
              </w:rPr>
            </w:pPr>
            <w:r w:rsidRPr="00A56D00">
              <w:rPr>
                <w:rFonts w:cstheme="minorHAnsi"/>
                <w:sz w:val="20"/>
                <w:szCs w:val="20"/>
              </w:rPr>
              <w:t xml:space="preserve">(NS) Patients appreciated accessibility and support of nutrition nurse to provide advice as well as technical support for complications </w:t>
            </w:r>
            <w:proofErr w:type="gramStart"/>
            <w:r w:rsidRPr="00A56D00">
              <w:rPr>
                <w:rFonts w:cstheme="minorHAnsi"/>
                <w:sz w:val="20"/>
                <w:szCs w:val="20"/>
              </w:rPr>
              <w:t>e.g.</w:t>
            </w:r>
            <w:proofErr w:type="gramEnd"/>
            <w:r w:rsidRPr="00A56D00">
              <w:rPr>
                <w:rFonts w:cstheme="minorHAnsi"/>
                <w:sz w:val="20"/>
                <w:szCs w:val="20"/>
              </w:rPr>
              <w:t xml:space="preserve"> tube breakage or dislodgement.</w:t>
            </w:r>
          </w:p>
        </w:tc>
        <w:tc>
          <w:tcPr>
            <w:tcW w:w="4043" w:type="dxa"/>
          </w:tcPr>
          <w:p w14:paraId="25808611" w14:textId="77777777" w:rsidR="00882F2C" w:rsidRPr="00A56D00" w:rsidRDefault="00882F2C" w:rsidP="00CF53D4">
            <w:pPr>
              <w:rPr>
                <w:rFonts w:cstheme="minorHAnsi"/>
                <w:sz w:val="20"/>
                <w:szCs w:val="20"/>
              </w:rPr>
            </w:pPr>
          </w:p>
        </w:tc>
      </w:tr>
      <w:tr w:rsidR="00882F2C" w:rsidRPr="00A56D00" w14:paraId="4200A615" w14:textId="77777777" w:rsidTr="00CF53D4">
        <w:tc>
          <w:tcPr>
            <w:tcW w:w="1697" w:type="dxa"/>
            <w:vMerge w:val="restart"/>
          </w:tcPr>
          <w:p w14:paraId="0408D883" w14:textId="77777777" w:rsidR="00882F2C" w:rsidRPr="00A56D00" w:rsidRDefault="00882F2C" w:rsidP="00CF53D4">
            <w:pPr>
              <w:rPr>
                <w:rFonts w:cstheme="minorHAnsi"/>
                <w:sz w:val="20"/>
                <w:szCs w:val="20"/>
              </w:rPr>
            </w:pPr>
            <w:r w:rsidRPr="00A56D00">
              <w:rPr>
                <w:rFonts w:cstheme="minorHAnsi"/>
                <w:sz w:val="20"/>
                <w:szCs w:val="20"/>
              </w:rPr>
              <w:t>Green et al</w:t>
            </w:r>
          </w:p>
          <w:p w14:paraId="6266DB00" w14:textId="77777777" w:rsidR="00882F2C" w:rsidRPr="00A56D00" w:rsidRDefault="00882F2C" w:rsidP="00CF53D4">
            <w:pPr>
              <w:rPr>
                <w:rFonts w:cstheme="minorHAnsi"/>
                <w:sz w:val="20"/>
                <w:szCs w:val="20"/>
              </w:rPr>
            </w:pPr>
            <w:r w:rsidRPr="00A56D00">
              <w:rPr>
                <w:rFonts w:cstheme="minorHAnsi"/>
                <w:sz w:val="20"/>
                <w:szCs w:val="20"/>
              </w:rPr>
              <w:t>(2019)</w:t>
            </w:r>
          </w:p>
        </w:tc>
        <w:tc>
          <w:tcPr>
            <w:tcW w:w="1570" w:type="dxa"/>
            <w:vMerge w:val="restart"/>
          </w:tcPr>
          <w:p w14:paraId="1EEC7ECC"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vMerge w:val="restart"/>
          </w:tcPr>
          <w:p w14:paraId="71C90BE2"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of long-term HEN</w:t>
            </w:r>
          </w:p>
        </w:tc>
        <w:tc>
          <w:tcPr>
            <w:tcW w:w="4179" w:type="dxa"/>
          </w:tcPr>
          <w:p w14:paraId="48D9CAA6" w14:textId="77777777" w:rsidR="00882F2C" w:rsidRPr="00A56D00" w:rsidRDefault="00882F2C" w:rsidP="00CF53D4">
            <w:pPr>
              <w:rPr>
                <w:rFonts w:cstheme="minorHAnsi"/>
                <w:sz w:val="20"/>
                <w:szCs w:val="20"/>
              </w:rPr>
            </w:pPr>
            <w:r w:rsidRPr="00A56D00">
              <w:rPr>
                <w:rFonts w:cstheme="minorHAnsi"/>
                <w:sz w:val="20"/>
                <w:szCs w:val="20"/>
              </w:rPr>
              <w:t>Almost all participants stated that they preferred management of ET-related issues to be undertaken in their own home.</w:t>
            </w:r>
          </w:p>
        </w:tc>
        <w:tc>
          <w:tcPr>
            <w:tcW w:w="4043" w:type="dxa"/>
          </w:tcPr>
          <w:p w14:paraId="66400B5C" w14:textId="77777777" w:rsidR="00882F2C" w:rsidRPr="00A56D00" w:rsidRDefault="00882F2C" w:rsidP="00CF53D4">
            <w:pPr>
              <w:rPr>
                <w:rFonts w:cstheme="minorHAnsi"/>
                <w:sz w:val="20"/>
                <w:szCs w:val="20"/>
              </w:rPr>
            </w:pPr>
            <w:r w:rsidRPr="00A56D00">
              <w:rPr>
                <w:rFonts w:cstheme="minorHAnsi"/>
                <w:sz w:val="20"/>
                <w:szCs w:val="20"/>
              </w:rPr>
              <w:t>“Being at home is a hundred times better even if I’m still just as ill”</w:t>
            </w:r>
          </w:p>
        </w:tc>
      </w:tr>
      <w:tr w:rsidR="00882F2C" w:rsidRPr="00A56D00" w14:paraId="49FBED2F" w14:textId="77777777" w:rsidTr="00CF53D4">
        <w:tc>
          <w:tcPr>
            <w:tcW w:w="1697" w:type="dxa"/>
            <w:vMerge/>
          </w:tcPr>
          <w:p w14:paraId="2DF04F6B" w14:textId="77777777" w:rsidR="00882F2C" w:rsidRPr="00A56D00" w:rsidRDefault="00882F2C" w:rsidP="00CF53D4">
            <w:pPr>
              <w:rPr>
                <w:rFonts w:cstheme="minorHAnsi"/>
                <w:sz w:val="20"/>
                <w:szCs w:val="20"/>
              </w:rPr>
            </w:pPr>
          </w:p>
        </w:tc>
        <w:tc>
          <w:tcPr>
            <w:tcW w:w="1570" w:type="dxa"/>
            <w:vMerge/>
          </w:tcPr>
          <w:p w14:paraId="772382E6" w14:textId="77777777" w:rsidR="00882F2C" w:rsidRPr="00A56D00" w:rsidRDefault="00882F2C" w:rsidP="00CF53D4">
            <w:pPr>
              <w:rPr>
                <w:rFonts w:cstheme="minorHAnsi"/>
                <w:sz w:val="20"/>
                <w:szCs w:val="20"/>
              </w:rPr>
            </w:pPr>
          </w:p>
        </w:tc>
        <w:tc>
          <w:tcPr>
            <w:tcW w:w="2459" w:type="dxa"/>
            <w:vMerge/>
          </w:tcPr>
          <w:p w14:paraId="2861B940" w14:textId="77777777" w:rsidR="00882F2C" w:rsidRPr="00A56D00" w:rsidRDefault="00882F2C" w:rsidP="00CF53D4">
            <w:pPr>
              <w:rPr>
                <w:rFonts w:cstheme="minorHAnsi"/>
                <w:sz w:val="20"/>
                <w:szCs w:val="20"/>
              </w:rPr>
            </w:pPr>
          </w:p>
        </w:tc>
        <w:tc>
          <w:tcPr>
            <w:tcW w:w="4179" w:type="dxa"/>
          </w:tcPr>
          <w:p w14:paraId="480CA44A" w14:textId="77777777" w:rsidR="00882F2C" w:rsidRPr="00A56D00" w:rsidRDefault="00882F2C" w:rsidP="00CF53D4">
            <w:pPr>
              <w:rPr>
                <w:rFonts w:cstheme="minorHAnsi"/>
                <w:sz w:val="20"/>
                <w:szCs w:val="20"/>
              </w:rPr>
            </w:pPr>
            <w:r w:rsidRPr="00A56D00">
              <w:rPr>
                <w:rFonts w:cstheme="minorHAnsi"/>
                <w:sz w:val="20"/>
                <w:szCs w:val="20"/>
              </w:rPr>
              <w:t>(IE) Many participants reported receiving some training in managing the tube in hospital prior to discharge, although some would have liked more opportunity to</w:t>
            </w:r>
          </w:p>
          <w:p w14:paraId="28079522" w14:textId="77777777" w:rsidR="00882F2C" w:rsidRPr="00A56D00" w:rsidRDefault="00882F2C" w:rsidP="00CF53D4">
            <w:pPr>
              <w:rPr>
                <w:rFonts w:cstheme="minorHAnsi"/>
                <w:sz w:val="20"/>
                <w:szCs w:val="20"/>
              </w:rPr>
            </w:pPr>
            <w:r w:rsidRPr="00A56D00">
              <w:rPr>
                <w:rFonts w:cstheme="minorHAnsi"/>
                <w:sz w:val="20"/>
                <w:szCs w:val="20"/>
              </w:rPr>
              <w:t xml:space="preserve">learn the procedures required to care for the tube. This </w:t>
            </w:r>
            <w:proofErr w:type="gramStart"/>
            <w:r w:rsidRPr="00A56D00">
              <w:rPr>
                <w:rFonts w:cstheme="minorHAnsi"/>
                <w:sz w:val="20"/>
                <w:szCs w:val="20"/>
              </w:rPr>
              <w:t>lead</w:t>
            </w:r>
            <w:proofErr w:type="gramEnd"/>
            <w:r w:rsidRPr="00A56D00">
              <w:rPr>
                <w:rFonts w:cstheme="minorHAnsi"/>
                <w:sz w:val="20"/>
                <w:szCs w:val="20"/>
              </w:rPr>
              <w:t xml:space="preserve"> to feelings of anxiety on discharge.</w:t>
            </w:r>
          </w:p>
        </w:tc>
        <w:tc>
          <w:tcPr>
            <w:tcW w:w="4043" w:type="dxa"/>
          </w:tcPr>
          <w:p w14:paraId="45F1028E" w14:textId="77777777" w:rsidR="00882F2C" w:rsidRPr="00A56D00" w:rsidRDefault="00882F2C" w:rsidP="00CF53D4">
            <w:pPr>
              <w:rPr>
                <w:rFonts w:cstheme="minorHAnsi"/>
                <w:sz w:val="20"/>
                <w:szCs w:val="20"/>
              </w:rPr>
            </w:pPr>
            <w:r w:rsidRPr="00A56D00">
              <w:rPr>
                <w:rFonts w:cstheme="minorHAnsi"/>
                <w:sz w:val="20"/>
                <w:szCs w:val="20"/>
              </w:rPr>
              <w:t>“You feel at a loss to begin with, and it’s a bit worrying for family as well.”</w:t>
            </w:r>
          </w:p>
        </w:tc>
      </w:tr>
      <w:tr w:rsidR="00882F2C" w:rsidRPr="00A56D00" w14:paraId="4F4C7D92" w14:textId="77777777" w:rsidTr="00CF53D4">
        <w:tc>
          <w:tcPr>
            <w:tcW w:w="1697" w:type="dxa"/>
            <w:vMerge/>
          </w:tcPr>
          <w:p w14:paraId="60C6F79E" w14:textId="77777777" w:rsidR="00882F2C" w:rsidRPr="00A56D00" w:rsidRDefault="00882F2C" w:rsidP="00CF53D4">
            <w:pPr>
              <w:rPr>
                <w:rFonts w:cstheme="minorHAnsi"/>
                <w:sz w:val="20"/>
                <w:szCs w:val="20"/>
              </w:rPr>
            </w:pPr>
          </w:p>
        </w:tc>
        <w:tc>
          <w:tcPr>
            <w:tcW w:w="1570" w:type="dxa"/>
            <w:vMerge/>
          </w:tcPr>
          <w:p w14:paraId="4C16568B" w14:textId="77777777" w:rsidR="00882F2C" w:rsidRPr="00A56D00" w:rsidRDefault="00882F2C" w:rsidP="00CF53D4">
            <w:pPr>
              <w:rPr>
                <w:rFonts w:cstheme="minorHAnsi"/>
                <w:sz w:val="20"/>
                <w:szCs w:val="20"/>
              </w:rPr>
            </w:pPr>
          </w:p>
        </w:tc>
        <w:tc>
          <w:tcPr>
            <w:tcW w:w="2459" w:type="dxa"/>
            <w:vMerge/>
          </w:tcPr>
          <w:p w14:paraId="1002ECCA" w14:textId="77777777" w:rsidR="00882F2C" w:rsidRPr="00A56D00" w:rsidRDefault="00882F2C" w:rsidP="00CF53D4">
            <w:pPr>
              <w:rPr>
                <w:rFonts w:cstheme="minorHAnsi"/>
                <w:sz w:val="20"/>
                <w:szCs w:val="20"/>
              </w:rPr>
            </w:pPr>
          </w:p>
        </w:tc>
        <w:tc>
          <w:tcPr>
            <w:tcW w:w="4179" w:type="dxa"/>
          </w:tcPr>
          <w:p w14:paraId="5B42B023" w14:textId="77777777" w:rsidR="00882F2C" w:rsidRPr="00A56D00" w:rsidRDefault="00882F2C" w:rsidP="00CF53D4">
            <w:pPr>
              <w:rPr>
                <w:rFonts w:cstheme="minorHAnsi"/>
                <w:sz w:val="20"/>
                <w:szCs w:val="20"/>
              </w:rPr>
            </w:pPr>
            <w:r w:rsidRPr="00A56D00">
              <w:rPr>
                <w:rFonts w:cstheme="minorHAnsi"/>
                <w:sz w:val="20"/>
                <w:szCs w:val="20"/>
              </w:rPr>
              <w:t>(IC) All participants described the impact of HEN on day-to-day life, requiring significant changes to activities of daily living and how participants planned holidays and</w:t>
            </w:r>
          </w:p>
          <w:p w14:paraId="286C15BE" w14:textId="77777777" w:rsidR="00882F2C" w:rsidRPr="00A56D00" w:rsidRDefault="00882F2C" w:rsidP="00CF53D4">
            <w:pPr>
              <w:rPr>
                <w:rFonts w:cstheme="minorHAnsi"/>
                <w:sz w:val="20"/>
                <w:szCs w:val="20"/>
              </w:rPr>
            </w:pPr>
            <w:r w:rsidRPr="00A56D00">
              <w:rPr>
                <w:rFonts w:cstheme="minorHAnsi"/>
                <w:sz w:val="20"/>
                <w:szCs w:val="20"/>
              </w:rPr>
              <w:t>managed work.</w:t>
            </w:r>
          </w:p>
          <w:p w14:paraId="558AEA7F" w14:textId="77777777" w:rsidR="00882F2C" w:rsidRPr="00A56D00" w:rsidRDefault="00882F2C" w:rsidP="00CF53D4">
            <w:pPr>
              <w:rPr>
                <w:rFonts w:cstheme="minorHAnsi"/>
                <w:sz w:val="20"/>
                <w:szCs w:val="20"/>
              </w:rPr>
            </w:pPr>
            <w:r w:rsidRPr="00A56D00">
              <w:rPr>
                <w:rFonts w:cstheme="minorHAnsi"/>
                <w:sz w:val="20"/>
                <w:szCs w:val="20"/>
              </w:rPr>
              <w:t>A range of tube related problems related were reported including dislodgement,</w:t>
            </w:r>
          </w:p>
          <w:p w14:paraId="4D52E71F" w14:textId="77777777" w:rsidR="00882F2C" w:rsidRPr="00A56D00" w:rsidRDefault="00882F2C" w:rsidP="00CF53D4">
            <w:pPr>
              <w:rPr>
                <w:rFonts w:cstheme="minorHAnsi"/>
                <w:sz w:val="20"/>
                <w:szCs w:val="20"/>
              </w:rPr>
            </w:pPr>
            <w:r w:rsidRPr="00A56D00">
              <w:rPr>
                <w:rFonts w:cstheme="minorHAnsi"/>
                <w:sz w:val="20"/>
                <w:szCs w:val="20"/>
              </w:rPr>
              <w:t>stoma infection and over-granulating tissue.</w:t>
            </w:r>
          </w:p>
        </w:tc>
        <w:tc>
          <w:tcPr>
            <w:tcW w:w="4043" w:type="dxa"/>
          </w:tcPr>
          <w:p w14:paraId="00797A11" w14:textId="77777777" w:rsidR="00882F2C" w:rsidRPr="00A56D00" w:rsidRDefault="00882F2C" w:rsidP="00CF53D4">
            <w:pPr>
              <w:rPr>
                <w:rFonts w:cstheme="minorHAnsi"/>
                <w:sz w:val="20"/>
                <w:szCs w:val="20"/>
              </w:rPr>
            </w:pPr>
          </w:p>
        </w:tc>
      </w:tr>
      <w:tr w:rsidR="00882F2C" w:rsidRPr="00A56D00" w14:paraId="53EAE7A1" w14:textId="77777777" w:rsidTr="00CF53D4">
        <w:tc>
          <w:tcPr>
            <w:tcW w:w="1697" w:type="dxa"/>
            <w:vMerge/>
          </w:tcPr>
          <w:p w14:paraId="447A2800" w14:textId="77777777" w:rsidR="00882F2C" w:rsidRPr="00A56D00" w:rsidRDefault="00882F2C" w:rsidP="00CF53D4">
            <w:pPr>
              <w:rPr>
                <w:rFonts w:cstheme="minorHAnsi"/>
                <w:sz w:val="20"/>
                <w:szCs w:val="20"/>
              </w:rPr>
            </w:pPr>
          </w:p>
        </w:tc>
        <w:tc>
          <w:tcPr>
            <w:tcW w:w="1570" w:type="dxa"/>
            <w:vMerge/>
          </w:tcPr>
          <w:p w14:paraId="1D5D64C3" w14:textId="77777777" w:rsidR="00882F2C" w:rsidRPr="00A56D00" w:rsidRDefault="00882F2C" w:rsidP="00CF53D4">
            <w:pPr>
              <w:rPr>
                <w:rFonts w:cstheme="minorHAnsi"/>
                <w:sz w:val="20"/>
                <w:szCs w:val="20"/>
              </w:rPr>
            </w:pPr>
          </w:p>
        </w:tc>
        <w:tc>
          <w:tcPr>
            <w:tcW w:w="2459" w:type="dxa"/>
            <w:vMerge/>
          </w:tcPr>
          <w:p w14:paraId="22EF61BC" w14:textId="77777777" w:rsidR="00882F2C" w:rsidRPr="00A56D00" w:rsidRDefault="00882F2C" w:rsidP="00CF53D4">
            <w:pPr>
              <w:rPr>
                <w:rFonts w:cstheme="minorHAnsi"/>
                <w:sz w:val="20"/>
                <w:szCs w:val="20"/>
              </w:rPr>
            </w:pPr>
          </w:p>
        </w:tc>
        <w:tc>
          <w:tcPr>
            <w:tcW w:w="4179" w:type="dxa"/>
          </w:tcPr>
          <w:p w14:paraId="54853B6B" w14:textId="77777777" w:rsidR="00882F2C" w:rsidRPr="00A56D00" w:rsidRDefault="00882F2C" w:rsidP="00CF53D4">
            <w:pPr>
              <w:rPr>
                <w:rFonts w:cstheme="minorHAnsi"/>
                <w:sz w:val="20"/>
                <w:szCs w:val="20"/>
              </w:rPr>
            </w:pPr>
            <w:r w:rsidRPr="00A56D00">
              <w:rPr>
                <w:rFonts w:cstheme="minorHAnsi"/>
                <w:sz w:val="20"/>
                <w:szCs w:val="20"/>
              </w:rPr>
              <w:t xml:space="preserve">(NS) Support from HCPs was described as very limited by some participants, with little contact with HCPs experienced in the management of EN. </w:t>
            </w:r>
          </w:p>
          <w:p w14:paraId="164554B6" w14:textId="77777777" w:rsidR="00882F2C" w:rsidRPr="00A56D00" w:rsidRDefault="00882F2C" w:rsidP="00CF53D4">
            <w:pPr>
              <w:rPr>
                <w:rFonts w:cstheme="minorHAnsi"/>
                <w:sz w:val="20"/>
                <w:szCs w:val="20"/>
              </w:rPr>
            </w:pPr>
            <w:r w:rsidRPr="00A56D00">
              <w:rPr>
                <w:rFonts w:cstheme="minorHAnsi"/>
                <w:sz w:val="20"/>
                <w:szCs w:val="20"/>
              </w:rPr>
              <w:lastRenderedPageBreak/>
              <w:t>Some reported knowing and having access to knowledgeable HCPs when an issue arose with the tube though others described how their inability to contact a community HCP able to provide support resulted in admission.</w:t>
            </w:r>
          </w:p>
        </w:tc>
        <w:tc>
          <w:tcPr>
            <w:tcW w:w="4043" w:type="dxa"/>
          </w:tcPr>
          <w:p w14:paraId="7CCF7F9D" w14:textId="77777777" w:rsidR="00882F2C" w:rsidRPr="00A56D00" w:rsidRDefault="00882F2C" w:rsidP="00CF53D4">
            <w:pPr>
              <w:rPr>
                <w:rFonts w:cstheme="minorHAnsi"/>
                <w:sz w:val="20"/>
                <w:szCs w:val="20"/>
              </w:rPr>
            </w:pPr>
            <w:r w:rsidRPr="00A56D00">
              <w:rPr>
                <w:rFonts w:cstheme="minorHAnsi"/>
                <w:sz w:val="20"/>
                <w:szCs w:val="20"/>
              </w:rPr>
              <w:lastRenderedPageBreak/>
              <w:t xml:space="preserve">“…if you’ve got a </w:t>
            </w:r>
            <w:proofErr w:type="gramStart"/>
            <w:r w:rsidRPr="00A56D00">
              <w:rPr>
                <w:rFonts w:cstheme="minorHAnsi"/>
                <w:sz w:val="20"/>
                <w:szCs w:val="20"/>
              </w:rPr>
              <w:t>problem</w:t>
            </w:r>
            <w:proofErr w:type="gramEnd"/>
            <w:r w:rsidRPr="00A56D00">
              <w:rPr>
                <w:rFonts w:cstheme="minorHAnsi"/>
                <w:sz w:val="20"/>
                <w:szCs w:val="20"/>
              </w:rPr>
              <w:t xml:space="preserve"> you don’t really know who to speak to because you</w:t>
            </w:r>
          </w:p>
          <w:p w14:paraId="3F5F9E66" w14:textId="77777777" w:rsidR="00882F2C" w:rsidRPr="00A56D00" w:rsidRDefault="00882F2C" w:rsidP="00CF53D4">
            <w:pPr>
              <w:rPr>
                <w:rFonts w:cstheme="minorHAnsi"/>
                <w:sz w:val="20"/>
                <w:szCs w:val="20"/>
              </w:rPr>
            </w:pPr>
            <w:r w:rsidRPr="00A56D00">
              <w:rPr>
                <w:rFonts w:cstheme="minorHAnsi"/>
                <w:sz w:val="20"/>
                <w:szCs w:val="20"/>
              </w:rPr>
              <w:t>don’t see these on a regular basis”</w:t>
            </w:r>
          </w:p>
          <w:p w14:paraId="524C8C57" w14:textId="77777777" w:rsidR="00882F2C" w:rsidRPr="00A56D00" w:rsidRDefault="00882F2C" w:rsidP="00CF53D4">
            <w:pPr>
              <w:rPr>
                <w:rFonts w:cstheme="minorHAnsi"/>
                <w:sz w:val="20"/>
                <w:szCs w:val="20"/>
              </w:rPr>
            </w:pPr>
          </w:p>
          <w:p w14:paraId="5DB0C4EA" w14:textId="77777777" w:rsidR="00882F2C" w:rsidRPr="00A56D00" w:rsidRDefault="00882F2C" w:rsidP="00CF53D4">
            <w:pPr>
              <w:rPr>
                <w:rFonts w:cstheme="minorHAnsi"/>
                <w:sz w:val="20"/>
                <w:szCs w:val="20"/>
              </w:rPr>
            </w:pPr>
          </w:p>
          <w:p w14:paraId="617F20A5" w14:textId="77777777" w:rsidR="00882F2C" w:rsidRPr="00A56D00" w:rsidRDefault="00882F2C" w:rsidP="00CF53D4">
            <w:pPr>
              <w:rPr>
                <w:rFonts w:cstheme="minorHAnsi"/>
                <w:sz w:val="20"/>
                <w:szCs w:val="20"/>
              </w:rPr>
            </w:pPr>
            <w:r w:rsidRPr="00A56D00">
              <w:rPr>
                <w:rFonts w:cstheme="minorHAnsi"/>
                <w:sz w:val="20"/>
                <w:szCs w:val="20"/>
              </w:rPr>
              <w:t>“</w:t>
            </w:r>
            <w:proofErr w:type="gramStart"/>
            <w:r w:rsidRPr="00A56D00">
              <w:rPr>
                <w:rFonts w:cstheme="minorHAnsi"/>
                <w:sz w:val="20"/>
                <w:szCs w:val="20"/>
              </w:rPr>
              <w:t>you</w:t>
            </w:r>
            <w:proofErr w:type="gramEnd"/>
            <w:r w:rsidRPr="00A56D00">
              <w:rPr>
                <w:rFonts w:cstheme="minorHAnsi"/>
                <w:sz w:val="20"/>
                <w:szCs w:val="20"/>
              </w:rPr>
              <w:t xml:space="preserve"> go to Accident and Emergency and I don’t think they are always ready and able to look after a PEG that has fallen out”</w:t>
            </w:r>
          </w:p>
          <w:p w14:paraId="65143966" w14:textId="77777777" w:rsidR="00882F2C" w:rsidRPr="00A56D00" w:rsidRDefault="00882F2C" w:rsidP="00CF53D4">
            <w:pPr>
              <w:rPr>
                <w:rFonts w:cstheme="minorHAnsi"/>
                <w:sz w:val="20"/>
                <w:szCs w:val="20"/>
              </w:rPr>
            </w:pPr>
          </w:p>
        </w:tc>
      </w:tr>
      <w:tr w:rsidR="00882F2C" w:rsidRPr="00A56D00" w14:paraId="6DD31F48" w14:textId="77777777" w:rsidTr="00CF53D4">
        <w:tc>
          <w:tcPr>
            <w:tcW w:w="1697" w:type="dxa"/>
          </w:tcPr>
          <w:p w14:paraId="75C4E2B4" w14:textId="77777777" w:rsidR="00882F2C" w:rsidRPr="00A56D00" w:rsidRDefault="00882F2C" w:rsidP="00CF53D4">
            <w:pPr>
              <w:rPr>
                <w:rFonts w:cstheme="minorHAnsi"/>
                <w:sz w:val="20"/>
                <w:szCs w:val="20"/>
              </w:rPr>
            </w:pPr>
            <w:r w:rsidRPr="00A56D00">
              <w:rPr>
                <w:rFonts w:cstheme="minorHAnsi"/>
                <w:sz w:val="20"/>
                <w:szCs w:val="20"/>
              </w:rPr>
              <w:t xml:space="preserve">Thomas et al </w:t>
            </w:r>
          </w:p>
          <w:p w14:paraId="1D39FDB7" w14:textId="77777777" w:rsidR="00882F2C" w:rsidRPr="00A56D00" w:rsidRDefault="00882F2C" w:rsidP="00CF53D4">
            <w:pPr>
              <w:rPr>
                <w:rFonts w:cstheme="minorHAnsi"/>
                <w:sz w:val="20"/>
                <w:szCs w:val="20"/>
              </w:rPr>
            </w:pPr>
            <w:r w:rsidRPr="00A56D00">
              <w:rPr>
                <w:rFonts w:cstheme="minorHAnsi"/>
                <w:sz w:val="20"/>
                <w:szCs w:val="20"/>
              </w:rPr>
              <w:t>(2019)</w:t>
            </w:r>
          </w:p>
        </w:tc>
        <w:tc>
          <w:tcPr>
            <w:tcW w:w="1570" w:type="dxa"/>
          </w:tcPr>
          <w:p w14:paraId="54C725BA"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76FF3F03" w14:textId="77777777" w:rsidR="00882F2C" w:rsidRPr="00A56D00" w:rsidRDefault="00882F2C" w:rsidP="00CF53D4">
            <w:pPr>
              <w:rPr>
                <w:rFonts w:cstheme="minorHAnsi"/>
                <w:sz w:val="20"/>
                <w:szCs w:val="20"/>
              </w:rPr>
            </w:pPr>
            <w:r w:rsidRPr="00A56D00">
              <w:rPr>
                <w:rFonts w:cstheme="minorHAnsi"/>
                <w:sz w:val="20"/>
                <w:szCs w:val="20"/>
              </w:rPr>
              <w:t>Establish the impact of HEN on daily life of those with a diagnosis of head and neck cancer</w:t>
            </w:r>
          </w:p>
        </w:tc>
        <w:tc>
          <w:tcPr>
            <w:tcW w:w="4179" w:type="dxa"/>
          </w:tcPr>
          <w:p w14:paraId="39214C41" w14:textId="77777777" w:rsidR="00882F2C" w:rsidRPr="00A56D00" w:rsidRDefault="00882F2C" w:rsidP="00CF53D4">
            <w:pPr>
              <w:rPr>
                <w:rFonts w:cstheme="minorHAnsi"/>
                <w:sz w:val="20"/>
                <w:szCs w:val="20"/>
              </w:rPr>
            </w:pPr>
            <w:r w:rsidRPr="00A56D00">
              <w:rPr>
                <w:rFonts w:cstheme="minorHAnsi"/>
                <w:sz w:val="20"/>
                <w:szCs w:val="20"/>
              </w:rPr>
              <w:t xml:space="preserve">(IC) Participants felt out of control of their daily lives secondary to restrictions imposed by the feeding regime. HEN disturbed </w:t>
            </w:r>
            <w:proofErr w:type="gramStart"/>
            <w:r w:rsidRPr="00A56D00">
              <w:rPr>
                <w:rFonts w:cstheme="minorHAnsi"/>
                <w:sz w:val="20"/>
                <w:szCs w:val="20"/>
              </w:rPr>
              <w:t>meal-times</w:t>
            </w:r>
            <w:proofErr w:type="gramEnd"/>
            <w:r w:rsidRPr="00A56D00">
              <w:rPr>
                <w:rFonts w:cstheme="minorHAnsi"/>
                <w:sz w:val="20"/>
                <w:szCs w:val="20"/>
              </w:rPr>
              <w:t xml:space="preserve">, sleep, daily activities, work and travel. Social activities outside the home were curtailed </w:t>
            </w:r>
            <w:proofErr w:type="gramStart"/>
            <w:r w:rsidRPr="00A56D00">
              <w:rPr>
                <w:rFonts w:cstheme="minorHAnsi"/>
                <w:sz w:val="20"/>
                <w:szCs w:val="20"/>
              </w:rPr>
              <w:t>as a result of</w:t>
            </w:r>
            <w:proofErr w:type="gramEnd"/>
            <w:r w:rsidRPr="00A56D00">
              <w:rPr>
                <w:rFonts w:cstheme="minorHAnsi"/>
                <w:sz w:val="20"/>
                <w:szCs w:val="20"/>
              </w:rPr>
              <w:t xml:space="preserve"> the time tube feeding took and anxieties regarding the feeding tube being damaged. </w:t>
            </w:r>
          </w:p>
        </w:tc>
        <w:tc>
          <w:tcPr>
            <w:tcW w:w="4043" w:type="dxa"/>
          </w:tcPr>
          <w:p w14:paraId="4D771E52" w14:textId="77777777" w:rsidR="00882F2C" w:rsidRPr="00A56D00" w:rsidRDefault="00882F2C" w:rsidP="00CF53D4">
            <w:pPr>
              <w:rPr>
                <w:rFonts w:cstheme="minorHAnsi"/>
                <w:sz w:val="20"/>
                <w:szCs w:val="20"/>
              </w:rPr>
            </w:pPr>
            <w:r w:rsidRPr="00A56D00">
              <w:rPr>
                <w:rFonts w:cstheme="minorHAnsi"/>
                <w:sz w:val="20"/>
                <w:szCs w:val="20"/>
              </w:rPr>
              <w:t>"</w:t>
            </w:r>
            <w:proofErr w:type="gramStart"/>
            <w:r w:rsidRPr="00A56D00">
              <w:rPr>
                <w:rFonts w:cstheme="minorHAnsi"/>
                <w:sz w:val="20"/>
                <w:szCs w:val="20"/>
              </w:rPr>
              <w:t>my</w:t>
            </w:r>
            <w:proofErr w:type="gramEnd"/>
            <w:r w:rsidRPr="00A56D00">
              <w:rPr>
                <w:rFonts w:cstheme="minorHAnsi"/>
                <w:sz w:val="20"/>
                <w:szCs w:val="20"/>
              </w:rPr>
              <w:t xml:space="preserve"> total life is like taken over by this pump feeding at night"</w:t>
            </w:r>
          </w:p>
        </w:tc>
      </w:tr>
      <w:tr w:rsidR="00882F2C" w:rsidRPr="00A56D00" w14:paraId="22F48CFA" w14:textId="77777777" w:rsidTr="00CF53D4">
        <w:tc>
          <w:tcPr>
            <w:tcW w:w="1697" w:type="dxa"/>
          </w:tcPr>
          <w:p w14:paraId="5763F1C9" w14:textId="77777777" w:rsidR="00882F2C" w:rsidRPr="00A56D00" w:rsidRDefault="00882F2C" w:rsidP="00CF53D4">
            <w:pPr>
              <w:rPr>
                <w:rFonts w:cstheme="minorHAnsi"/>
                <w:sz w:val="20"/>
                <w:szCs w:val="20"/>
              </w:rPr>
            </w:pPr>
          </w:p>
        </w:tc>
        <w:tc>
          <w:tcPr>
            <w:tcW w:w="1570" w:type="dxa"/>
          </w:tcPr>
          <w:p w14:paraId="303F83C3" w14:textId="77777777" w:rsidR="00882F2C" w:rsidRPr="00A56D00" w:rsidRDefault="00882F2C" w:rsidP="00CF53D4">
            <w:pPr>
              <w:rPr>
                <w:rFonts w:cstheme="minorHAnsi"/>
                <w:sz w:val="20"/>
                <w:szCs w:val="20"/>
              </w:rPr>
            </w:pPr>
          </w:p>
        </w:tc>
        <w:tc>
          <w:tcPr>
            <w:tcW w:w="2459" w:type="dxa"/>
          </w:tcPr>
          <w:p w14:paraId="0FAE9E38" w14:textId="77777777" w:rsidR="00882F2C" w:rsidRPr="00A56D00" w:rsidRDefault="00882F2C" w:rsidP="00CF53D4">
            <w:pPr>
              <w:rPr>
                <w:rFonts w:cstheme="minorHAnsi"/>
                <w:sz w:val="20"/>
                <w:szCs w:val="20"/>
              </w:rPr>
            </w:pPr>
          </w:p>
        </w:tc>
        <w:tc>
          <w:tcPr>
            <w:tcW w:w="4179" w:type="dxa"/>
          </w:tcPr>
          <w:p w14:paraId="38F87DAC" w14:textId="77777777" w:rsidR="00882F2C" w:rsidRPr="00A56D00" w:rsidRDefault="00882F2C" w:rsidP="00CF53D4">
            <w:pPr>
              <w:rPr>
                <w:rFonts w:cstheme="minorHAnsi"/>
                <w:sz w:val="20"/>
                <w:szCs w:val="20"/>
              </w:rPr>
            </w:pPr>
            <w:r w:rsidRPr="00A56D00">
              <w:rPr>
                <w:rFonts w:cstheme="minorHAnsi"/>
                <w:sz w:val="20"/>
                <w:szCs w:val="20"/>
              </w:rPr>
              <w:t>(NS) Regaining independence and control facilitated adaptation to HEN. Empowerment was achieved through knowledge and skill development, increasing ﬂexibility in the feeding regime and minimising side-effects related to the feed.</w:t>
            </w:r>
          </w:p>
        </w:tc>
        <w:tc>
          <w:tcPr>
            <w:tcW w:w="4043" w:type="dxa"/>
          </w:tcPr>
          <w:p w14:paraId="2FF9F339" w14:textId="77777777" w:rsidR="00882F2C" w:rsidRPr="00A56D00" w:rsidRDefault="00882F2C" w:rsidP="00CF53D4">
            <w:pPr>
              <w:rPr>
                <w:rFonts w:cstheme="minorHAnsi"/>
                <w:sz w:val="20"/>
                <w:szCs w:val="20"/>
              </w:rPr>
            </w:pPr>
            <w:r w:rsidRPr="00A56D00">
              <w:rPr>
                <w:rFonts w:cstheme="minorHAnsi"/>
                <w:sz w:val="20"/>
                <w:szCs w:val="20"/>
              </w:rPr>
              <w:t>Rather than the district nurse, they said, we’ll be here between 8 and 5, you were stuck in the house. But we’d rather do it ourselves, then you can manage your time better</w:t>
            </w:r>
          </w:p>
        </w:tc>
      </w:tr>
      <w:tr w:rsidR="00882F2C" w:rsidRPr="00A56D00" w14:paraId="49F6DB44" w14:textId="77777777" w:rsidTr="00CF53D4">
        <w:tc>
          <w:tcPr>
            <w:tcW w:w="1697" w:type="dxa"/>
          </w:tcPr>
          <w:p w14:paraId="1AD1204C" w14:textId="77777777" w:rsidR="00882F2C" w:rsidRPr="00A56D00" w:rsidRDefault="00882F2C" w:rsidP="00CF53D4">
            <w:pPr>
              <w:rPr>
                <w:rFonts w:cstheme="minorHAnsi"/>
                <w:sz w:val="20"/>
                <w:szCs w:val="20"/>
              </w:rPr>
            </w:pPr>
            <w:proofErr w:type="spellStart"/>
            <w:r w:rsidRPr="00A56D00">
              <w:rPr>
                <w:rFonts w:cstheme="minorHAnsi"/>
                <w:sz w:val="20"/>
                <w:szCs w:val="20"/>
              </w:rPr>
              <w:t>Asieudu</w:t>
            </w:r>
            <w:proofErr w:type="spellEnd"/>
            <w:r w:rsidRPr="00A56D00">
              <w:rPr>
                <w:rFonts w:cstheme="minorHAnsi"/>
                <w:sz w:val="20"/>
                <w:szCs w:val="20"/>
              </w:rPr>
              <w:t xml:space="preserve"> et al </w:t>
            </w:r>
          </w:p>
          <w:p w14:paraId="63D0D667" w14:textId="77777777" w:rsidR="00882F2C" w:rsidRPr="00A56D00" w:rsidRDefault="00882F2C" w:rsidP="00CF53D4">
            <w:pPr>
              <w:rPr>
                <w:rFonts w:cstheme="minorHAnsi"/>
                <w:sz w:val="20"/>
                <w:szCs w:val="20"/>
              </w:rPr>
            </w:pPr>
            <w:r w:rsidRPr="00A56D00">
              <w:rPr>
                <w:rFonts w:cstheme="minorHAnsi"/>
                <w:sz w:val="20"/>
                <w:szCs w:val="20"/>
              </w:rPr>
              <w:t>(2018)</w:t>
            </w:r>
          </w:p>
        </w:tc>
        <w:tc>
          <w:tcPr>
            <w:tcW w:w="1570" w:type="dxa"/>
          </w:tcPr>
          <w:p w14:paraId="5DBE229B" w14:textId="77777777" w:rsidR="00882F2C" w:rsidRPr="00A56D00" w:rsidRDefault="00882F2C" w:rsidP="00CF53D4">
            <w:pPr>
              <w:rPr>
                <w:rFonts w:cstheme="minorHAnsi"/>
                <w:sz w:val="20"/>
                <w:szCs w:val="20"/>
              </w:rPr>
            </w:pPr>
            <w:r w:rsidRPr="00A56D00">
              <w:rPr>
                <w:rFonts w:cstheme="minorHAnsi"/>
                <w:sz w:val="20"/>
                <w:szCs w:val="20"/>
              </w:rPr>
              <w:t>USA</w:t>
            </w:r>
          </w:p>
        </w:tc>
        <w:tc>
          <w:tcPr>
            <w:tcW w:w="2459" w:type="dxa"/>
          </w:tcPr>
          <w:p w14:paraId="62427171"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of long-term HEN</w:t>
            </w:r>
          </w:p>
        </w:tc>
        <w:tc>
          <w:tcPr>
            <w:tcW w:w="4179" w:type="dxa"/>
          </w:tcPr>
          <w:p w14:paraId="2A06F3CA" w14:textId="77777777" w:rsidR="00882F2C" w:rsidRPr="00A56D00" w:rsidRDefault="00882F2C" w:rsidP="00CF53D4">
            <w:pPr>
              <w:rPr>
                <w:rFonts w:cstheme="minorHAnsi"/>
                <w:sz w:val="20"/>
                <w:szCs w:val="20"/>
              </w:rPr>
            </w:pPr>
            <w:r w:rsidRPr="00A56D00">
              <w:rPr>
                <w:rFonts w:cstheme="minorHAnsi"/>
                <w:sz w:val="20"/>
                <w:szCs w:val="20"/>
              </w:rPr>
              <w:t xml:space="preserve">(IE) Early education delivered by the HEN team regarding tube feeding and its benefits reduced fear and resistance to HEN however, patients also expressed the need for greater specificity and concreteness in educational material about what to expect with HEN </w:t>
            </w:r>
            <w:proofErr w:type="gramStart"/>
            <w:r w:rsidRPr="00A56D00">
              <w:rPr>
                <w:rFonts w:cstheme="minorHAnsi"/>
                <w:sz w:val="20"/>
                <w:szCs w:val="20"/>
              </w:rPr>
              <w:t>e.g.</w:t>
            </w:r>
            <w:proofErr w:type="gramEnd"/>
            <w:r w:rsidRPr="00A56D00">
              <w:rPr>
                <w:rFonts w:cstheme="minorHAnsi"/>
                <w:sz w:val="20"/>
                <w:szCs w:val="20"/>
              </w:rPr>
              <w:t xml:space="preserve"> complications.</w:t>
            </w:r>
          </w:p>
        </w:tc>
        <w:tc>
          <w:tcPr>
            <w:tcW w:w="4043" w:type="dxa"/>
          </w:tcPr>
          <w:p w14:paraId="67C349E6" w14:textId="77777777" w:rsidR="00882F2C" w:rsidRPr="00A56D00" w:rsidRDefault="00882F2C" w:rsidP="00CF53D4">
            <w:pPr>
              <w:rPr>
                <w:rFonts w:cstheme="minorHAnsi"/>
                <w:sz w:val="20"/>
                <w:szCs w:val="20"/>
              </w:rPr>
            </w:pPr>
          </w:p>
        </w:tc>
      </w:tr>
      <w:tr w:rsidR="00882F2C" w:rsidRPr="00A56D00" w14:paraId="05D6B691" w14:textId="77777777" w:rsidTr="00CF53D4">
        <w:tc>
          <w:tcPr>
            <w:tcW w:w="1697" w:type="dxa"/>
          </w:tcPr>
          <w:p w14:paraId="1E4689F6" w14:textId="77777777" w:rsidR="00882F2C" w:rsidRPr="00A56D00" w:rsidRDefault="00882F2C" w:rsidP="00CF53D4">
            <w:pPr>
              <w:rPr>
                <w:rFonts w:cstheme="minorHAnsi"/>
                <w:sz w:val="20"/>
                <w:szCs w:val="20"/>
              </w:rPr>
            </w:pPr>
          </w:p>
        </w:tc>
        <w:tc>
          <w:tcPr>
            <w:tcW w:w="1570" w:type="dxa"/>
          </w:tcPr>
          <w:p w14:paraId="13275612" w14:textId="77777777" w:rsidR="00882F2C" w:rsidRPr="00A56D00" w:rsidRDefault="00882F2C" w:rsidP="00CF53D4">
            <w:pPr>
              <w:rPr>
                <w:rFonts w:cstheme="minorHAnsi"/>
                <w:sz w:val="20"/>
                <w:szCs w:val="20"/>
              </w:rPr>
            </w:pPr>
          </w:p>
        </w:tc>
        <w:tc>
          <w:tcPr>
            <w:tcW w:w="2459" w:type="dxa"/>
          </w:tcPr>
          <w:p w14:paraId="671DB0C0" w14:textId="77777777" w:rsidR="00882F2C" w:rsidRPr="00A56D00" w:rsidRDefault="00882F2C" w:rsidP="00CF53D4">
            <w:pPr>
              <w:rPr>
                <w:rFonts w:cstheme="minorHAnsi"/>
                <w:sz w:val="20"/>
                <w:szCs w:val="20"/>
              </w:rPr>
            </w:pPr>
          </w:p>
        </w:tc>
        <w:tc>
          <w:tcPr>
            <w:tcW w:w="4179" w:type="dxa"/>
          </w:tcPr>
          <w:p w14:paraId="7912A923" w14:textId="77777777" w:rsidR="00882F2C" w:rsidRPr="00A56D00" w:rsidRDefault="00882F2C" w:rsidP="00CF53D4">
            <w:pPr>
              <w:rPr>
                <w:rFonts w:cstheme="minorHAnsi"/>
                <w:sz w:val="20"/>
                <w:szCs w:val="20"/>
              </w:rPr>
            </w:pPr>
            <w:r w:rsidRPr="00A56D00">
              <w:rPr>
                <w:rFonts w:cstheme="minorHAnsi"/>
                <w:sz w:val="20"/>
                <w:szCs w:val="20"/>
              </w:rPr>
              <w:t>(IC) Patients noted both mechanical and physical complications of the stoma site, such as a leaking tube or the tube falling out and pain and discomfort at the stoma site.</w:t>
            </w:r>
          </w:p>
          <w:p w14:paraId="5BEF996D" w14:textId="77777777" w:rsidR="00882F2C" w:rsidRPr="00A56D00" w:rsidRDefault="00882F2C" w:rsidP="00CF53D4">
            <w:pPr>
              <w:rPr>
                <w:rFonts w:cstheme="minorHAnsi"/>
                <w:sz w:val="20"/>
                <w:szCs w:val="20"/>
              </w:rPr>
            </w:pPr>
            <w:r w:rsidRPr="00A56D00">
              <w:rPr>
                <w:rFonts w:cstheme="minorHAnsi"/>
                <w:sz w:val="20"/>
                <w:szCs w:val="20"/>
              </w:rPr>
              <w:t>GI side effects such as bloating, constipation, nausea and diarrhoea also reported.</w:t>
            </w:r>
          </w:p>
        </w:tc>
        <w:tc>
          <w:tcPr>
            <w:tcW w:w="4043" w:type="dxa"/>
          </w:tcPr>
          <w:p w14:paraId="11DDD23A" w14:textId="77777777" w:rsidR="00882F2C" w:rsidRPr="00A56D00" w:rsidRDefault="00882F2C" w:rsidP="00CF53D4">
            <w:pPr>
              <w:rPr>
                <w:rFonts w:cstheme="minorHAnsi"/>
                <w:sz w:val="20"/>
                <w:szCs w:val="20"/>
              </w:rPr>
            </w:pPr>
          </w:p>
        </w:tc>
      </w:tr>
      <w:tr w:rsidR="00882F2C" w:rsidRPr="00A56D00" w14:paraId="4A4D6E35" w14:textId="77777777" w:rsidTr="00CF53D4">
        <w:tc>
          <w:tcPr>
            <w:tcW w:w="1697" w:type="dxa"/>
          </w:tcPr>
          <w:p w14:paraId="192694B2" w14:textId="77777777" w:rsidR="00882F2C" w:rsidRPr="00A56D00" w:rsidRDefault="00882F2C" w:rsidP="00CF53D4">
            <w:pPr>
              <w:rPr>
                <w:rFonts w:cstheme="minorHAnsi"/>
                <w:sz w:val="20"/>
                <w:szCs w:val="20"/>
              </w:rPr>
            </w:pPr>
          </w:p>
        </w:tc>
        <w:tc>
          <w:tcPr>
            <w:tcW w:w="1570" w:type="dxa"/>
          </w:tcPr>
          <w:p w14:paraId="78233718" w14:textId="77777777" w:rsidR="00882F2C" w:rsidRPr="00A56D00" w:rsidRDefault="00882F2C" w:rsidP="00CF53D4">
            <w:pPr>
              <w:rPr>
                <w:rFonts w:cstheme="minorHAnsi"/>
                <w:sz w:val="20"/>
                <w:szCs w:val="20"/>
              </w:rPr>
            </w:pPr>
          </w:p>
        </w:tc>
        <w:tc>
          <w:tcPr>
            <w:tcW w:w="2459" w:type="dxa"/>
          </w:tcPr>
          <w:p w14:paraId="7A058A07" w14:textId="77777777" w:rsidR="00882F2C" w:rsidRPr="00A56D00" w:rsidRDefault="00882F2C" w:rsidP="00CF53D4">
            <w:pPr>
              <w:rPr>
                <w:rFonts w:cstheme="minorHAnsi"/>
                <w:sz w:val="20"/>
                <w:szCs w:val="20"/>
              </w:rPr>
            </w:pPr>
          </w:p>
        </w:tc>
        <w:tc>
          <w:tcPr>
            <w:tcW w:w="4179" w:type="dxa"/>
          </w:tcPr>
          <w:p w14:paraId="418D278D" w14:textId="77777777" w:rsidR="00882F2C" w:rsidRPr="00A56D00" w:rsidRDefault="00882F2C" w:rsidP="00CF53D4">
            <w:pPr>
              <w:rPr>
                <w:rFonts w:cstheme="minorHAnsi"/>
                <w:sz w:val="20"/>
                <w:szCs w:val="20"/>
              </w:rPr>
            </w:pPr>
            <w:r w:rsidRPr="00A56D00">
              <w:rPr>
                <w:rFonts w:cstheme="minorHAnsi"/>
                <w:sz w:val="20"/>
                <w:szCs w:val="20"/>
              </w:rPr>
              <w:t>(NS) Although patients acknowledged having received comprehensive information about HEN, they identified a need for ongoing education regarding the practical logistics of doing HEN.</w:t>
            </w:r>
          </w:p>
        </w:tc>
        <w:tc>
          <w:tcPr>
            <w:tcW w:w="4043" w:type="dxa"/>
          </w:tcPr>
          <w:p w14:paraId="5F33338C" w14:textId="77777777" w:rsidR="00882F2C" w:rsidRPr="00A56D00" w:rsidRDefault="00882F2C" w:rsidP="00CF53D4">
            <w:pPr>
              <w:rPr>
                <w:rFonts w:cstheme="minorHAnsi"/>
                <w:sz w:val="20"/>
                <w:szCs w:val="20"/>
              </w:rPr>
            </w:pPr>
          </w:p>
        </w:tc>
      </w:tr>
      <w:tr w:rsidR="00882F2C" w:rsidRPr="00A56D00" w14:paraId="4234C819" w14:textId="77777777" w:rsidTr="00CF53D4">
        <w:tc>
          <w:tcPr>
            <w:tcW w:w="1697" w:type="dxa"/>
          </w:tcPr>
          <w:p w14:paraId="1789B3C2" w14:textId="77777777" w:rsidR="00882F2C" w:rsidRPr="00A56D00" w:rsidRDefault="00882F2C" w:rsidP="00CF53D4">
            <w:pPr>
              <w:rPr>
                <w:rFonts w:cstheme="minorHAnsi"/>
                <w:sz w:val="20"/>
                <w:szCs w:val="20"/>
              </w:rPr>
            </w:pPr>
            <w:r w:rsidRPr="00A56D00">
              <w:rPr>
                <w:rFonts w:cstheme="minorHAnsi"/>
                <w:sz w:val="20"/>
                <w:szCs w:val="20"/>
              </w:rPr>
              <w:lastRenderedPageBreak/>
              <w:t xml:space="preserve">Halliday et al </w:t>
            </w:r>
          </w:p>
          <w:p w14:paraId="18C1DE6A" w14:textId="77777777" w:rsidR="00882F2C" w:rsidRPr="00A56D00" w:rsidRDefault="00882F2C" w:rsidP="00CF53D4">
            <w:pPr>
              <w:rPr>
                <w:rFonts w:cstheme="minorHAnsi"/>
                <w:sz w:val="20"/>
                <w:szCs w:val="20"/>
              </w:rPr>
            </w:pPr>
            <w:r w:rsidRPr="00A56D00">
              <w:rPr>
                <w:rFonts w:cstheme="minorHAnsi"/>
                <w:sz w:val="20"/>
                <w:szCs w:val="20"/>
              </w:rPr>
              <w:t>(2017)</w:t>
            </w:r>
          </w:p>
        </w:tc>
        <w:tc>
          <w:tcPr>
            <w:tcW w:w="1570" w:type="dxa"/>
          </w:tcPr>
          <w:p w14:paraId="607E402E"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6670FCF9"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of living with a JFT in the first months after surgery</w:t>
            </w:r>
          </w:p>
        </w:tc>
        <w:tc>
          <w:tcPr>
            <w:tcW w:w="4179" w:type="dxa"/>
          </w:tcPr>
          <w:p w14:paraId="17A5DB9D" w14:textId="77777777" w:rsidR="00882F2C" w:rsidRPr="00A56D00" w:rsidRDefault="00882F2C" w:rsidP="00CF53D4">
            <w:pPr>
              <w:rPr>
                <w:rFonts w:cstheme="minorHAnsi"/>
                <w:sz w:val="20"/>
                <w:szCs w:val="20"/>
              </w:rPr>
            </w:pPr>
            <w:r w:rsidRPr="00A56D00">
              <w:rPr>
                <w:rFonts w:cstheme="minorHAnsi"/>
                <w:sz w:val="20"/>
                <w:szCs w:val="20"/>
              </w:rPr>
              <w:t xml:space="preserve">(IE) As part of routine practice, all patients in this study were trained by a registered dietitian before discharge from the hospital and provided with detailed written information and a 24/7 support line from the homecare company provided. </w:t>
            </w:r>
          </w:p>
        </w:tc>
        <w:tc>
          <w:tcPr>
            <w:tcW w:w="4043" w:type="dxa"/>
          </w:tcPr>
          <w:p w14:paraId="50E6D2E0" w14:textId="77777777" w:rsidR="00882F2C" w:rsidRPr="00A56D00" w:rsidRDefault="00882F2C" w:rsidP="00CF53D4">
            <w:pPr>
              <w:rPr>
                <w:rFonts w:cstheme="minorHAnsi"/>
                <w:sz w:val="20"/>
                <w:szCs w:val="20"/>
              </w:rPr>
            </w:pPr>
          </w:p>
        </w:tc>
      </w:tr>
      <w:tr w:rsidR="00882F2C" w:rsidRPr="00A56D00" w14:paraId="1B81E1BF" w14:textId="77777777" w:rsidTr="00CF53D4">
        <w:tc>
          <w:tcPr>
            <w:tcW w:w="1697" w:type="dxa"/>
          </w:tcPr>
          <w:p w14:paraId="7DED300F" w14:textId="77777777" w:rsidR="00882F2C" w:rsidRPr="00A56D00" w:rsidRDefault="00882F2C" w:rsidP="00CF53D4">
            <w:pPr>
              <w:rPr>
                <w:rFonts w:cstheme="minorHAnsi"/>
                <w:sz w:val="20"/>
                <w:szCs w:val="20"/>
              </w:rPr>
            </w:pPr>
          </w:p>
        </w:tc>
        <w:tc>
          <w:tcPr>
            <w:tcW w:w="1570" w:type="dxa"/>
          </w:tcPr>
          <w:p w14:paraId="0F59AC82" w14:textId="77777777" w:rsidR="00882F2C" w:rsidRPr="00A56D00" w:rsidRDefault="00882F2C" w:rsidP="00CF53D4">
            <w:pPr>
              <w:rPr>
                <w:rFonts w:cstheme="minorHAnsi"/>
                <w:sz w:val="20"/>
                <w:szCs w:val="20"/>
              </w:rPr>
            </w:pPr>
          </w:p>
        </w:tc>
        <w:tc>
          <w:tcPr>
            <w:tcW w:w="2459" w:type="dxa"/>
          </w:tcPr>
          <w:p w14:paraId="7E3BB0D8" w14:textId="77777777" w:rsidR="00882F2C" w:rsidRPr="00A56D00" w:rsidRDefault="00882F2C" w:rsidP="00CF53D4">
            <w:pPr>
              <w:rPr>
                <w:rFonts w:cstheme="minorHAnsi"/>
                <w:sz w:val="20"/>
                <w:szCs w:val="20"/>
              </w:rPr>
            </w:pPr>
          </w:p>
        </w:tc>
        <w:tc>
          <w:tcPr>
            <w:tcW w:w="4179" w:type="dxa"/>
          </w:tcPr>
          <w:p w14:paraId="52FC4275" w14:textId="77777777" w:rsidR="00882F2C" w:rsidRPr="00A56D00" w:rsidRDefault="00882F2C" w:rsidP="00CF53D4">
            <w:pPr>
              <w:rPr>
                <w:rFonts w:cstheme="minorHAnsi"/>
                <w:sz w:val="20"/>
                <w:szCs w:val="20"/>
              </w:rPr>
            </w:pPr>
            <w:r w:rsidRPr="00A56D00">
              <w:rPr>
                <w:rFonts w:cstheme="minorHAnsi"/>
                <w:sz w:val="20"/>
                <w:szCs w:val="20"/>
              </w:rPr>
              <w:t xml:space="preserve">(IC) HEN impacted on ability to sleep either due to presence of tube, stoma site or noise from pump if fed overnight. Patients reported anxiety over tube falling out, especially if fed overnight. The stoma site was the source of physical problems for patients, describing it as “swollen”, “sore”, “leaking”, and “infected”. </w:t>
            </w:r>
          </w:p>
        </w:tc>
        <w:tc>
          <w:tcPr>
            <w:tcW w:w="4043" w:type="dxa"/>
          </w:tcPr>
          <w:p w14:paraId="328E633D" w14:textId="77777777" w:rsidR="00882F2C" w:rsidRPr="00A56D00" w:rsidRDefault="00882F2C" w:rsidP="00CF53D4">
            <w:pPr>
              <w:rPr>
                <w:rFonts w:cstheme="minorHAnsi"/>
                <w:sz w:val="20"/>
                <w:szCs w:val="20"/>
              </w:rPr>
            </w:pPr>
          </w:p>
        </w:tc>
      </w:tr>
      <w:tr w:rsidR="00882F2C" w:rsidRPr="00A56D00" w14:paraId="1A057772" w14:textId="77777777" w:rsidTr="00CF53D4">
        <w:tc>
          <w:tcPr>
            <w:tcW w:w="1697" w:type="dxa"/>
          </w:tcPr>
          <w:p w14:paraId="60BE13E8" w14:textId="77777777" w:rsidR="00882F2C" w:rsidRPr="00A56D00" w:rsidRDefault="00882F2C" w:rsidP="00CF53D4">
            <w:pPr>
              <w:rPr>
                <w:rFonts w:cstheme="minorHAnsi"/>
                <w:sz w:val="20"/>
                <w:szCs w:val="20"/>
              </w:rPr>
            </w:pPr>
          </w:p>
        </w:tc>
        <w:tc>
          <w:tcPr>
            <w:tcW w:w="1570" w:type="dxa"/>
          </w:tcPr>
          <w:p w14:paraId="770E9BF8" w14:textId="77777777" w:rsidR="00882F2C" w:rsidRPr="00A56D00" w:rsidRDefault="00882F2C" w:rsidP="00CF53D4">
            <w:pPr>
              <w:rPr>
                <w:rFonts w:cstheme="minorHAnsi"/>
                <w:sz w:val="20"/>
                <w:szCs w:val="20"/>
              </w:rPr>
            </w:pPr>
          </w:p>
        </w:tc>
        <w:tc>
          <w:tcPr>
            <w:tcW w:w="2459" w:type="dxa"/>
          </w:tcPr>
          <w:p w14:paraId="0682807E" w14:textId="77777777" w:rsidR="00882F2C" w:rsidRPr="00A56D00" w:rsidRDefault="00882F2C" w:rsidP="00CF53D4">
            <w:pPr>
              <w:rPr>
                <w:rFonts w:cstheme="minorHAnsi"/>
                <w:sz w:val="20"/>
                <w:szCs w:val="20"/>
              </w:rPr>
            </w:pPr>
          </w:p>
        </w:tc>
        <w:tc>
          <w:tcPr>
            <w:tcW w:w="4179" w:type="dxa"/>
          </w:tcPr>
          <w:p w14:paraId="57881DF1" w14:textId="77777777" w:rsidR="00882F2C" w:rsidRPr="00A56D00" w:rsidRDefault="00882F2C" w:rsidP="00CF53D4">
            <w:pPr>
              <w:rPr>
                <w:rFonts w:cstheme="minorHAnsi"/>
                <w:sz w:val="20"/>
                <w:szCs w:val="20"/>
              </w:rPr>
            </w:pPr>
            <w:r w:rsidRPr="00A56D00">
              <w:rPr>
                <w:rFonts w:cstheme="minorHAnsi"/>
                <w:sz w:val="20"/>
                <w:szCs w:val="20"/>
              </w:rPr>
              <w:t xml:space="preserve">(NS) Support from and accessibility of HEN team was spoken about favourably from nearly all participants. Most patients noted that practical support from HEN dietitian around stoma site and tube care was greatly appreciated. In contrast, support from primary care providers was viewed less favourably with one couple noting that the PCP “wasn’t really aware of </w:t>
            </w:r>
            <w:proofErr w:type="spellStart"/>
            <w:r w:rsidRPr="00A56D00">
              <w:rPr>
                <w:rFonts w:cstheme="minorHAnsi"/>
                <w:sz w:val="20"/>
                <w:szCs w:val="20"/>
              </w:rPr>
              <w:t>jejs</w:t>
            </w:r>
            <w:proofErr w:type="spellEnd"/>
            <w:r w:rsidRPr="00A56D00">
              <w:rPr>
                <w:rFonts w:cstheme="minorHAnsi"/>
                <w:sz w:val="20"/>
                <w:szCs w:val="20"/>
              </w:rPr>
              <w:t xml:space="preserve"> too much”.</w:t>
            </w:r>
          </w:p>
        </w:tc>
        <w:tc>
          <w:tcPr>
            <w:tcW w:w="4043" w:type="dxa"/>
          </w:tcPr>
          <w:p w14:paraId="1BF17AEC" w14:textId="77777777" w:rsidR="00882F2C" w:rsidRPr="00A56D00" w:rsidRDefault="00882F2C" w:rsidP="00CF53D4">
            <w:pPr>
              <w:rPr>
                <w:rFonts w:cstheme="minorHAnsi"/>
                <w:sz w:val="20"/>
                <w:szCs w:val="20"/>
              </w:rPr>
            </w:pPr>
          </w:p>
        </w:tc>
      </w:tr>
      <w:tr w:rsidR="00882F2C" w:rsidRPr="00A56D00" w14:paraId="11875C14" w14:textId="77777777" w:rsidTr="00CF53D4">
        <w:tc>
          <w:tcPr>
            <w:tcW w:w="1697" w:type="dxa"/>
          </w:tcPr>
          <w:p w14:paraId="5EC3FD5F" w14:textId="77777777" w:rsidR="00882F2C" w:rsidRPr="00A56D00" w:rsidRDefault="00882F2C" w:rsidP="00CF53D4">
            <w:pPr>
              <w:rPr>
                <w:rFonts w:cstheme="minorHAnsi"/>
                <w:sz w:val="20"/>
                <w:szCs w:val="20"/>
                <w:lang w:val="en-IE"/>
              </w:rPr>
            </w:pPr>
            <w:proofErr w:type="spellStart"/>
            <w:r w:rsidRPr="00A56D00">
              <w:rPr>
                <w:rFonts w:cstheme="minorHAnsi"/>
                <w:sz w:val="20"/>
                <w:szCs w:val="20"/>
                <w:lang w:val="en-IE"/>
              </w:rPr>
              <w:t>Bjuresäter</w:t>
            </w:r>
            <w:proofErr w:type="spellEnd"/>
            <w:r w:rsidRPr="00A56D00">
              <w:rPr>
                <w:rFonts w:cstheme="minorHAnsi"/>
                <w:sz w:val="20"/>
                <w:szCs w:val="20"/>
                <w:lang w:val="en-IE"/>
              </w:rPr>
              <w:t xml:space="preserve"> et al (2015)</w:t>
            </w:r>
          </w:p>
        </w:tc>
        <w:tc>
          <w:tcPr>
            <w:tcW w:w="1570" w:type="dxa"/>
          </w:tcPr>
          <w:p w14:paraId="1FDBFEC1" w14:textId="77777777" w:rsidR="00882F2C" w:rsidRPr="00A56D00" w:rsidRDefault="00882F2C" w:rsidP="00CF53D4">
            <w:pPr>
              <w:rPr>
                <w:rFonts w:cstheme="minorHAnsi"/>
                <w:sz w:val="20"/>
                <w:szCs w:val="20"/>
              </w:rPr>
            </w:pPr>
            <w:r w:rsidRPr="00A56D00">
              <w:rPr>
                <w:rFonts w:cstheme="minorHAnsi"/>
                <w:sz w:val="20"/>
                <w:szCs w:val="20"/>
              </w:rPr>
              <w:t>Sweden</w:t>
            </w:r>
          </w:p>
        </w:tc>
        <w:tc>
          <w:tcPr>
            <w:tcW w:w="2459" w:type="dxa"/>
          </w:tcPr>
          <w:p w14:paraId="55C8F267" w14:textId="77777777" w:rsidR="00882F2C" w:rsidRPr="00A56D00" w:rsidRDefault="00882F2C" w:rsidP="00CF53D4">
            <w:pPr>
              <w:rPr>
                <w:rFonts w:cstheme="minorHAnsi"/>
                <w:sz w:val="20"/>
                <w:szCs w:val="20"/>
              </w:rPr>
            </w:pPr>
            <w:r w:rsidRPr="00A56D00">
              <w:rPr>
                <w:rFonts w:cstheme="minorHAnsi"/>
                <w:sz w:val="20"/>
                <w:szCs w:val="20"/>
              </w:rPr>
              <w:t>Understand the impact of HEN on daily life and how the situation can be managed</w:t>
            </w:r>
          </w:p>
        </w:tc>
        <w:tc>
          <w:tcPr>
            <w:tcW w:w="4179" w:type="dxa"/>
          </w:tcPr>
          <w:p w14:paraId="19082D6A" w14:textId="77777777" w:rsidR="00882F2C" w:rsidRPr="00A56D00" w:rsidRDefault="00882F2C" w:rsidP="00CF53D4">
            <w:pPr>
              <w:rPr>
                <w:rFonts w:cstheme="minorHAnsi"/>
                <w:sz w:val="20"/>
                <w:szCs w:val="20"/>
              </w:rPr>
            </w:pPr>
            <w:r w:rsidRPr="00A56D00">
              <w:rPr>
                <w:rFonts w:cstheme="minorHAnsi"/>
                <w:sz w:val="20"/>
                <w:szCs w:val="20"/>
              </w:rPr>
              <w:t>(IE) The patients’ ability to adapt to HEN was strongly related to the amount and quality of information and support they had received. When they expressed that pre-discharge information and instructions were satisfactory, they had received information about practical handling and daily care of the tube feeding, how to deal with complications and where to seek support from HCPs.</w:t>
            </w:r>
          </w:p>
          <w:p w14:paraId="69C306BC" w14:textId="77777777" w:rsidR="00882F2C" w:rsidRPr="00A56D00" w:rsidRDefault="00882F2C" w:rsidP="00CF53D4">
            <w:pPr>
              <w:rPr>
                <w:rFonts w:cstheme="minorHAnsi"/>
                <w:sz w:val="20"/>
                <w:szCs w:val="20"/>
              </w:rPr>
            </w:pPr>
            <w:r w:rsidRPr="00A56D00">
              <w:rPr>
                <w:rFonts w:cstheme="minorHAnsi"/>
                <w:sz w:val="20"/>
                <w:szCs w:val="20"/>
              </w:rPr>
              <w:t>Furthermore, the information was given repeatedly both orally and in written form.</w:t>
            </w:r>
          </w:p>
        </w:tc>
        <w:tc>
          <w:tcPr>
            <w:tcW w:w="4043" w:type="dxa"/>
          </w:tcPr>
          <w:p w14:paraId="79E64238" w14:textId="77777777" w:rsidR="00882F2C" w:rsidRPr="00A56D00" w:rsidRDefault="00882F2C" w:rsidP="00CF53D4">
            <w:pPr>
              <w:rPr>
                <w:rFonts w:cstheme="minorHAnsi"/>
                <w:sz w:val="20"/>
                <w:szCs w:val="20"/>
              </w:rPr>
            </w:pPr>
          </w:p>
        </w:tc>
      </w:tr>
      <w:tr w:rsidR="00882F2C" w:rsidRPr="00A56D00" w14:paraId="40B8C4A2" w14:textId="77777777" w:rsidTr="00CF53D4">
        <w:tc>
          <w:tcPr>
            <w:tcW w:w="1697" w:type="dxa"/>
          </w:tcPr>
          <w:p w14:paraId="10E416F4" w14:textId="77777777" w:rsidR="00882F2C" w:rsidRPr="00A56D00" w:rsidRDefault="00882F2C" w:rsidP="00CF53D4">
            <w:pPr>
              <w:rPr>
                <w:rFonts w:cstheme="minorHAnsi"/>
                <w:sz w:val="20"/>
                <w:szCs w:val="20"/>
                <w:lang w:val="en-IE"/>
              </w:rPr>
            </w:pPr>
          </w:p>
        </w:tc>
        <w:tc>
          <w:tcPr>
            <w:tcW w:w="1570" w:type="dxa"/>
          </w:tcPr>
          <w:p w14:paraId="19513E26" w14:textId="77777777" w:rsidR="00882F2C" w:rsidRPr="00A56D00" w:rsidRDefault="00882F2C" w:rsidP="00CF53D4">
            <w:pPr>
              <w:rPr>
                <w:rFonts w:cstheme="minorHAnsi"/>
                <w:sz w:val="20"/>
                <w:szCs w:val="20"/>
              </w:rPr>
            </w:pPr>
          </w:p>
        </w:tc>
        <w:tc>
          <w:tcPr>
            <w:tcW w:w="2459" w:type="dxa"/>
          </w:tcPr>
          <w:p w14:paraId="5CC9F16C" w14:textId="77777777" w:rsidR="00882F2C" w:rsidRPr="00A56D00" w:rsidRDefault="00882F2C" w:rsidP="00CF53D4">
            <w:pPr>
              <w:rPr>
                <w:rFonts w:cstheme="minorHAnsi"/>
                <w:sz w:val="20"/>
                <w:szCs w:val="20"/>
              </w:rPr>
            </w:pPr>
          </w:p>
        </w:tc>
        <w:tc>
          <w:tcPr>
            <w:tcW w:w="4179" w:type="dxa"/>
          </w:tcPr>
          <w:p w14:paraId="4A3FB039" w14:textId="77777777" w:rsidR="00882F2C" w:rsidRPr="00A56D00" w:rsidRDefault="00882F2C" w:rsidP="00CF53D4">
            <w:pPr>
              <w:rPr>
                <w:rFonts w:cstheme="minorHAnsi"/>
                <w:sz w:val="20"/>
                <w:szCs w:val="20"/>
              </w:rPr>
            </w:pPr>
            <w:r w:rsidRPr="00A56D00">
              <w:rPr>
                <w:rFonts w:cstheme="minorHAnsi"/>
                <w:sz w:val="20"/>
                <w:szCs w:val="20"/>
              </w:rPr>
              <w:t xml:space="preserve">(IC) Patients were grateful for the fact that HEN treatment meant survival and gave them the opportunity to stay at home. However, the </w:t>
            </w:r>
            <w:r w:rsidRPr="00A56D00">
              <w:rPr>
                <w:rFonts w:cstheme="minorHAnsi"/>
                <w:sz w:val="20"/>
                <w:szCs w:val="20"/>
              </w:rPr>
              <w:lastRenderedPageBreak/>
              <w:t>patients experienced reduced capacity due to impaired physical functions and side effects, such as early satiety, nausea and diarrhoea and the time-consuming nature of HEN which reduced ability to carry out daily activities.</w:t>
            </w:r>
          </w:p>
        </w:tc>
        <w:tc>
          <w:tcPr>
            <w:tcW w:w="4043" w:type="dxa"/>
          </w:tcPr>
          <w:p w14:paraId="08585B71" w14:textId="77777777" w:rsidR="00882F2C" w:rsidRPr="00A56D00" w:rsidRDefault="00882F2C" w:rsidP="00CF53D4">
            <w:pPr>
              <w:rPr>
                <w:rFonts w:cstheme="minorHAnsi"/>
                <w:sz w:val="20"/>
                <w:szCs w:val="20"/>
              </w:rPr>
            </w:pPr>
            <w:r w:rsidRPr="00A56D00">
              <w:rPr>
                <w:rFonts w:cstheme="minorHAnsi"/>
                <w:sz w:val="20"/>
                <w:szCs w:val="20"/>
              </w:rPr>
              <w:lastRenderedPageBreak/>
              <w:t>I could not increase the speed even a little bit, because then I became nauseous.</w:t>
            </w:r>
          </w:p>
        </w:tc>
      </w:tr>
      <w:tr w:rsidR="00882F2C" w:rsidRPr="00A56D00" w14:paraId="3BF82607" w14:textId="77777777" w:rsidTr="00CF53D4">
        <w:tc>
          <w:tcPr>
            <w:tcW w:w="1697" w:type="dxa"/>
          </w:tcPr>
          <w:p w14:paraId="0B5C58BE" w14:textId="77777777" w:rsidR="00882F2C" w:rsidRPr="00A56D00" w:rsidRDefault="00882F2C" w:rsidP="00CF53D4">
            <w:pPr>
              <w:rPr>
                <w:rFonts w:cstheme="minorHAnsi"/>
                <w:sz w:val="20"/>
                <w:szCs w:val="20"/>
                <w:lang w:val="en-IE"/>
              </w:rPr>
            </w:pPr>
          </w:p>
        </w:tc>
        <w:tc>
          <w:tcPr>
            <w:tcW w:w="1570" w:type="dxa"/>
          </w:tcPr>
          <w:p w14:paraId="70C514FD" w14:textId="77777777" w:rsidR="00882F2C" w:rsidRPr="00A56D00" w:rsidRDefault="00882F2C" w:rsidP="00CF53D4">
            <w:pPr>
              <w:rPr>
                <w:rFonts w:cstheme="minorHAnsi"/>
                <w:sz w:val="20"/>
                <w:szCs w:val="20"/>
              </w:rPr>
            </w:pPr>
          </w:p>
        </w:tc>
        <w:tc>
          <w:tcPr>
            <w:tcW w:w="2459" w:type="dxa"/>
          </w:tcPr>
          <w:p w14:paraId="53C30EF1" w14:textId="77777777" w:rsidR="00882F2C" w:rsidRPr="00A56D00" w:rsidRDefault="00882F2C" w:rsidP="00CF53D4">
            <w:pPr>
              <w:rPr>
                <w:rFonts w:cstheme="minorHAnsi"/>
                <w:sz w:val="20"/>
                <w:szCs w:val="20"/>
              </w:rPr>
            </w:pPr>
          </w:p>
        </w:tc>
        <w:tc>
          <w:tcPr>
            <w:tcW w:w="4179" w:type="dxa"/>
          </w:tcPr>
          <w:p w14:paraId="7D211614" w14:textId="77777777" w:rsidR="00882F2C" w:rsidRPr="00A56D00" w:rsidRDefault="00882F2C" w:rsidP="00CF53D4">
            <w:pPr>
              <w:rPr>
                <w:rFonts w:cstheme="minorHAnsi"/>
                <w:sz w:val="20"/>
                <w:szCs w:val="20"/>
              </w:rPr>
            </w:pPr>
            <w:r w:rsidRPr="00A56D00">
              <w:rPr>
                <w:rFonts w:cstheme="minorHAnsi"/>
                <w:sz w:val="20"/>
                <w:szCs w:val="20"/>
              </w:rPr>
              <w:t xml:space="preserve">(NS): All patients expressed a need for appropriate guidance and support but the amount and quality of support from HCPs varied from patient to patient. </w:t>
            </w:r>
          </w:p>
          <w:p w14:paraId="7958F7FF" w14:textId="77777777" w:rsidR="00882F2C" w:rsidRPr="00A56D00" w:rsidRDefault="00882F2C" w:rsidP="00CF53D4">
            <w:pPr>
              <w:rPr>
                <w:rFonts w:cstheme="minorHAnsi"/>
                <w:sz w:val="20"/>
                <w:szCs w:val="20"/>
              </w:rPr>
            </w:pPr>
            <w:r w:rsidRPr="00A56D00">
              <w:rPr>
                <w:rFonts w:cstheme="minorHAnsi"/>
                <w:sz w:val="20"/>
                <w:szCs w:val="20"/>
              </w:rPr>
              <w:t xml:space="preserve">The patients who struggled most with HEN did not feel sufficiently prepared and lacked guidance and support from health care personnel. They were uncertain about how to handle certain issues in their treatment, and how to act when problems occurred. </w:t>
            </w:r>
          </w:p>
        </w:tc>
        <w:tc>
          <w:tcPr>
            <w:tcW w:w="4043" w:type="dxa"/>
          </w:tcPr>
          <w:p w14:paraId="652EDFDB" w14:textId="77777777" w:rsidR="00882F2C" w:rsidRPr="00A56D00" w:rsidRDefault="00882F2C" w:rsidP="00CF53D4">
            <w:pPr>
              <w:rPr>
                <w:rFonts w:cstheme="minorHAnsi"/>
                <w:sz w:val="20"/>
                <w:szCs w:val="20"/>
              </w:rPr>
            </w:pPr>
            <w:r w:rsidRPr="00A56D00">
              <w:rPr>
                <w:rFonts w:cstheme="minorHAnsi"/>
                <w:sz w:val="20"/>
                <w:szCs w:val="20"/>
              </w:rPr>
              <w:t>I did get some information at the hospital, it’s true, but the information shouldn’t be given too quickly.</w:t>
            </w:r>
          </w:p>
          <w:p w14:paraId="524EB5E4" w14:textId="77777777" w:rsidR="00882F2C" w:rsidRPr="00A56D00" w:rsidRDefault="00882F2C" w:rsidP="00CF53D4">
            <w:pPr>
              <w:rPr>
                <w:rFonts w:cstheme="minorHAnsi"/>
                <w:sz w:val="20"/>
                <w:szCs w:val="20"/>
              </w:rPr>
            </w:pPr>
            <w:r w:rsidRPr="00A56D00">
              <w:rPr>
                <w:rFonts w:cstheme="minorHAnsi"/>
                <w:sz w:val="20"/>
                <w:szCs w:val="20"/>
              </w:rPr>
              <w:t>It was too much all at once so I was very confused ... but I thought I would manage things when I</w:t>
            </w:r>
          </w:p>
          <w:p w14:paraId="30A4C3CC" w14:textId="77777777" w:rsidR="00882F2C" w:rsidRPr="00A56D00" w:rsidRDefault="00882F2C" w:rsidP="00CF53D4">
            <w:pPr>
              <w:rPr>
                <w:rFonts w:cstheme="minorHAnsi"/>
                <w:sz w:val="20"/>
                <w:szCs w:val="20"/>
              </w:rPr>
            </w:pPr>
            <w:r w:rsidRPr="00A56D00">
              <w:rPr>
                <w:rFonts w:cstheme="minorHAnsi"/>
                <w:sz w:val="20"/>
                <w:szCs w:val="20"/>
              </w:rPr>
              <w:t>came home, but I didn’t ... it was too much. It is so overwhelming, and so much to keep track of.</w:t>
            </w:r>
          </w:p>
        </w:tc>
      </w:tr>
      <w:tr w:rsidR="00882F2C" w:rsidRPr="00A56D00" w14:paraId="7E5DFDD1" w14:textId="77777777" w:rsidTr="00CF53D4">
        <w:tc>
          <w:tcPr>
            <w:tcW w:w="1697" w:type="dxa"/>
          </w:tcPr>
          <w:p w14:paraId="39D7A7DF" w14:textId="77777777" w:rsidR="00882F2C" w:rsidRPr="00A56D00" w:rsidRDefault="00882F2C" w:rsidP="00CF53D4">
            <w:pPr>
              <w:rPr>
                <w:rFonts w:cstheme="minorHAnsi"/>
                <w:sz w:val="20"/>
                <w:szCs w:val="20"/>
                <w:lang w:val="en-IE"/>
              </w:rPr>
            </w:pPr>
            <w:r w:rsidRPr="00A56D00">
              <w:rPr>
                <w:rFonts w:cstheme="minorHAnsi"/>
                <w:sz w:val="20"/>
                <w:szCs w:val="20"/>
                <w:lang w:val="en-IE"/>
              </w:rPr>
              <w:t>Madigan et al</w:t>
            </w:r>
          </w:p>
          <w:p w14:paraId="214FDADF" w14:textId="77777777" w:rsidR="00882F2C" w:rsidRPr="00A56D00" w:rsidRDefault="00882F2C" w:rsidP="00CF53D4">
            <w:pPr>
              <w:rPr>
                <w:rFonts w:cstheme="minorHAnsi"/>
                <w:sz w:val="20"/>
                <w:szCs w:val="20"/>
              </w:rPr>
            </w:pPr>
            <w:r w:rsidRPr="00A56D00">
              <w:rPr>
                <w:rFonts w:cstheme="minorHAnsi"/>
                <w:sz w:val="20"/>
                <w:szCs w:val="20"/>
                <w:vertAlign w:val="superscript"/>
                <w:lang w:val="en-IE"/>
              </w:rPr>
              <w:t>(</w:t>
            </w:r>
            <w:r w:rsidRPr="00A56D00">
              <w:rPr>
                <w:rFonts w:cstheme="minorHAnsi"/>
                <w:sz w:val="20"/>
                <w:szCs w:val="20"/>
                <w:lang w:val="en-IE"/>
              </w:rPr>
              <w:t>2007)</w:t>
            </w:r>
          </w:p>
        </w:tc>
        <w:tc>
          <w:tcPr>
            <w:tcW w:w="1570" w:type="dxa"/>
          </w:tcPr>
          <w:p w14:paraId="0F8C7415" w14:textId="77777777" w:rsidR="00882F2C" w:rsidRPr="00A56D00" w:rsidRDefault="00882F2C" w:rsidP="00CF53D4">
            <w:pPr>
              <w:rPr>
                <w:rFonts w:cstheme="minorHAnsi"/>
                <w:sz w:val="20"/>
                <w:szCs w:val="20"/>
              </w:rPr>
            </w:pPr>
            <w:r w:rsidRPr="00A56D00">
              <w:rPr>
                <w:rFonts w:cstheme="minorHAnsi"/>
                <w:sz w:val="20"/>
                <w:szCs w:val="20"/>
              </w:rPr>
              <w:t>Northern Ireland</w:t>
            </w:r>
          </w:p>
        </w:tc>
        <w:tc>
          <w:tcPr>
            <w:tcW w:w="2459" w:type="dxa"/>
          </w:tcPr>
          <w:p w14:paraId="1A4DFFA8" w14:textId="77777777" w:rsidR="00882F2C" w:rsidRPr="00A56D00" w:rsidRDefault="00882F2C" w:rsidP="00CF53D4">
            <w:pPr>
              <w:rPr>
                <w:rFonts w:cstheme="minorHAnsi"/>
                <w:sz w:val="20"/>
                <w:szCs w:val="20"/>
              </w:rPr>
            </w:pPr>
            <w:r w:rsidRPr="00A56D00">
              <w:rPr>
                <w:rFonts w:cstheme="minorHAnsi"/>
                <w:sz w:val="20"/>
                <w:szCs w:val="20"/>
              </w:rPr>
              <w:t>Explore GPs knowledge, attitudes and skills relating to enteral feeding in the community</w:t>
            </w:r>
          </w:p>
        </w:tc>
        <w:tc>
          <w:tcPr>
            <w:tcW w:w="4179" w:type="dxa"/>
          </w:tcPr>
          <w:p w14:paraId="3D558215" w14:textId="77777777" w:rsidR="00882F2C" w:rsidRPr="00A56D00" w:rsidRDefault="00882F2C" w:rsidP="00CF53D4">
            <w:pPr>
              <w:rPr>
                <w:rFonts w:cstheme="minorHAnsi"/>
                <w:color w:val="000000"/>
                <w:sz w:val="20"/>
                <w:szCs w:val="20"/>
                <w:lang w:val="en-IE"/>
              </w:rPr>
            </w:pPr>
            <w:r w:rsidRPr="00A56D00">
              <w:rPr>
                <w:rFonts w:cstheme="minorHAnsi"/>
                <w:b/>
                <w:bCs/>
                <w:color w:val="000000" w:themeColor="text1"/>
                <w:sz w:val="20"/>
                <w:szCs w:val="20"/>
              </w:rPr>
              <w:t xml:space="preserve">Previous experience of EN: </w:t>
            </w:r>
            <w:r w:rsidRPr="00A56D00">
              <w:rPr>
                <w:rFonts w:cstheme="minorHAnsi"/>
                <w:color w:val="000000" w:themeColor="text1"/>
                <w:sz w:val="20"/>
                <w:szCs w:val="20"/>
              </w:rPr>
              <w:t>Most mentioned that their main experiences of tube feeding were when they were working in the hospital environment, which, for many, was some years previously</w:t>
            </w:r>
            <w:r w:rsidRPr="00A56D00">
              <w:rPr>
                <w:rFonts w:cstheme="minorHAnsi"/>
                <w:sz w:val="20"/>
                <w:szCs w:val="20"/>
              </w:rPr>
              <w:br/>
            </w:r>
            <w:r w:rsidRPr="00A56D00">
              <w:rPr>
                <w:rFonts w:cstheme="minorHAnsi"/>
                <w:b/>
                <w:bCs/>
                <w:color w:val="000000" w:themeColor="text1"/>
                <w:sz w:val="20"/>
                <w:szCs w:val="20"/>
              </w:rPr>
              <w:t xml:space="preserve">*Attitude to HEN: </w:t>
            </w:r>
            <w:r w:rsidRPr="00A56D00">
              <w:rPr>
                <w:rFonts w:cstheme="minorHAnsi"/>
                <w:color w:val="000000" w:themeColor="text1"/>
                <w:sz w:val="20"/>
                <w:szCs w:val="20"/>
              </w:rPr>
              <w:t>Just under half the sample perceived HETF as a positive treatment for patients but others had serious concerns about the management of patients in the primary care setting</w:t>
            </w:r>
            <w:r w:rsidRPr="00A56D00">
              <w:rPr>
                <w:rFonts w:cstheme="minorHAnsi"/>
                <w:sz w:val="20"/>
                <w:szCs w:val="20"/>
              </w:rPr>
              <w:br/>
            </w:r>
            <w:r w:rsidRPr="00A56D00">
              <w:rPr>
                <w:rFonts w:cstheme="minorHAnsi"/>
                <w:b/>
                <w:bCs/>
                <w:color w:val="000000" w:themeColor="text1"/>
                <w:sz w:val="20"/>
                <w:szCs w:val="20"/>
              </w:rPr>
              <w:t xml:space="preserve">#Key issues: </w:t>
            </w:r>
            <w:r w:rsidRPr="00A56D00">
              <w:rPr>
                <w:rFonts w:cstheme="minorHAnsi"/>
                <w:color w:val="000000" w:themeColor="text1"/>
                <w:sz w:val="20"/>
                <w:szCs w:val="20"/>
              </w:rPr>
              <w:t xml:space="preserve">Lack of experience coupled with no training was highlighted as a problem for some. Some doctors felt that because they did not know enough about the treatment their knowledge of the problems that may arise was also lacking. Almost every respondent mentioned that they did need some basic training in the area. </w:t>
            </w:r>
            <w:r w:rsidRPr="00A56D00">
              <w:rPr>
                <w:rFonts w:cstheme="minorHAnsi"/>
                <w:sz w:val="20"/>
                <w:szCs w:val="20"/>
              </w:rPr>
              <w:br/>
            </w:r>
            <w:r w:rsidRPr="00A56D00">
              <w:rPr>
                <w:rFonts w:cstheme="minorHAnsi"/>
                <w:b/>
                <w:bCs/>
                <w:color w:val="000000" w:themeColor="text1"/>
                <w:sz w:val="20"/>
                <w:szCs w:val="20"/>
              </w:rPr>
              <w:t xml:space="preserve">-Ideal training: </w:t>
            </w:r>
            <w:r w:rsidRPr="00A56D00">
              <w:rPr>
                <w:rFonts w:cstheme="minorHAnsi"/>
                <w:color w:val="000000" w:themeColor="text1"/>
                <w:sz w:val="20"/>
                <w:szCs w:val="20"/>
              </w:rPr>
              <w:t xml:space="preserve">Approximately half of the respondents felt that the most effective training would be delivered locally and, more </w:t>
            </w:r>
            <w:r w:rsidRPr="00A56D00">
              <w:rPr>
                <w:rFonts w:cstheme="minorHAnsi"/>
                <w:color w:val="000000" w:themeColor="text1"/>
                <w:sz w:val="20"/>
                <w:szCs w:val="20"/>
              </w:rPr>
              <w:lastRenderedPageBreak/>
              <w:t>specifically, within the practice. Most wanted it to be short. The internet, handouts and a small booklet were mentioned, as was a simulation course. Others wanted basic information, the chance to see the tubes and equipment and to ask questions from the facilitator. Most did not care who the facilitator was, "so long as they knew something about it</w:t>
            </w:r>
            <w:proofErr w:type="gramStart"/>
            <w:r w:rsidRPr="00A56D00">
              <w:rPr>
                <w:rFonts w:cstheme="minorHAnsi"/>
                <w:color w:val="000000" w:themeColor="text1"/>
                <w:sz w:val="20"/>
                <w:szCs w:val="20"/>
              </w:rPr>
              <w:t>"..</w:t>
            </w:r>
            <w:proofErr w:type="gramEnd"/>
            <w:r w:rsidRPr="00A56D00">
              <w:rPr>
                <w:rFonts w:cstheme="minorHAnsi"/>
                <w:color w:val="000000" w:themeColor="text1"/>
                <w:sz w:val="20"/>
                <w:szCs w:val="20"/>
              </w:rPr>
              <w:t xml:space="preserve"> GPs also felt that training is much more appropriate when they have a patient rather than having random training sessions. </w:t>
            </w:r>
          </w:p>
          <w:p w14:paraId="146C465C" w14:textId="77777777" w:rsidR="00882F2C" w:rsidRPr="00A56D00" w:rsidRDefault="00882F2C" w:rsidP="00CF53D4">
            <w:pPr>
              <w:rPr>
                <w:rFonts w:cstheme="minorHAnsi"/>
                <w:sz w:val="20"/>
                <w:szCs w:val="20"/>
              </w:rPr>
            </w:pPr>
          </w:p>
        </w:tc>
        <w:tc>
          <w:tcPr>
            <w:tcW w:w="4043" w:type="dxa"/>
          </w:tcPr>
          <w:p w14:paraId="18D3EC06" w14:textId="77777777" w:rsidR="00882F2C" w:rsidRPr="00A56D00" w:rsidRDefault="00882F2C" w:rsidP="00CF53D4">
            <w:pPr>
              <w:rPr>
                <w:rFonts w:cstheme="minorHAnsi"/>
                <w:color w:val="000000"/>
                <w:sz w:val="20"/>
                <w:szCs w:val="20"/>
                <w:lang w:val="en-IE"/>
              </w:rPr>
            </w:pPr>
            <w:r w:rsidRPr="00A56D00">
              <w:rPr>
                <w:rFonts w:cstheme="minorHAnsi"/>
                <w:color w:val="000000"/>
                <w:sz w:val="20"/>
                <w:szCs w:val="20"/>
              </w:rPr>
              <w:lastRenderedPageBreak/>
              <w:t>"</w:t>
            </w:r>
            <w:proofErr w:type="gramStart"/>
            <w:r w:rsidRPr="00A56D00">
              <w:rPr>
                <w:rFonts w:cstheme="minorHAnsi"/>
                <w:color w:val="000000"/>
                <w:sz w:val="20"/>
                <w:szCs w:val="20"/>
              </w:rPr>
              <w:t>enteral</w:t>
            </w:r>
            <w:proofErr w:type="gramEnd"/>
            <w:r w:rsidRPr="00A56D00">
              <w:rPr>
                <w:rFonts w:cstheme="minorHAnsi"/>
                <w:color w:val="000000"/>
                <w:sz w:val="20"/>
                <w:szCs w:val="20"/>
              </w:rPr>
              <w:t xml:space="preserve"> tube feeding was mostly when I was in hospital all those many years ago. PEG feeding well, I have had a couple of patients with </w:t>
            </w:r>
            <w:proofErr w:type="gramStart"/>
            <w:r w:rsidRPr="00A56D00">
              <w:rPr>
                <w:rFonts w:cstheme="minorHAnsi"/>
                <w:color w:val="000000"/>
                <w:sz w:val="20"/>
                <w:szCs w:val="20"/>
              </w:rPr>
              <w:t>it</w:t>
            </w:r>
            <w:proofErr w:type="gramEnd"/>
            <w:r w:rsidRPr="00A56D00">
              <w:rPr>
                <w:rFonts w:cstheme="minorHAnsi"/>
                <w:color w:val="000000"/>
                <w:sz w:val="20"/>
                <w:szCs w:val="20"/>
              </w:rPr>
              <w:t xml:space="preserve"> but I wouldn't say I knew an awful lot about it" </w:t>
            </w:r>
            <w:r w:rsidRPr="00A56D00">
              <w:rPr>
                <w:rFonts w:cstheme="minorHAnsi"/>
                <w:color w:val="000000"/>
                <w:sz w:val="20"/>
                <w:szCs w:val="20"/>
              </w:rPr>
              <w:br/>
              <w:t>*: I think it is important and it has its place but I think that currently there is no one taking control about the initiation of it and the reasons for initiating it. There would be a lack of understanding about it in the primary care community"</w:t>
            </w:r>
            <w:r w:rsidRPr="00A56D00">
              <w:rPr>
                <w:rFonts w:cstheme="minorHAnsi"/>
                <w:color w:val="000000"/>
                <w:sz w:val="20"/>
                <w:szCs w:val="20"/>
              </w:rPr>
              <w:br/>
              <w:t xml:space="preserve">#:"there has been a problem with the PEG </w:t>
            </w:r>
            <w:proofErr w:type="gramStart"/>
            <w:r w:rsidRPr="00A56D00">
              <w:rPr>
                <w:rFonts w:cstheme="minorHAnsi"/>
                <w:color w:val="000000"/>
                <w:sz w:val="20"/>
                <w:szCs w:val="20"/>
              </w:rPr>
              <w:t>tube</w:t>
            </w:r>
            <w:proofErr w:type="gramEnd"/>
            <w:r w:rsidRPr="00A56D00">
              <w:rPr>
                <w:rFonts w:cstheme="minorHAnsi"/>
                <w:color w:val="000000"/>
                <w:sz w:val="20"/>
                <w:szCs w:val="20"/>
              </w:rPr>
              <w:t xml:space="preserve"> and I have been asked to sort something out, I feel I don't really have much experience to do that"</w:t>
            </w:r>
            <w:r w:rsidRPr="00A56D00">
              <w:rPr>
                <w:rFonts w:cstheme="minorHAnsi"/>
                <w:color w:val="000000"/>
                <w:sz w:val="20"/>
                <w:szCs w:val="20"/>
              </w:rPr>
              <w:br/>
              <w:t xml:space="preserve">"The training has been </w:t>
            </w:r>
            <w:proofErr w:type="spellStart"/>
            <w:r w:rsidRPr="00A56D00">
              <w:rPr>
                <w:rFonts w:cstheme="minorHAnsi"/>
                <w:color w:val="000000"/>
                <w:sz w:val="20"/>
                <w:szCs w:val="20"/>
              </w:rPr>
              <w:t>non existent</w:t>
            </w:r>
            <w:proofErr w:type="spellEnd"/>
            <w:r w:rsidRPr="00A56D00">
              <w:rPr>
                <w:rFonts w:cstheme="minorHAnsi"/>
                <w:color w:val="000000"/>
                <w:sz w:val="20"/>
                <w:szCs w:val="20"/>
              </w:rPr>
              <w:t>. This is something that has just landed with us."</w:t>
            </w:r>
            <w:r w:rsidRPr="00A56D00">
              <w:rPr>
                <w:rFonts w:cstheme="minorHAnsi"/>
                <w:color w:val="000000"/>
                <w:sz w:val="20"/>
                <w:szCs w:val="20"/>
              </w:rPr>
              <w:br/>
              <w:t>"I don't know enough about them to know what difficulties there are because I have only had one patient and they had no problems"</w:t>
            </w:r>
            <w:r w:rsidRPr="00A56D00">
              <w:rPr>
                <w:rFonts w:cstheme="minorHAnsi"/>
                <w:color w:val="000000"/>
                <w:sz w:val="20"/>
                <w:szCs w:val="20"/>
              </w:rPr>
              <w:br/>
              <w:t xml:space="preserve">"We need to know something about it for two </w:t>
            </w:r>
            <w:r w:rsidRPr="00A56D00">
              <w:rPr>
                <w:rFonts w:cstheme="minorHAnsi"/>
                <w:color w:val="000000"/>
                <w:sz w:val="20"/>
                <w:szCs w:val="20"/>
              </w:rPr>
              <w:lastRenderedPageBreak/>
              <w:t xml:space="preserve">reasons, one to be able to provide a service and secondly people expect us to know something about it and if we are sounding rather lacking in knowledge it doesn't do very much for the confidence level" </w:t>
            </w:r>
            <w:r w:rsidRPr="00A56D00">
              <w:rPr>
                <w:rFonts w:cstheme="minorHAnsi"/>
                <w:color w:val="000000"/>
                <w:sz w:val="20"/>
                <w:szCs w:val="20"/>
              </w:rPr>
              <w:br/>
              <w:t xml:space="preserve">- "You could be very much up to scratch now and because you have no practice with it in five </w:t>
            </w:r>
            <w:proofErr w:type="spellStart"/>
            <w:r w:rsidRPr="00A56D00">
              <w:rPr>
                <w:rFonts w:cstheme="minorHAnsi"/>
                <w:color w:val="000000"/>
                <w:sz w:val="20"/>
                <w:szCs w:val="20"/>
              </w:rPr>
              <w:t>years time</w:t>
            </w:r>
            <w:proofErr w:type="spellEnd"/>
            <w:r w:rsidRPr="00A56D00">
              <w:rPr>
                <w:rFonts w:cstheme="minorHAnsi"/>
                <w:color w:val="000000"/>
                <w:sz w:val="20"/>
                <w:szCs w:val="20"/>
              </w:rPr>
              <w:t xml:space="preserve"> you are back to square one"</w:t>
            </w:r>
          </w:p>
          <w:p w14:paraId="1512694A" w14:textId="77777777" w:rsidR="00882F2C" w:rsidRPr="00A56D00" w:rsidRDefault="00882F2C" w:rsidP="00CF53D4">
            <w:pPr>
              <w:rPr>
                <w:rFonts w:cstheme="minorHAnsi"/>
                <w:sz w:val="20"/>
                <w:szCs w:val="20"/>
              </w:rPr>
            </w:pPr>
          </w:p>
        </w:tc>
      </w:tr>
      <w:tr w:rsidR="00882F2C" w:rsidRPr="00A56D00" w14:paraId="7A59DFDE" w14:textId="77777777" w:rsidTr="00CF53D4">
        <w:tc>
          <w:tcPr>
            <w:tcW w:w="1697" w:type="dxa"/>
          </w:tcPr>
          <w:p w14:paraId="76DF3521" w14:textId="77777777" w:rsidR="00882F2C" w:rsidRPr="00A56D00" w:rsidRDefault="00882F2C" w:rsidP="00CF53D4">
            <w:pPr>
              <w:rPr>
                <w:rFonts w:cstheme="minorHAnsi"/>
                <w:sz w:val="20"/>
                <w:szCs w:val="20"/>
                <w:lang w:val="en-IE"/>
              </w:rPr>
            </w:pPr>
            <w:r w:rsidRPr="00A56D00">
              <w:rPr>
                <w:rFonts w:cstheme="minorHAnsi"/>
                <w:sz w:val="20"/>
                <w:szCs w:val="20"/>
                <w:lang w:val="en-IE"/>
              </w:rPr>
              <w:t xml:space="preserve">Brotherton et al </w:t>
            </w:r>
          </w:p>
          <w:p w14:paraId="6C063D14" w14:textId="77777777" w:rsidR="00882F2C" w:rsidRPr="00A56D00" w:rsidRDefault="00882F2C" w:rsidP="00CF53D4">
            <w:pPr>
              <w:rPr>
                <w:rFonts w:cstheme="minorHAnsi"/>
                <w:sz w:val="20"/>
                <w:szCs w:val="20"/>
              </w:rPr>
            </w:pPr>
            <w:r w:rsidRPr="00A56D00">
              <w:rPr>
                <w:rFonts w:cstheme="minorHAnsi"/>
                <w:sz w:val="20"/>
                <w:szCs w:val="20"/>
                <w:lang w:val="en-IE"/>
              </w:rPr>
              <w:t>(2006)</w:t>
            </w:r>
          </w:p>
        </w:tc>
        <w:tc>
          <w:tcPr>
            <w:tcW w:w="1570" w:type="dxa"/>
          </w:tcPr>
          <w:p w14:paraId="46621F7A"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3D5E64DC"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of living with a PEG</w:t>
            </w:r>
          </w:p>
        </w:tc>
        <w:tc>
          <w:tcPr>
            <w:tcW w:w="4179" w:type="dxa"/>
          </w:tcPr>
          <w:p w14:paraId="69502815" w14:textId="77777777" w:rsidR="00882F2C" w:rsidRPr="00A56D00" w:rsidRDefault="00882F2C" w:rsidP="00CF53D4">
            <w:pPr>
              <w:rPr>
                <w:rFonts w:cstheme="minorHAnsi"/>
                <w:sz w:val="20"/>
                <w:szCs w:val="20"/>
              </w:rPr>
            </w:pPr>
            <w:r w:rsidRPr="00A56D00">
              <w:rPr>
                <w:rFonts w:cstheme="minorHAnsi"/>
                <w:sz w:val="20"/>
                <w:szCs w:val="20"/>
              </w:rPr>
              <w:t xml:space="preserve">(IC) Although </w:t>
            </w:r>
            <w:proofErr w:type="gramStart"/>
            <w:r w:rsidRPr="00A56D00">
              <w:rPr>
                <w:rFonts w:cstheme="minorHAnsi"/>
                <w:sz w:val="20"/>
                <w:szCs w:val="20"/>
              </w:rPr>
              <w:t>the majority of</w:t>
            </w:r>
            <w:proofErr w:type="gramEnd"/>
            <w:r w:rsidRPr="00A56D00">
              <w:rPr>
                <w:rFonts w:cstheme="minorHAnsi"/>
                <w:sz w:val="20"/>
                <w:szCs w:val="20"/>
              </w:rPr>
              <w:t xml:space="preserve"> patients were happy with the feeding regimen, the feeding itself was time-consuming and impacted ability to participate in social activities.</w:t>
            </w:r>
          </w:p>
          <w:p w14:paraId="431E9781" w14:textId="77777777" w:rsidR="00882F2C" w:rsidRPr="00A56D00" w:rsidRDefault="00882F2C" w:rsidP="00CF53D4">
            <w:pPr>
              <w:rPr>
                <w:rFonts w:cstheme="minorHAnsi"/>
                <w:sz w:val="20"/>
                <w:szCs w:val="20"/>
              </w:rPr>
            </w:pPr>
            <w:r w:rsidRPr="00A56D00">
              <w:rPr>
                <w:rFonts w:cstheme="minorHAnsi"/>
                <w:sz w:val="20"/>
                <w:szCs w:val="20"/>
              </w:rPr>
              <w:t>Patients reported disturbed sleep due to overnight feeding and the presence of PEG tube.</w:t>
            </w:r>
          </w:p>
          <w:p w14:paraId="07A6FC98" w14:textId="77777777" w:rsidR="00882F2C" w:rsidRPr="00A56D00" w:rsidRDefault="00882F2C" w:rsidP="00CF53D4">
            <w:pPr>
              <w:rPr>
                <w:rFonts w:cstheme="minorHAnsi"/>
                <w:sz w:val="20"/>
                <w:szCs w:val="20"/>
              </w:rPr>
            </w:pPr>
            <w:r w:rsidRPr="00A56D00">
              <w:rPr>
                <w:rFonts w:cstheme="minorHAnsi"/>
                <w:sz w:val="20"/>
                <w:szCs w:val="20"/>
              </w:rPr>
              <w:t>On the positive side, patients noted that PEG feeding relieving pressure at mealtimes as there was no longer the need to consume a nutritionally adequate diet orally.</w:t>
            </w:r>
          </w:p>
        </w:tc>
        <w:tc>
          <w:tcPr>
            <w:tcW w:w="4043" w:type="dxa"/>
          </w:tcPr>
          <w:p w14:paraId="2C3506B2" w14:textId="77777777" w:rsidR="00882F2C" w:rsidRPr="00A56D00" w:rsidRDefault="00882F2C" w:rsidP="00CF53D4">
            <w:pPr>
              <w:rPr>
                <w:rFonts w:cstheme="minorHAnsi"/>
                <w:sz w:val="20"/>
                <w:szCs w:val="20"/>
              </w:rPr>
            </w:pPr>
            <w:r w:rsidRPr="00A56D00">
              <w:rPr>
                <w:rFonts w:cstheme="minorHAnsi"/>
                <w:sz w:val="20"/>
                <w:szCs w:val="20"/>
              </w:rPr>
              <w:t>‘It restricts me from going out’ and ‘If we go on holiday that is a nightmare; just the sheer volume of feed that we have to take.’</w:t>
            </w:r>
          </w:p>
          <w:p w14:paraId="094EAC57" w14:textId="77777777" w:rsidR="00882F2C" w:rsidRPr="00A56D00" w:rsidRDefault="00882F2C" w:rsidP="00CF53D4">
            <w:pPr>
              <w:rPr>
                <w:rFonts w:cstheme="minorHAnsi"/>
                <w:sz w:val="20"/>
                <w:szCs w:val="20"/>
              </w:rPr>
            </w:pPr>
          </w:p>
          <w:p w14:paraId="2A3638A2" w14:textId="77777777" w:rsidR="00882F2C" w:rsidRPr="00A56D00" w:rsidRDefault="00882F2C" w:rsidP="00CF53D4">
            <w:pPr>
              <w:rPr>
                <w:rFonts w:cstheme="minorHAnsi"/>
                <w:sz w:val="20"/>
                <w:szCs w:val="20"/>
              </w:rPr>
            </w:pPr>
            <w:r w:rsidRPr="00A56D00">
              <w:rPr>
                <w:rFonts w:cstheme="minorHAnsi"/>
                <w:sz w:val="20"/>
                <w:szCs w:val="20"/>
              </w:rPr>
              <w:t>‘It disturbs my sleep so much. When you go to bed and this tube is just sticking out of your stomach, you cannot move.’</w:t>
            </w:r>
          </w:p>
          <w:p w14:paraId="7D276D13" w14:textId="77777777" w:rsidR="00882F2C" w:rsidRPr="00A56D00" w:rsidRDefault="00882F2C" w:rsidP="00CF53D4">
            <w:pPr>
              <w:rPr>
                <w:rFonts w:cstheme="minorHAnsi"/>
                <w:sz w:val="20"/>
                <w:szCs w:val="20"/>
              </w:rPr>
            </w:pPr>
          </w:p>
          <w:p w14:paraId="6C906404" w14:textId="77777777" w:rsidR="00882F2C" w:rsidRPr="00A56D00" w:rsidRDefault="00882F2C" w:rsidP="00CF53D4">
            <w:pPr>
              <w:rPr>
                <w:rFonts w:cstheme="minorHAnsi"/>
                <w:sz w:val="20"/>
                <w:szCs w:val="20"/>
              </w:rPr>
            </w:pPr>
            <w:r w:rsidRPr="00A56D00">
              <w:rPr>
                <w:rFonts w:cstheme="minorHAnsi"/>
                <w:sz w:val="20"/>
                <w:szCs w:val="20"/>
              </w:rPr>
              <w:t>‘It has taken the pressure off at mealtimes; I was finding it very difficult to eat. I was spending hours on each meal and not finishing it’</w:t>
            </w:r>
          </w:p>
        </w:tc>
      </w:tr>
      <w:tr w:rsidR="00882F2C" w:rsidRPr="00A56D00" w14:paraId="6018BB81" w14:textId="77777777" w:rsidTr="00CF53D4">
        <w:tc>
          <w:tcPr>
            <w:tcW w:w="1697" w:type="dxa"/>
          </w:tcPr>
          <w:p w14:paraId="64EE2F92" w14:textId="77777777" w:rsidR="00882F2C" w:rsidRPr="00A56D00" w:rsidRDefault="00882F2C" w:rsidP="00CF53D4">
            <w:pPr>
              <w:rPr>
                <w:rFonts w:cstheme="minorHAnsi"/>
                <w:sz w:val="20"/>
                <w:szCs w:val="20"/>
                <w:lang w:val="en-IE"/>
              </w:rPr>
            </w:pPr>
          </w:p>
        </w:tc>
        <w:tc>
          <w:tcPr>
            <w:tcW w:w="1570" w:type="dxa"/>
          </w:tcPr>
          <w:p w14:paraId="20A3F1D9" w14:textId="77777777" w:rsidR="00882F2C" w:rsidRPr="00A56D00" w:rsidRDefault="00882F2C" w:rsidP="00CF53D4">
            <w:pPr>
              <w:rPr>
                <w:rFonts w:cstheme="minorHAnsi"/>
                <w:sz w:val="20"/>
                <w:szCs w:val="20"/>
              </w:rPr>
            </w:pPr>
          </w:p>
        </w:tc>
        <w:tc>
          <w:tcPr>
            <w:tcW w:w="2459" w:type="dxa"/>
          </w:tcPr>
          <w:p w14:paraId="4C81C455" w14:textId="77777777" w:rsidR="00882F2C" w:rsidRPr="00A56D00" w:rsidRDefault="00882F2C" w:rsidP="00CF53D4">
            <w:pPr>
              <w:rPr>
                <w:rFonts w:cstheme="minorHAnsi"/>
                <w:sz w:val="20"/>
                <w:szCs w:val="20"/>
              </w:rPr>
            </w:pPr>
          </w:p>
        </w:tc>
        <w:tc>
          <w:tcPr>
            <w:tcW w:w="4179" w:type="dxa"/>
          </w:tcPr>
          <w:p w14:paraId="2955DB0E" w14:textId="77777777" w:rsidR="00882F2C" w:rsidRPr="00A56D00" w:rsidRDefault="00882F2C" w:rsidP="00CF53D4">
            <w:pPr>
              <w:rPr>
                <w:rFonts w:cstheme="minorHAnsi"/>
                <w:sz w:val="20"/>
                <w:szCs w:val="20"/>
              </w:rPr>
            </w:pPr>
            <w:r w:rsidRPr="00A56D00">
              <w:rPr>
                <w:rFonts w:cstheme="minorHAnsi"/>
                <w:sz w:val="20"/>
                <w:szCs w:val="20"/>
              </w:rPr>
              <w:t>(NS) 11 of the 15 patients reported receiving sufficient support from HCPs however 3 of the 15 (20%) reported needing more support than currently receiving.</w:t>
            </w:r>
          </w:p>
        </w:tc>
        <w:tc>
          <w:tcPr>
            <w:tcW w:w="4043" w:type="dxa"/>
          </w:tcPr>
          <w:p w14:paraId="5DC16A52" w14:textId="77777777" w:rsidR="00882F2C" w:rsidRPr="00A56D00" w:rsidRDefault="00882F2C" w:rsidP="00CF53D4">
            <w:pPr>
              <w:rPr>
                <w:rFonts w:cstheme="minorHAnsi"/>
                <w:sz w:val="20"/>
                <w:szCs w:val="20"/>
              </w:rPr>
            </w:pPr>
          </w:p>
        </w:tc>
      </w:tr>
      <w:tr w:rsidR="00882F2C" w:rsidRPr="00A56D00" w14:paraId="511E3212" w14:textId="77777777" w:rsidTr="00CF53D4">
        <w:tc>
          <w:tcPr>
            <w:tcW w:w="1697" w:type="dxa"/>
          </w:tcPr>
          <w:p w14:paraId="2FDE3D66" w14:textId="77777777" w:rsidR="00882F2C" w:rsidRPr="00A56D00" w:rsidRDefault="00882F2C" w:rsidP="00CF53D4">
            <w:pPr>
              <w:rPr>
                <w:rFonts w:cstheme="minorHAnsi"/>
                <w:sz w:val="20"/>
                <w:szCs w:val="20"/>
                <w:lang w:val="en-IE"/>
              </w:rPr>
            </w:pPr>
          </w:p>
        </w:tc>
        <w:tc>
          <w:tcPr>
            <w:tcW w:w="1570" w:type="dxa"/>
          </w:tcPr>
          <w:p w14:paraId="7BE63D5B" w14:textId="77777777" w:rsidR="00882F2C" w:rsidRPr="00A56D00" w:rsidRDefault="00882F2C" w:rsidP="00CF53D4">
            <w:pPr>
              <w:rPr>
                <w:rFonts w:cstheme="minorHAnsi"/>
                <w:sz w:val="20"/>
                <w:szCs w:val="20"/>
              </w:rPr>
            </w:pPr>
          </w:p>
        </w:tc>
        <w:tc>
          <w:tcPr>
            <w:tcW w:w="2459" w:type="dxa"/>
          </w:tcPr>
          <w:p w14:paraId="4ACCBAF4" w14:textId="77777777" w:rsidR="00882F2C" w:rsidRPr="00A56D00" w:rsidRDefault="00882F2C" w:rsidP="00CF53D4">
            <w:pPr>
              <w:rPr>
                <w:rFonts w:cstheme="minorHAnsi"/>
                <w:sz w:val="20"/>
                <w:szCs w:val="20"/>
              </w:rPr>
            </w:pPr>
          </w:p>
        </w:tc>
        <w:tc>
          <w:tcPr>
            <w:tcW w:w="4179" w:type="dxa"/>
          </w:tcPr>
          <w:p w14:paraId="2B2CF5E3" w14:textId="77777777" w:rsidR="00882F2C" w:rsidRPr="00A56D00" w:rsidRDefault="00882F2C" w:rsidP="00CF53D4">
            <w:pPr>
              <w:rPr>
                <w:rFonts w:cstheme="minorHAnsi"/>
                <w:sz w:val="20"/>
                <w:szCs w:val="20"/>
              </w:rPr>
            </w:pPr>
            <w:r w:rsidRPr="00A56D00">
              <w:rPr>
                <w:rFonts w:cstheme="minorHAnsi"/>
                <w:sz w:val="20"/>
                <w:szCs w:val="20"/>
              </w:rPr>
              <w:t xml:space="preserve">(QOL): 12 of the 15 patients reported having an acceptable QoL, 1 unsure, 2 No. The two patients who reported their QoL was not acceptable reported that this was not due to the PEG, but the underlying disease. </w:t>
            </w:r>
          </w:p>
        </w:tc>
        <w:tc>
          <w:tcPr>
            <w:tcW w:w="4043" w:type="dxa"/>
          </w:tcPr>
          <w:p w14:paraId="76E1D7BC" w14:textId="77777777" w:rsidR="00882F2C" w:rsidRPr="00A56D00" w:rsidRDefault="00882F2C" w:rsidP="00CF53D4">
            <w:pPr>
              <w:rPr>
                <w:rFonts w:cstheme="minorHAnsi"/>
                <w:sz w:val="20"/>
                <w:szCs w:val="20"/>
              </w:rPr>
            </w:pPr>
          </w:p>
        </w:tc>
      </w:tr>
      <w:tr w:rsidR="00882F2C" w:rsidRPr="00A56D00" w14:paraId="7FA9B401" w14:textId="77777777" w:rsidTr="00CF53D4">
        <w:tc>
          <w:tcPr>
            <w:tcW w:w="1697" w:type="dxa"/>
          </w:tcPr>
          <w:p w14:paraId="0E73B03D" w14:textId="77777777" w:rsidR="00882F2C" w:rsidRPr="00A56D00" w:rsidRDefault="00882F2C" w:rsidP="00CF53D4">
            <w:pPr>
              <w:rPr>
                <w:rFonts w:cstheme="minorHAnsi"/>
                <w:sz w:val="20"/>
                <w:szCs w:val="20"/>
                <w:lang w:val="en-IE"/>
              </w:rPr>
            </w:pPr>
            <w:r w:rsidRPr="00A56D00">
              <w:rPr>
                <w:rFonts w:cstheme="minorHAnsi"/>
                <w:sz w:val="20"/>
                <w:szCs w:val="20"/>
                <w:lang w:val="en-IE"/>
              </w:rPr>
              <w:t>Jordan, et al (2006)</w:t>
            </w:r>
          </w:p>
        </w:tc>
        <w:tc>
          <w:tcPr>
            <w:tcW w:w="1570" w:type="dxa"/>
          </w:tcPr>
          <w:p w14:paraId="073CC385"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41257100" w14:textId="77777777" w:rsidR="00882F2C" w:rsidRPr="00A56D00" w:rsidRDefault="00882F2C" w:rsidP="00CF53D4">
            <w:pPr>
              <w:rPr>
                <w:rFonts w:cstheme="minorHAnsi"/>
                <w:sz w:val="20"/>
                <w:szCs w:val="20"/>
              </w:rPr>
            </w:pPr>
            <w:r w:rsidRPr="00A56D00">
              <w:rPr>
                <w:rFonts w:cstheme="minorHAnsi"/>
                <w:sz w:val="20"/>
                <w:szCs w:val="20"/>
              </w:rPr>
              <w:t>Understand patients’ experience of living with a PEG</w:t>
            </w:r>
          </w:p>
          <w:p w14:paraId="546CE2DE" w14:textId="77777777" w:rsidR="00882F2C" w:rsidRPr="00A56D00" w:rsidRDefault="00882F2C" w:rsidP="00CF53D4">
            <w:pPr>
              <w:rPr>
                <w:rFonts w:cstheme="minorHAnsi"/>
                <w:sz w:val="20"/>
                <w:szCs w:val="20"/>
              </w:rPr>
            </w:pPr>
          </w:p>
        </w:tc>
        <w:tc>
          <w:tcPr>
            <w:tcW w:w="4179" w:type="dxa"/>
          </w:tcPr>
          <w:p w14:paraId="70483EA1" w14:textId="77777777" w:rsidR="00882F2C" w:rsidRPr="00A56D00" w:rsidRDefault="00882F2C" w:rsidP="00CF53D4">
            <w:pPr>
              <w:rPr>
                <w:rFonts w:cstheme="minorHAnsi"/>
                <w:sz w:val="20"/>
                <w:szCs w:val="20"/>
              </w:rPr>
            </w:pPr>
            <w:r w:rsidRPr="00A56D00">
              <w:rPr>
                <w:rFonts w:cstheme="minorHAnsi"/>
                <w:sz w:val="20"/>
                <w:szCs w:val="20"/>
              </w:rPr>
              <w:lastRenderedPageBreak/>
              <w:t xml:space="preserve">(IC) The feeding regimen and practical difficulties of PEG limited participants and </w:t>
            </w:r>
            <w:r w:rsidRPr="00A56D00">
              <w:rPr>
                <w:rFonts w:cstheme="minorHAnsi"/>
                <w:sz w:val="20"/>
                <w:szCs w:val="20"/>
              </w:rPr>
              <w:lastRenderedPageBreak/>
              <w:t xml:space="preserve">entailed the loss of important social aspects of their lives. </w:t>
            </w:r>
          </w:p>
          <w:p w14:paraId="1E979A7B" w14:textId="77777777" w:rsidR="00882F2C" w:rsidRPr="00A56D00" w:rsidRDefault="00882F2C" w:rsidP="00CF53D4">
            <w:pPr>
              <w:rPr>
                <w:rFonts w:cstheme="minorHAnsi"/>
                <w:sz w:val="20"/>
                <w:szCs w:val="20"/>
              </w:rPr>
            </w:pPr>
            <w:r w:rsidRPr="00A56D00">
              <w:rPr>
                <w:rFonts w:cstheme="minorHAnsi"/>
                <w:sz w:val="20"/>
                <w:szCs w:val="20"/>
              </w:rPr>
              <w:t xml:space="preserve">The most common complications reported included nausea, tube leakage, dislodgment and blockage and disturbed sleep due noise from pump. </w:t>
            </w:r>
          </w:p>
        </w:tc>
        <w:tc>
          <w:tcPr>
            <w:tcW w:w="4043" w:type="dxa"/>
          </w:tcPr>
          <w:p w14:paraId="390E1B0E" w14:textId="77777777" w:rsidR="00882F2C" w:rsidRPr="00A56D00" w:rsidRDefault="00882F2C" w:rsidP="00CF53D4">
            <w:pPr>
              <w:rPr>
                <w:rFonts w:cstheme="minorHAnsi"/>
                <w:color w:val="000000"/>
                <w:sz w:val="20"/>
                <w:szCs w:val="20"/>
                <w:lang w:val="en-IE"/>
              </w:rPr>
            </w:pPr>
            <w:r w:rsidRPr="00A56D00">
              <w:rPr>
                <w:rFonts w:cstheme="minorHAnsi"/>
                <w:color w:val="000000"/>
                <w:sz w:val="20"/>
                <w:szCs w:val="20"/>
              </w:rPr>
              <w:lastRenderedPageBreak/>
              <w:t>‘We’re stuck here all day, can’t go far.’</w:t>
            </w:r>
          </w:p>
          <w:p w14:paraId="6D30AEAA" w14:textId="77777777" w:rsidR="00882F2C" w:rsidRPr="00A56D00" w:rsidRDefault="00882F2C" w:rsidP="00CF53D4">
            <w:pPr>
              <w:rPr>
                <w:rFonts w:cstheme="minorHAnsi"/>
                <w:sz w:val="20"/>
                <w:szCs w:val="20"/>
              </w:rPr>
            </w:pPr>
          </w:p>
        </w:tc>
      </w:tr>
      <w:tr w:rsidR="00882F2C" w:rsidRPr="00A56D00" w14:paraId="46362068" w14:textId="77777777" w:rsidTr="00CF53D4">
        <w:tc>
          <w:tcPr>
            <w:tcW w:w="1697" w:type="dxa"/>
          </w:tcPr>
          <w:p w14:paraId="2C6B7B22" w14:textId="77777777" w:rsidR="00882F2C" w:rsidRPr="00A56D00" w:rsidRDefault="00882F2C" w:rsidP="00CF53D4">
            <w:pPr>
              <w:rPr>
                <w:rFonts w:cstheme="minorHAnsi"/>
                <w:sz w:val="20"/>
                <w:szCs w:val="20"/>
                <w:lang w:val="en-IE"/>
              </w:rPr>
            </w:pPr>
          </w:p>
        </w:tc>
        <w:tc>
          <w:tcPr>
            <w:tcW w:w="1570" w:type="dxa"/>
          </w:tcPr>
          <w:p w14:paraId="325F8911" w14:textId="77777777" w:rsidR="00882F2C" w:rsidRPr="00A56D00" w:rsidRDefault="00882F2C" w:rsidP="00CF53D4">
            <w:pPr>
              <w:rPr>
                <w:rFonts w:cstheme="minorHAnsi"/>
                <w:sz w:val="20"/>
                <w:szCs w:val="20"/>
              </w:rPr>
            </w:pPr>
          </w:p>
        </w:tc>
        <w:tc>
          <w:tcPr>
            <w:tcW w:w="2459" w:type="dxa"/>
          </w:tcPr>
          <w:p w14:paraId="161A101E" w14:textId="77777777" w:rsidR="00882F2C" w:rsidRPr="00A56D00" w:rsidRDefault="00882F2C" w:rsidP="00CF53D4">
            <w:pPr>
              <w:rPr>
                <w:rFonts w:cstheme="minorHAnsi"/>
                <w:sz w:val="20"/>
                <w:szCs w:val="20"/>
              </w:rPr>
            </w:pPr>
          </w:p>
        </w:tc>
        <w:tc>
          <w:tcPr>
            <w:tcW w:w="4179" w:type="dxa"/>
          </w:tcPr>
          <w:p w14:paraId="00E9188F" w14:textId="77777777" w:rsidR="00882F2C" w:rsidRPr="00A56D00" w:rsidRDefault="00882F2C" w:rsidP="00CF53D4">
            <w:pPr>
              <w:rPr>
                <w:rFonts w:cstheme="minorHAnsi"/>
                <w:sz w:val="20"/>
                <w:szCs w:val="20"/>
              </w:rPr>
            </w:pPr>
            <w:r w:rsidRPr="00A56D00">
              <w:rPr>
                <w:rFonts w:cstheme="minorHAnsi"/>
                <w:sz w:val="20"/>
                <w:szCs w:val="20"/>
              </w:rPr>
              <w:t>(NS) Thirteen of the 20 participants commented that HCPs including district nurses, general practitioners needed more knowledge of PEG feeding. This was contributing to patients’ feelings of isolation. Lack of knowledge of PEG tubes in accident and emergency departments increased the burden of treatment for four patients.</w:t>
            </w:r>
          </w:p>
          <w:p w14:paraId="095FC845" w14:textId="77777777" w:rsidR="00882F2C" w:rsidRPr="00A56D00" w:rsidRDefault="00882F2C" w:rsidP="00CF53D4">
            <w:pPr>
              <w:rPr>
                <w:rFonts w:cstheme="minorHAnsi"/>
                <w:sz w:val="20"/>
                <w:szCs w:val="20"/>
              </w:rPr>
            </w:pPr>
            <w:r w:rsidRPr="00A56D00">
              <w:rPr>
                <w:rFonts w:cstheme="minorHAnsi"/>
                <w:sz w:val="20"/>
                <w:szCs w:val="20"/>
              </w:rPr>
              <w:t>Six participants felt that it would be useful to have one named (knowledgeable) person whom they could telephone if they</w:t>
            </w:r>
          </w:p>
          <w:p w14:paraId="3A92B9E3" w14:textId="77777777" w:rsidR="00882F2C" w:rsidRPr="00A56D00" w:rsidRDefault="00882F2C" w:rsidP="00CF53D4">
            <w:pPr>
              <w:rPr>
                <w:rFonts w:cstheme="minorHAnsi"/>
                <w:sz w:val="20"/>
                <w:szCs w:val="20"/>
              </w:rPr>
            </w:pPr>
            <w:r w:rsidRPr="00A56D00">
              <w:rPr>
                <w:rFonts w:cstheme="minorHAnsi"/>
                <w:sz w:val="20"/>
                <w:szCs w:val="20"/>
              </w:rPr>
              <w:t>had problems.</w:t>
            </w:r>
          </w:p>
        </w:tc>
        <w:tc>
          <w:tcPr>
            <w:tcW w:w="4043" w:type="dxa"/>
          </w:tcPr>
          <w:p w14:paraId="29F20EFF" w14:textId="77777777" w:rsidR="00882F2C" w:rsidRPr="00A56D00" w:rsidRDefault="00882F2C" w:rsidP="00CF53D4">
            <w:pPr>
              <w:rPr>
                <w:rFonts w:cstheme="minorHAnsi"/>
                <w:color w:val="000000"/>
                <w:sz w:val="20"/>
                <w:szCs w:val="20"/>
              </w:rPr>
            </w:pPr>
            <w:r w:rsidRPr="00A56D00">
              <w:rPr>
                <w:rFonts w:cstheme="minorHAnsi"/>
                <w:color w:val="000000"/>
                <w:sz w:val="20"/>
                <w:szCs w:val="20"/>
              </w:rPr>
              <w:t>‘The nurses still haven’t been told how to treat it, to move the PEG in and out, to make sure it doesn’t stick inside my stomach, causing ulcers. We’ve been given a leaflet, but they haven’t been sent it.’</w:t>
            </w:r>
          </w:p>
        </w:tc>
      </w:tr>
      <w:tr w:rsidR="00882F2C" w:rsidRPr="00A56D00" w14:paraId="37953187" w14:textId="77777777" w:rsidTr="00CF53D4">
        <w:tc>
          <w:tcPr>
            <w:tcW w:w="1697" w:type="dxa"/>
          </w:tcPr>
          <w:p w14:paraId="25861278" w14:textId="77777777" w:rsidR="00882F2C" w:rsidRPr="00A56D00" w:rsidRDefault="00882F2C" w:rsidP="00CF53D4">
            <w:pPr>
              <w:rPr>
                <w:rFonts w:cstheme="minorHAnsi"/>
                <w:sz w:val="20"/>
                <w:szCs w:val="20"/>
                <w:lang w:val="en-IE"/>
              </w:rPr>
            </w:pPr>
          </w:p>
        </w:tc>
        <w:tc>
          <w:tcPr>
            <w:tcW w:w="1570" w:type="dxa"/>
          </w:tcPr>
          <w:p w14:paraId="237F5385" w14:textId="77777777" w:rsidR="00882F2C" w:rsidRPr="00A56D00" w:rsidRDefault="00882F2C" w:rsidP="00CF53D4">
            <w:pPr>
              <w:rPr>
                <w:rFonts w:cstheme="minorHAnsi"/>
                <w:sz w:val="20"/>
                <w:szCs w:val="20"/>
              </w:rPr>
            </w:pPr>
          </w:p>
        </w:tc>
        <w:tc>
          <w:tcPr>
            <w:tcW w:w="2459" w:type="dxa"/>
          </w:tcPr>
          <w:p w14:paraId="66B3EB8F" w14:textId="77777777" w:rsidR="00882F2C" w:rsidRPr="00A56D00" w:rsidRDefault="00882F2C" w:rsidP="00CF53D4">
            <w:pPr>
              <w:rPr>
                <w:rFonts w:cstheme="minorHAnsi"/>
                <w:sz w:val="20"/>
                <w:szCs w:val="20"/>
              </w:rPr>
            </w:pPr>
          </w:p>
        </w:tc>
        <w:tc>
          <w:tcPr>
            <w:tcW w:w="4179" w:type="dxa"/>
          </w:tcPr>
          <w:p w14:paraId="1F60A96A" w14:textId="77777777" w:rsidR="00882F2C" w:rsidRPr="00A56D00" w:rsidRDefault="00882F2C" w:rsidP="00CF53D4">
            <w:pPr>
              <w:rPr>
                <w:rFonts w:cstheme="minorHAnsi"/>
                <w:sz w:val="20"/>
                <w:szCs w:val="20"/>
              </w:rPr>
            </w:pPr>
            <w:r w:rsidRPr="00A56D00">
              <w:rPr>
                <w:rFonts w:cstheme="minorHAnsi"/>
                <w:sz w:val="20"/>
                <w:szCs w:val="20"/>
              </w:rPr>
              <w:t>(QOL): The mean SF12 physical and mental health scores were below the average for the general population in the USA and below those for UK residents with chronic illness.</w:t>
            </w:r>
          </w:p>
          <w:p w14:paraId="5A500087" w14:textId="77777777" w:rsidR="00882F2C" w:rsidRPr="00A56D00" w:rsidRDefault="00882F2C" w:rsidP="00CF53D4">
            <w:pPr>
              <w:rPr>
                <w:rFonts w:cstheme="minorHAnsi"/>
                <w:sz w:val="20"/>
                <w:szCs w:val="20"/>
              </w:rPr>
            </w:pPr>
            <w:r w:rsidRPr="00A56D00">
              <w:rPr>
                <w:rFonts w:cstheme="minorHAnsi"/>
                <w:sz w:val="20"/>
                <w:szCs w:val="20"/>
              </w:rPr>
              <w:t>Disentangling the impact of the PEG from the underlying illness was difficult, but one participant with a lifetime’s experience of illness estimated that current PEG technology</w:t>
            </w:r>
          </w:p>
          <w:p w14:paraId="4A311DA6" w14:textId="77777777" w:rsidR="00882F2C" w:rsidRPr="00A56D00" w:rsidRDefault="00882F2C" w:rsidP="00CF53D4">
            <w:pPr>
              <w:rPr>
                <w:rFonts w:cstheme="minorHAnsi"/>
                <w:sz w:val="20"/>
                <w:szCs w:val="20"/>
              </w:rPr>
            </w:pPr>
            <w:r w:rsidRPr="00A56D00">
              <w:rPr>
                <w:rFonts w:cstheme="minorHAnsi"/>
                <w:sz w:val="20"/>
                <w:szCs w:val="20"/>
              </w:rPr>
              <w:t>was responsible for some loss of quality of life.</w:t>
            </w:r>
          </w:p>
        </w:tc>
        <w:tc>
          <w:tcPr>
            <w:tcW w:w="4043" w:type="dxa"/>
          </w:tcPr>
          <w:p w14:paraId="594B44A4" w14:textId="77777777" w:rsidR="00882F2C" w:rsidRPr="00A56D00" w:rsidRDefault="00882F2C" w:rsidP="00CF53D4">
            <w:pPr>
              <w:rPr>
                <w:rFonts w:cstheme="minorHAnsi"/>
                <w:color w:val="000000"/>
                <w:sz w:val="20"/>
                <w:szCs w:val="20"/>
              </w:rPr>
            </w:pPr>
            <w:r w:rsidRPr="00A56D00">
              <w:rPr>
                <w:rFonts w:cstheme="minorHAnsi"/>
                <w:color w:val="000000"/>
                <w:sz w:val="20"/>
                <w:szCs w:val="20"/>
              </w:rPr>
              <w:t>‘I’d say it’s about a 20% deterioration of your life, just the PEG.’</w:t>
            </w:r>
          </w:p>
        </w:tc>
      </w:tr>
      <w:tr w:rsidR="00882F2C" w:rsidRPr="00A56D00" w14:paraId="51853856" w14:textId="77777777" w:rsidTr="00CF53D4">
        <w:tc>
          <w:tcPr>
            <w:tcW w:w="1697" w:type="dxa"/>
          </w:tcPr>
          <w:p w14:paraId="7199DBBC" w14:textId="77777777" w:rsidR="00882F2C" w:rsidRPr="00A56D00" w:rsidRDefault="00882F2C" w:rsidP="00CF53D4">
            <w:pPr>
              <w:rPr>
                <w:rFonts w:cstheme="minorHAnsi"/>
                <w:sz w:val="20"/>
                <w:szCs w:val="20"/>
                <w:lang w:val="en-IE"/>
              </w:rPr>
            </w:pPr>
            <w:r w:rsidRPr="00A56D00">
              <w:rPr>
                <w:rFonts w:cstheme="minorHAnsi"/>
                <w:sz w:val="20"/>
                <w:szCs w:val="20"/>
                <w:lang w:val="en-IE"/>
              </w:rPr>
              <w:t>Thompson et al (2006)</w:t>
            </w:r>
          </w:p>
        </w:tc>
        <w:tc>
          <w:tcPr>
            <w:tcW w:w="1570" w:type="dxa"/>
          </w:tcPr>
          <w:p w14:paraId="368FB761" w14:textId="77777777" w:rsidR="00882F2C" w:rsidRPr="00A56D00" w:rsidRDefault="00882F2C" w:rsidP="00CF53D4">
            <w:pPr>
              <w:rPr>
                <w:rFonts w:cstheme="minorHAnsi"/>
                <w:sz w:val="20"/>
                <w:szCs w:val="20"/>
              </w:rPr>
            </w:pPr>
            <w:r w:rsidRPr="00A56D00">
              <w:rPr>
                <w:rFonts w:cstheme="minorHAnsi"/>
                <w:sz w:val="20"/>
                <w:szCs w:val="20"/>
              </w:rPr>
              <w:t>USA</w:t>
            </w:r>
          </w:p>
        </w:tc>
        <w:tc>
          <w:tcPr>
            <w:tcW w:w="2459" w:type="dxa"/>
          </w:tcPr>
          <w:p w14:paraId="427AD649" w14:textId="77777777" w:rsidR="00882F2C" w:rsidRPr="00A56D00" w:rsidRDefault="00882F2C" w:rsidP="00CF53D4">
            <w:pPr>
              <w:rPr>
                <w:rFonts w:cstheme="minorHAnsi"/>
                <w:sz w:val="20"/>
                <w:szCs w:val="20"/>
              </w:rPr>
            </w:pPr>
            <w:r w:rsidRPr="00A56D00">
              <w:rPr>
                <w:rFonts w:cstheme="minorHAnsi"/>
                <w:sz w:val="20"/>
                <w:szCs w:val="20"/>
              </w:rPr>
              <w:t>Understand patients’ experience of long-term HEN and how HCPs can support those on HEN</w:t>
            </w:r>
          </w:p>
          <w:p w14:paraId="7D7B8462" w14:textId="77777777" w:rsidR="00882F2C" w:rsidRPr="00A56D00" w:rsidRDefault="00882F2C" w:rsidP="00CF53D4">
            <w:pPr>
              <w:rPr>
                <w:rFonts w:cstheme="minorHAnsi"/>
                <w:sz w:val="20"/>
                <w:szCs w:val="20"/>
              </w:rPr>
            </w:pPr>
          </w:p>
        </w:tc>
        <w:tc>
          <w:tcPr>
            <w:tcW w:w="4179" w:type="dxa"/>
          </w:tcPr>
          <w:p w14:paraId="0692A9F4" w14:textId="77777777" w:rsidR="00882F2C" w:rsidRPr="00A56D00" w:rsidRDefault="00882F2C" w:rsidP="00CF53D4">
            <w:pPr>
              <w:rPr>
                <w:rFonts w:cstheme="minorHAnsi"/>
                <w:sz w:val="20"/>
                <w:szCs w:val="20"/>
              </w:rPr>
            </w:pPr>
            <w:r w:rsidRPr="00A56D00">
              <w:rPr>
                <w:rFonts w:cstheme="minorHAnsi"/>
                <w:sz w:val="20"/>
                <w:szCs w:val="20"/>
              </w:rPr>
              <w:t xml:space="preserve">(IC): </w:t>
            </w:r>
            <w:proofErr w:type="gramStart"/>
            <w:r w:rsidRPr="00A56D00">
              <w:rPr>
                <w:rFonts w:cstheme="minorHAnsi"/>
                <w:sz w:val="20"/>
                <w:szCs w:val="20"/>
              </w:rPr>
              <w:t>The majority of</w:t>
            </w:r>
            <w:proofErr w:type="gramEnd"/>
            <w:r w:rsidRPr="00A56D00">
              <w:rPr>
                <w:rFonts w:cstheme="minorHAnsi"/>
                <w:sz w:val="20"/>
                <w:szCs w:val="20"/>
              </w:rPr>
              <w:t xml:space="preserve"> patients experienced physical limitations due to HEN itself or underlying disease and were required to alter activities or accept assistance from others. Many altered their prescribed HEN regimen to meet their lifestyle or minimize the disruption e.g., altering feeding schedule.</w:t>
            </w:r>
          </w:p>
          <w:p w14:paraId="438E9CFA" w14:textId="77777777" w:rsidR="00882F2C" w:rsidRPr="00A56D00" w:rsidRDefault="00882F2C" w:rsidP="00CF53D4">
            <w:pPr>
              <w:rPr>
                <w:rFonts w:cstheme="minorHAnsi"/>
                <w:sz w:val="20"/>
                <w:szCs w:val="20"/>
              </w:rPr>
            </w:pPr>
            <w:r w:rsidRPr="00A56D00">
              <w:rPr>
                <w:rFonts w:cstheme="minorHAnsi"/>
                <w:sz w:val="20"/>
                <w:szCs w:val="20"/>
              </w:rPr>
              <w:t xml:space="preserve">All patients worked to resolve their own problems e.g., seeking information, searching </w:t>
            </w:r>
            <w:r w:rsidRPr="00A56D00">
              <w:rPr>
                <w:rFonts w:cstheme="minorHAnsi"/>
                <w:sz w:val="20"/>
                <w:szCs w:val="20"/>
              </w:rPr>
              <w:lastRenderedPageBreak/>
              <w:t xml:space="preserve">for the right </w:t>
            </w:r>
            <w:proofErr w:type="gramStart"/>
            <w:r w:rsidRPr="00A56D00">
              <w:rPr>
                <w:rFonts w:cstheme="minorHAnsi"/>
                <w:sz w:val="20"/>
                <w:szCs w:val="20"/>
              </w:rPr>
              <w:t>equipment</w:t>
            </w:r>
            <w:proofErr w:type="gramEnd"/>
            <w:r w:rsidRPr="00A56D00">
              <w:rPr>
                <w:rFonts w:cstheme="minorHAnsi"/>
                <w:sz w:val="20"/>
                <w:szCs w:val="20"/>
              </w:rPr>
              <w:t xml:space="preserve"> or adapting what was available. The need to be self-taught often stemmed from a lack of adequate instruction, resources, or support.</w:t>
            </w:r>
          </w:p>
        </w:tc>
        <w:tc>
          <w:tcPr>
            <w:tcW w:w="4043" w:type="dxa"/>
          </w:tcPr>
          <w:p w14:paraId="51290A85" w14:textId="77777777" w:rsidR="00882F2C" w:rsidRPr="00A56D00" w:rsidRDefault="00882F2C" w:rsidP="00CF53D4">
            <w:pPr>
              <w:rPr>
                <w:rFonts w:cstheme="minorHAnsi"/>
                <w:sz w:val="20"/>
                <w:szCs w:val="20"/>
              </w:rPr>
            </w:pPr>
            <w:r w:rsidRPr="00A56D00">
              <w:rPr>
                <w:rFonts w:cstheme="minorHAnsi"/>
                <w:sz w:val="20"/>
                <w:szCs w:val="20"/>
              </w:rPr>
              <w:lastRenderedPageBreak/>
              <w:t xml:space="preserve">“There’s no help. You </w:t>
            </w:r>
            <w:proofErr w:type="gramStart"/>
            <w:r w:rsidRPr="00A56D00">
              <w:rPr>
                <w:rFonts w:cstheme="minorHAnsi"/>
                <w:sz w:val="20"/>
                <w:szCs w:val="20"/>
              </w:rPr>
              <w:t>have to</w:t>
            </w:r>
            <w:proofErr w:type="gramEnd"/>
          </w:p>
          <w:p w14:paraId="2E857924" w14:textId="77777777" w:rsidR="00882F2C" w:rsidRPr="00A56D00" w:rsidRDefault="00882F2C" w:rsidP="00CF53D4">
            <w:pPr>
              <w:rPr>
                <w:rFonts w:cstheme="minorHAnsi"/>
                <w:sz w:val="20"/>
                <w:szCs w:val="20"/>
              </w:rPr>
            </w:pPr>
            <w:r w:rsidRPr="00A56D00">
              <w:rPr>
                <w:rFonts w:cstheme="minorHAnsi"/>
                <w:sz w:val="20"/>
                <w:szCs w:val="20"/>
              </w:rPr>
              <w:t>kind of ‘self-help’ yourself on the situation.”</w:t>
            </w:r>
          </w:p>
        </w:tc>
      </w:tr>
      <w:tr w:rsidR="00882F2C" w:rsidRPr="00A56D00" w14:paraId="1D639961" w14:textId="77777777" w:rsidTr="00CF53D4">
        <w:tc>
          <w:tcPr>
            <w:tcW w:w="1697" w:type="dxa"/>
          </w:tcPr>
          <w:p w14:paraId="7ECF2869" w14:textId="77777777" w:rsidR="00882F2C" w:rsidRPr="00A56D00" w:rsidRDefault="00882F2C" w:rsidP="00CF53D4">
            <w:pPr>
              <w:rPr>
                <w:rFonts w:cstheme="minorHAnsi"/>
                <w:sz w:val="20"/>
                <w:szCs w:val="20"/>
                <w:lang w:val="en-IE"/>
              </w:rPr>
            </w:pPr>
          </w:p>
        </w:tc>
        <w:tc>
          <w:tcPr>
            <w:tcW w:w="1570" w:type="dxa"/>
          </w:tcPr>
          <w:p w14:paraId="6C4E36EF" w14:textId="77777777" w:rsidR="00882F2C" w:rsidRPr="00A56D00" w:rsidRDefault="00882F2C" w:rsidP="00CF53D4">
            <w:pPr>
              <w:rPr>
                <w:rFonts w:cstheme="minorHAnsi"/>
                <w:sz w:val="20"/>
                <w:szCs w:val="20"/>
              </w:rPr>
            </w:pPr>
          </w:p>
        </w:tc>
        <w:tc>
          <w:tcPr>
            <w:tcW w:w="2459" w:type="dxa"/>
          </w:tcPr>
          <w:p w14:paraId="0F9E5328" w14:textId="77777777" w:rsidR="00882F2C" w:rsidRPr="00A56D00" w:rsidRDefault="00882F2C" w:rsidP="00CF53D4">
            <w:pPr>
              <w:rPr>
                <w:rFonts w:cstheme="minorHAnsi"/>
                <w:sz w:val="20"/>
                <w:szCs w:val="20"/>
              </w:rPr>
            </w:pPr>
          </w:p>
        </w:tc>
        <w:tc>
          <w:tcPr>
            <w:tcW w:w="4179" w:type="dxa"/>
          </w:tcPr>
          <w:p w14:paraId="47E8E166" w14:textId="77777777" w:rsidR="00882F2C" w:rsidRPr="00A56D00" w:rsidRDefault="00882F2C" w:rsidP="00CF53D4">
            <w:pPr>
              <w:rPr>
                <w:rFonts w:cstheme="minorHAnsi"/>
                <w:sz w:val="20"/>
                <w:szCs w:val="20"/>
              </w:rPr>
            </w:pPr>
            <w:r w:rsidRPr="00A56D00">
              <w:rPr>
                <w:rFonts w:cstheme="minorHAnsi"/>
                <w:sz w:val="20"/>
                <w:szCs w:val="20"/>
              </w:rPr>
              <w:t xml:space="preserve">(NS) All 12 participants emphasised the importance of support from HCPs. While four participants with protracted HEN-related problems (e.g., skin-care issues and weight loss) discussed the value of a close relationship with their HCP, 8 patients did not think their HCP improved their ability to adapt to or cope with HEN. Ten participants complained of inadequate HEN instruction and reported experiencing confusion, frustration, or fear of the unknown because they felt unprepared to assume the responsibility of their HEN regimen or to deal with complications such as tube dislodgement. </w:t>
            </w:r>
          </w:p>
          <w:p w14:paraId="4C1BE4EA" w14:textId="77777777" w:rsidR="00882F2C" w:rsidRPr="00A56D00" w:rsidRDefault="00882F2C" w:rsidP="00CF53D4">
            <w:pPr>
              <w:rPr>
                <w:rFonts w:cstheme="minorHAnsi"/>
                <w:sz w:val="20"/>
                <w:szCs w:val="20"/>
              </w:rPr>
            </w:pPr>
            <w:r w:rsidRPr="00A56D00">
              <w:rPr>
                <w:rFonts w:cstheme="minorHAnsi"/>
                <w:sz w:val="20"/>
                <w:szCs w:val="20"/>
              </w:rPr>
              <w:t xml:space="preserve">Five participants relied on their primary HCP or wound care specialist for answers, yet others perceived that their HCP lacked the expertise to address HEN related problems. </w:t>
            </w:r>
          </w:p>
          <w:p w14:paraId="6529BD32" w14:textId="77777777" w:rsidR="00882F2C" w:rsidRPr="00A56D00" w:rsidRDefault="00882F2C" w:rsidP="00CF53D4">
            <w:pPr>
              <w:rPr>
                <w:rFonts w:cstheme="minorHAnsi"/>
                <w:sz w:val="20"/>
                <w:szCs w:val="20"/>
              </w:rPr>
            </w:pPr>
            <w:r w:rsidRPr="00A56D00">
              <w:rPr>
                <w:rFonts w:cstheme="minorHAnsi"/>
                <w:sz w:val="20"/>
                <w:szCs w:val="20"/>
              </w:rPr>
              <w:t>Participants offered suggestions for HCPs to improve the HEN education and monitoring processes e.g., individualised care, discussing problems before the occur, providing HEN education in stages, etc. A focus group of healthcare professionals validated the participants’ concerns and acknowledged the feasibility of implementing many practice changes at the clinician level.</w:t>
            </w:r>
          </w:p>
        </w:tc>
        <w:tc>
          <w:tcPr>
            <w:tcW w:w="4043" w:type="dxa"/>
          </w:tcPr>
          <w:p w14:paraId="0D4C1F5A" w14:textId="77777777" w:rsidR="00882F2C" w:rsidRPr="00A56D00" w:rsidRDefault="00882F2C" w:rsidP="00CF53D4">
            <w:pPr>
              <w:rPr>
                <w:rFonts w:cstheme="minorHAnsi"/>
                <w:sz w:val="20"/>
                <w:szCs w:val="20"/>
              </w:rPr>
            </w:pPr>
            <w:r w:rsidRPr="00A56D00">
              <w:rPr>
                <w:rFonts w:cstheme="minorHAnsi"/>
                <w:sz w:val="20"/>
                <w:szCs w:val="20"/>
              </w:rPr>
              <w:t>“I don’t think I felt the anger so much until I</w:t>
            </w:r>
          </w:p>
          <w:p w14:paraId="3C5B80A9" w14:textId="77777777" w:rsidR="00882F2C" w:rsidRPr="00A56D00" w:rsidRDefault="00882F2C" w:rsidP="00CF53D4">
            <w:pPr>
              <w:rPr>
                <w:rFonts w:cstheme="minorHAnsi"/>
                <w:sz w:val="20"/>
                <w:szCs w:val="20"/>
              </w:rPr>
            </w:pPr>
            <w:r w:rsidRPr="00A56D00">
              <w:rPr>
                <w:rFonts w:cstheme="minorHAnsi"/>
                <w:sz w:val="20"/>
                <w:szCs w:val="20"/>
              </w:rPr>
              <w:t>realized that I hadn’t had much help from the healthcare industry.”</w:t>
            </w:r>
          </w:p>
        </w:tc>
      </w:tr>
      <w:tr w:rsidR="00882F2C" w:rsidRPr="00A56D00" w14:paraId="68E5BA7C" w14:textId="77777777" w:rsidTr="00CF53D4">
        <w:tc>
          <w:tcPr>
            <w:tcW w:w="1697" w:type="dxa"/>
          </w:tcPr>
          <w:p w14:paraId="10FFEABE" w14:textId="77777777" w:rsidR="00882F2C" w:rsidRPr="00A56D00" w:rsidRDefault="00882F2C" w:rsidP="00CF53D4">
            <w:pPr>
              <w:rPr>
                <w:rFonts w:cstheme="minorHAnsi"/>
                <w:sz w:val="20"/>
                <w:szCs w:val="20"/>
                <w:lang w:val="en-IE"/>
              </w:rPr>
            </w:pPr>
            <w:proofErr w:type="spellStart"/>
            <w:r w:rsidRPr="00A56D00">
              <w:rPr>
                <w:rFonts w:cstheme="minorHAnsi"/>
                <w:sz w:val="20"/>
                <w:szCs w:val="20"/>
                <w:lang w:val="en-IE"/>
              </w:rPr>
              <w:t>Liley</w:t>
            </w:r>
            <w:proofErr w:type="spellEnd"/>
            <w:r w:rsidRPr="00A56D00">
              <w:rPr>
                <w:rFonts w:cstheme="minorHAnsi"/>
                <w:sz w:val="20"/>
                <w:szCs w:val="20"/>
                <w:lang w:val="en-IE"/>
              </w:rPr>
              <w:t xml:space="preserve"> et al</w:t>
            </w:r>
          </w:p>
          <w:p w14:paraId="44DD3FF5" w14:textId="77777777" w:rsidR="00882F2C" w:rsidRPr="00A56D00" w:rsidRDefault="00882F2C" w:rsidP="00CF53D4">
            <w:pPr>
              <w:rPr>
                <w:rFonts w:cstheme="minorHAnsi"/>
                <w:sz w:val="20"/>
                <w:szCs w:val="20"/>
                <w:lang w:val="en-IE"/>
              </w:rPr>
            </w:pPr>
            <w:r w:rsidRPr="00A56D00">
              <w:rPr>
                <w:rFonts w:cstheme="minorHAnsi"/>
                <w:sz w:val="20"/>
                <w:szCs w:val="20"/>
                <w:lang w:val="en-IE"/>
              </w:rPr>
              <w:t>(2003)</w:t>
            </w:r>
          </w:p>
        </w:tc>
        <w:tc>
          <w:tcPr>
            <w:tcW w:w="1570" w:type="dxa"/>
          </w:tcPr>
          <w:p w14:paraId="76EB7809"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4268EFE6" w14:textId="77777777" w:rsidR="00882F2C" w:rsidRPr="00A56D00" w:rsidRDefault="00882F2C" w:rsidP="00CF53D4">
            <w:pPr>
              <w:rPr>
                <w:rFonts w:cstheme="minorHAnsi"/>
                <w:sz w:val="20"/>
                <w:szCs w:val="20"/>
              </w:rPr>
            </w:pPr>
            <w:r w:rsidRPr="00A56D00">
              <w:rPr>
                <w:rFonts w:cstheme="minorHAnsi"/>
                <w:sz w:val="20"/>
                <w:szCs w:val="20"/>
              </w:rPr>
              <w:t>Understand patients’ and carers’ experience of HEN</w:t>
            </w:r>
          </w:p>
        </w:tc>
        <w:tc>
          <w:tcPr>
            <w:tcW w:w="4179" w:type="dxa"/>
          </w:tcPr>
          <w:p w14:paraId="4EC8237E" w14:textId="77777777" w:rsidR="00882F2C" w:rsidRPr="00A56D00" w:rsidRDefault="00882F2C" w:rsidP="00CF53D4">
            <w:pPr>
              <w:rPr>
                <w:rFonts w:cstheme="minorHAnsi"/>
                <w:sz w:val="20"/>
                <w:szCs w:val="20"/>
              </w:rPr>
            </w:pPr>
            <w:r w:rsidRPr="00A56D00">
              <w:rPr>
                <w:rFonts w:cstheme="minorHAnsi"/>
                <w:sz w:val="20"/>
                <w:szCs w:val="20"/>
              </w:rPr>
              <w:t xml:space="preserve">(IE): Some patients reported that the practical aspects of managing feed and equipment had been inadequately covered in their preparation. While techniques were reported as being demonstrated and taught, there was a lack of </w:t>
            </w:r>
            <w:r w:rsidRPr="00A56D00">
              <w:rPr>
                <w:rFonts w:cstheme="minorHAnsi"/>
                <w:sz w:val="20"/>
                <w:szCs w:val="20"/>
              </w:rPr>
              <w:lastRenderedPageBreak/>
              <w:t>support in integrating the process of HEN into other household routines and spaces.</w:t>
            </w:r>
          </w:p>
        </w:tc>
        <w:tc>
          <w:tcPr>
            <w:tcW w:w="4043" w:type="dxa"/>
          </w:tcPr>
          <w:p w14:paraId="6F0689EA" w14:textId="77777777" w:rsidR="00882F2C" w:rsidRPr="00A56D00" w:rsidRDefault="00882F2C" w:rsidP="00CF53D4">
            <w:pPr>
              <w:rPr>
                <w:rFonts w:cstheme="minorHAnsi"/>
                <w:sz w:val="20"/>
                <w:szCs w:val="20"/>
              </w:rPr>
            </w:pPr>
          </w:p>
        </w:tc>
      </w:tr>
      <w:tr w:rsidR="00882F2C" w:rsidRPr="00A56D00" w14:paraId="5EC75D46" w14:textId="77777777" w:rsidTr="00CF53D4">
        <w:tc>
          <w:tcPr>
            <w:tcW w:w="1697" w:type="dxa"/>
          </w:tcPr>
          <w:p w14:paraId="50301737" w14:textId="77777777" w:rsidR="00882F2C" w:rsidRPr="00A56D00" w:rsidRDefault="00882F2C" w:rsidP="00CF53D4">
            <w:pPr>
              <w:rPr>
                <w:rFonts w:cstheme="minorHAnsi"/>
                <w:sz w:val="20"/>
                <w:szCs w:val="20"/>
                <w:lang w:val="en-IE"/>
              </w:rPr>
            </w:pPr>
          </w:p>
        </w:tc>
        <w:tc>
          <w:tcPr>
            <w:tcW w:w="1570" w:type="dxa"/>
          </w:tcPr>
          <w:p w14:paraId="5FF76F99" w14:textId="77777777" w:rsidR="00882F2C" w:rsidRPr="00A56D00" w:rsidRDefault="00882F2C" w:rsidP="00CF53D4">
            <w:pPr>
              <w:rPr>
                <w:rFonts w:cstheme="minorHAnsi"/>
                <w:sz w:val="20"/>
                <w:szCs w:val="20"/>
              </w:rPr>
            </w:pPr>
          </w:p>
        </w:tc>
        <w:tc>
          <w:tcPr>
            <w:tcW w:w="2459" w:type="dxa"/>
          </w:tcPr>
          <w:p w14:paraId="32811986" w14:textId="77777777" w:rsidR="00882F2C" w:rsidRPr="00A56D00" w:rsidRDefault="00882F2C" w:rsidP="00CF53D4">
            <w:pPr>
              <w:rPr>
                <w:rFonts w:cstheme="minorHAnsi"/>
                <w:sz w:val="20"/>
                <w:szCs w:val="20"/>
              </w:rPr>
            </w:pPr>
          </w:p>
        </w:tc>
        <w:tc>
          <w:tcPr>
            <w:tcW w:w="4179" w:type="dxa"/>
          </w:tcPr>
          <w:p w14:paraId="1DBCF476" w14:textId="77777777" w:rsidR="00882F2C" w:rsidRPr="00A56D00" w:rsidRDefault="00882F2C" w:rsidP="00CF53D4">
            <w:pPr>
              <w:rPr>
                <w:rFonts w:cstheme="minorHAnsi"/>
                <w:sz w:val="20"/>
                <w:szCs w:val="20"/>
              </w:rPr>
            </w:pPr>
            <w:r w:rsidRPr="00A56D00">
              <w:rPr>
                <w:rFonts w:cstheme="minorHAnsi"/>
                <w:sz w:val="20"/>
                <w:szCs w:val="20"/>
              </w:rPr>
              <w:t>(IC): There was uniform recognition that, despite all its problems, HEN was effective and worth undertaking. All patients felt that HEN was essential to survival. Portraying HEN as a normal part of daily living made it possible for patients to feel that they could enjoy other elements of ordinary life.</w:t>
            </w:r>
          </w:p>
        </w:tc>
        <w:tc>
          <w:tcPr>
            <w:tcW w:w="4043" w:type="dxa"/>
          </w:tcPr>
          <w:p w14:paraId="74FB10FB" w14:textId="77777777" w:rsidR="00882F2C" w:rsidRPr="00A56D00" w:rsidRDefault="00882F2C" w:rsidP="00CF53D4">
            <w:pPr>
              <w:rPr>
                <w:rFonts w:cstheme="minorHAnsi"/>
                <w:sz w:val="20"/>
                <w:szCs w:val="20"/>
              </w:rPr>
            </w:pPr>
          </w:p>
        </w:tc>
      </w:tr>
      <w:tr w:rsidR="00882F2C" w:rsidRPr="00A56D00" w14:paraId="3E752F99" w14:textId="77777777" w:rsidTr="00CF53D4">
        <w:tc>
          <w:tcPr>
            <w:tcW w:w="1697" w:type="dxa"/>
          </w:tcPr>
          <w:p w14:paraId="21523C72" w14:textId="77777777" w:rsidR="00882F2C" w:rsidRPr="00A56D00" w:rsidRDefault="00882F2C" w:rsidP="00CF53D4">
            <w:pPr>
              <w:rPr>
                <w:rFonts w:cstheme="minorHAnsi"/>
                <w:sz w:val="20"/>
                <w:szCs w:val="20"/>
              </w:rPr>
            </w:pPr>
          </w:p>
        </w:tc>
        <w:tc>
          <w:tcPr>
            <w:tcW w:w="1570" w:type="dxa"/>
          </w:tcPr>
          <w:p w14:paraId="6AE5981C" w14:textId="77777777" w:rsidR="00882F2C" w:rsidRPr="00A56D00" w:rsidRDefault="00882F2C" w:rsidP="00CF53D4">
            <w:pPr>
              <w:rPr>
                <w:rFonts w:cstheme="minorHAnsi"/>
                <w:sz w:val="20"/>
                <w:szCs w:val="20"/>
              </w:rPr>
            </w:pPr>
          </w:p>
        </w:tc>
        <w:tc>
          <w:tcPr>
            <w:tcW w:w="2459" w:type="dxa"/>
          </w:tcPr>
          <w:p w14:paraId="05095AF1" w14:textId="77777777" w:rsidR="00882F2C" w:rsidRPr="00A56D00" w:rsidRDefault="00882F2C" w:rsidP="00CF53D4">
            <w:pPr>
              <w:rPr>
                <w:rFonts w:cstheme="minorHAnsi"/>
                <w:sz w:val="20"/>
                <w:szCs w:val="20"/>
              </w:rPr>
            </w:pPr>
          </w:p>
        </w:tc>
        <w:tc>
          <w:tcPr>
            <w:tcW w:w="4179" w:type="dxa"/>
          </w:tcPr>
          <w:p w14:paraId="52F29143" w14:textId="77777777" w:rsidR="00882F2C" w:rsidRPr="00A56D00" w:rsidRDefault="00882F2C" w:rsidP="00CF53D4">
            <w:pPr>
              <w:rPr>
                <w:rFonts w:cstheme="minorHAnsi"/>
                <w:sz w:val="20"/>
                <w:szCs w:val="20"/>
              </w:rPr>
            </w:pPr>
            <w:r w:rsidRPr="00A56D00">
              <w:rPr>
                <w:rFonts w:cstheme="minorHAnsi"/>
                <w:sz w:val="20"/>
                <w:szCs w:val="20"/>
              </w:rPr>
              <w:t>(NS): This rapid building up of expertise enabled patients to recognise the inexperience of some HCPs of the health professionals whom they encountered. Some distress was reported when HCPs professionals did not meet patients’ standards. Lack of confidence in practitioners influenced how patients engaged with professionals, shifting from dependency to independence rapidly.</w:t>
            </w:r>
          </w:p>
        </w:tc>
        <w:tc>
          <w:tcPr>
            <w:tcW w:w="4043" w:type="dxa"/>
          </w:tcPr>
          <w:p w14:paraId="3EBB9CA5" w14:textId="77777777" w:rsidR="00882F2C" w:rsidRPr="00A56D00" w:rsidRDefault="00882F2C" w:rsidP="00CF53D4">
            <w:pPr>
              <w:rPr>
                <w:rFonts w:cstheme="minorHAnsi"/>
                <w:sz w:val="20"/>
                <w:szCs w:val="20"/>
              </w:rPr>
            </w:pPr>
          </w:p>
        </w:tc>
      </w:tr>
      <w:tr w:rsidR="00882F2C" w:rsidRPr="00A56D00" w14:paraId="327EA16A" w14:textId="77777777" w:rsidTr="00CF53D4">
        <w:tc>
          <w:tcPr>
            <w:tcW w:w="1697" w:type="dxa"/>
          </w:tcPr>
          <w:p w14:paraId="30AFC944" w14:textId="77777777" w:rsidR="00882F2C" w:rsidRPr="00A56D00" w:rsidRDefault="00882F2C" w:rsidP="00CF53D4">
            <w:pPr>
              <w:rPr>
                <w:rFonts w:cstheme="minorHAnsi"/>
                <w:sz w:val="20"/>
                <w:szCs w:val="20"/>
              </w:rPr>
            </w:pPr>
            <w:proofErr w:type="spellStart"/>
            <w:r w:rsidRPr="00A56D00">
              <w:rPr>
                <w:rFonts w:cstheme="minorHAnsi"/>
                <w:sz w:val="20"/>
                <w:szCs w:val="20"/>
              </w:rPr>
              <w:t>L’Estrange</w:t>
            </w:r>
            <w:proofErr w:type="spellEnd"/>
            <w:r w:rsidRPr="00A56D00">
              <w:rPr>
                <w:rFonts w:cstheme="minorHAnsi"/>
                <w:sz w:val="20"/>
                <w:szCs w:val="20"/>
              </w:rPr>
              <w:t xml:space="preserve"> (1997)</w:t>
            </w:r>
          </w:p>
        </w:tc>
        <w:tc>
          <w:tcPr>
            <w:tcW w:w="1570" w:type="dxa"/>
          </w:tcPr>
          <w:p w14:paraId="62C8F085" w14:textId="77777777" w:rsidR="00882F2C" w:rsidRPr="00A56D00" w:rsidRDefault="00882F2C" w:rsidP="00CF53D4">
            <w:pPr>
              <w:rPr>
                <w:rFonts w:cstheme="minorHAnsi"/>
                <w:sz w:val="20"/>
                <w:szCs w:val="20"/>
              </w:rPr>
            </w:pPr>
            <w:r w:rsidRPr="00A56D00">
              <w:rPr>
                <w:rFonts w:cstheme="minorHAnsi"/>
                <w:sz w:val="20"/>
                <w:szCs w:val="20"/>
              </w:rPr>
              <w:t>Northern Ireland</w:t>
            </w:r>
          </w:p>
        </w:tc>
        <w:tc>
          <w:tcPr>
            <w:tcW w:w="2459" w:type="dxa"/>
          </w:tcPr>
          <w:p w14:paraId="51C00EB5" w14:textId="77777777" w:rsidR="00882F2C" w:rsidRPr="00A56D00" w:rsidRDefault="00882F2C" w:rsidP="00CF53D4">
            <w:pPr>
              <w:rPr>
                <w:rFonts w:cstheme="minorHAnsi"/>
                <w:sz w:val="20"/>
                <w:szCs w:val="20"/>
              </w:rPr>
            </w:pPr>
            <w:r w:rsidRPr="00A56D00">
              <w:rPr>
                <w:rFonts w:cstheme="minorHAnsi"/>
                <w:sz w:val="20"/>
                <w:szCs w:val="20"/>
              </w:rPr>
              <w:t>Understand patients’ and carers’ perspectives on HEN</w:t>
            </w:r>
          </w:p>
        </w:tc>
        <w:tc>
          <w:tcPr>
            <w:tcW w:w="4179" w:type="dxa"/>
          </w:tcPr>
          <w:p w14:paraId="50012146" w14:textId="77777777" w:rsidR="00882F2C" w:rsidRPr="00A56D00" w:rsidRDefault="00882F2C" w:rsidP="00CF53D4">
            <w:pPr>
              <w:rPr>
                <w:rFonts w:cstheme="minorHAnsi"/>
                <w:sz w:val="20"/>
                <w:szCs w:val="20"/>
              </w:rPr>
            </w:pPr>
            <w:r w:rsidRPr="00A56D00">
              <w:rPr>
                <w:rFonts w:cstheme="minorHAnsi"/>
                <w:sz w:val="20"/>
                <w:szCs w:val="20"/>
              </w:rPr>
              <w:t>(IE): All 19 patients living at home felt they had sufficient time in hospital to prepare for HEN (mean time 2 weeks) and 15 felt satisfied that their training had adequately prepared them for HEN. The benefits of being able to change the feed when still in hospital and of the literature received were highlighted. Patients felt that more emphasis should have been placed on the causes of pump alarming, preventing leaks, how to run feed properly through the giving set, preventing and treating tube blockages, and on stoma care.</w:t>
            </w:r>
          </w:p>
        </w:tc>
        <w:tc>
          <w:tcPr>
            <w:tcW w:w="4043" w:type="dxa"/>
          </w:tcPr>
          <w:p w14:paraId="56666D5E" w14:textId="77777777" w:rsidR="00882F2C" w:rsidRPr="00A56D00" w:rsidRDefault="00882F2C" w:rsidP="00CF53D4">
            <w:pPr>
              <w:rPr>
                <w:rFonts w:cstheme="minorHAnsi"/>
                <w:sz w:val="20"/>
                <w:szCs w:val="20"/>
              </w:rPr>
            </w:pPr>
          </w:p>
        </w:tc>
      </w:tr>
      <w:tr w:rsidR="00882F2C" w:rsidRPr="00A56D00" w14:paraId="49E67F16" w14:textId="77777777" w:rsidTr="00CF53D4">
        <w:tc>
          <w:tcPr>
            <w:tcW w:w="1697" w:type="dxa"/>
          </w:tcPr>
          <w:p w14:paraId="3F03396C" w14:textId="77777777" w:rsidR="00882F2C" w:rsidRPr="00A56D00" w:rsidRDefault="00882F2C" w:rsidP="00CF53D4">
            <w:pPr>
              <w:rPr>
                <w:rFonts w:cstheme="minorHAnsi"/>
                <w:sz w:val="20"/>
                <w:szCs w:val="20"/>
              </w:rPr>
            </w:pPr>
          </w:p>
        </w:tc>
        <w:tc>
          <w:tcPr>
            <w:tcW w:w="1570" w:type="dxa"/>
          </w:tcPr>
          <w:p w14:paraId="79BEBCDF" w14:textId="77777777" w:rsidR="00882F2C" w:rsidRPr="00A56D00" w:rsidRDefault="00882F2C" w:rsidP="00CF53D4">
            <w:pPr>
              <w:rPr>
                <w:rFonts w:cstheme="minorHAnsi"/>
                <w:sz w:val="20"/>
                <w:szCs w:val="20"/>
              </w:rPr>
            </w:pPr>
          </w:p>
        </w:tc>
        <w:tc>
          <w:tcPr>
            <w:tcW w:w="2459" w:type="dxa"/>
          </w:tcPr>
          <w:p w14:paraId="2560B2A5" w14:textId="77777777" w:rsidR="00882F2C" w:rsidRPr="00A56D00" w:rsidRDefault="00882F2C" w:rsidP="00CF53D4">
            <w:pPr>
              <w:rPr>
                <w:rFonts w:cstheme="minorHAnsi"/>
                <w:sz w:val="20"/>
                <w:szCs w:val="20"/>
              </w:rPr>
            </w:pPr>
          </w:p>
        </w:tc>
        <w:tc>
          <w:tcPr>
            <w:tcW w:w="4179" w:type="dxa"/>
          </w:tcPr>
          <w:p w14:paraId="09B232B2" w14:textId="77777777" w:rsidR="00882F2C" w:rsidRPr="00A56D00" w:rsidRDefault="00882F2C" w:rsidP="00CF53D4">
            <w:pPr>
              <w:rPr>
                <w:rFonts w:cstheme="minorHAnsi"/>
                <w:sz w:val="20"/>
                <w:szCs w:val="20"/>
              </w:rPr>
            </w:pPr>
            <w:r w:rsidRPr="00A56D00">
              <w:rPr>
                <w:rFonts w:cstheme="minorHAnsi"/>
                <w:sz w:val="20"/>
                <w:szCs w:val="20"/>
              </w:rPr>
              <w:t xml:space="preserve">(NS): Whilst 12 of the 19 patients at home expressed satisfaction with the level of support received since coming home, seven were not satisfied. The issues of concern included: not being weighed regularly, lack of district nurse experience with HEN, stoma care and lack of </w:t>
            </w:r>
            <w:r w:rsidRPr="00A56D00">
              <w:rPr>
                <w:rFonts w:cstheme="minorHAnsi"/>
                <w:sz w:val="20"/>
                <w:szCs w:val="20"/>
              </w:rPr>
              <w:lastRenderedPageBreak/>
              <w:t>emotional support for not being able to eat. District nurse contact was regularly occurring for 16 patients, ranging from daily to weekly visits, whilst three patients no longer had regular contact.</w:t>
            </w:r>
          </w:p>
        </w:tc>
        <w:tc>
          <w:tcPr>
            <w:tcW w:w="4043" w:type="dxa"/>
          </w:tcPr>
          <w:p w14:paraId="144F8679" w14:textId="77777777" w:rsidR="00882F2C" w:rsidRPr="00A56D00" w:rsidRDefault="00882F2C" w:rsidP="00CF53D4">
            <w:pPr>
              <w:rPr>
                <w:rFonts w:cstheme="minorHAnsi"/>
                <w:sz w:val="20"/>
                <w:szCs w:val="20"/>
              </w:rPr>
            </w:pPr>
          </w:p>
        </w:tc>
      </w:tr>
      <w:tr w:rsidR="00882F2C" w:rsidRPr="00A56D00" w14:paraId="49B7B45E" w14:textId="77777777" w:rsidTr="00CF53D4">
        <w:tc>
          <w:tcPr>
            <w:tcW w:w="13948" w:type="dxa"/>
            <w:gridSpan w:val="5"/>
          </w:tcPr>
          <w:p w14:paraId="2AA65280" w14:textId="77777777" w:rsidR="00882F2C" w:rsidRPr="00A56D00" w:rsidRDefault="00882F2C" w:rsidP="00CF53D4">
            <w:pPr>
              <w:rPr>
                <w:rFonts w:cstheme="minorHAnsi"/>
                <w:b/>
                <w:bCs/>
                <w:sz w:val="20"/>
                <w:szCs w:val="20"/>
              </w:rPr>
            </w:pPr>
            <w:r w:rsidRPr="00A56D00">
              <w:rPr>
                <w:rFonts w:cstheme="minorHAnsi"/>
                <w:b/>
                <w:bCs/>
                <w:sz w:val="20"/>
                <w:szCs w:val="20"/>
              </w:rPr>
              <w:t>PART B – Quantitative Studies</w:t>
            </w:r>
          </w:p>
        </w:tc>
      </w:tr>
      <w:tr w:rsidR="00882F2C" w:rsidRPr="00A56D00" w14:paraId="047404F6" w14:textId="77777777" w:rsidTr="00CF53D4">
        <w:tc>
          <w:tcPr>
            <w:tcW w:w="1697" w:type="dxa"/>
          </w:tcPr>
          <w:p w14:paraId="278F5902" w14:textId="77777777" w:rsidR="00882F2C" w:rsidRPr="00A56D00" w:rsidRDefault="00882F2C" w:rsidP="00CF53D4">
            <w:pPr>
              <w:rPr>
                <w:rFonts w:cstheme="minorHAnsi"/>
                <w:sz w:val="20"/>
                <w:szCs w:val="20"/>
              </w:rPr>
            </w:pPr>
            <w:r w:rsidRPr="00A56D00">
              <w:rPr>
                <w:rFonts w:cstheme="minorHAnsi"/>
                <w:sz w:val="20"/>
                <w:szCs w:val="20"/>
              </w:rPr>
              <w:t>Martin et al (2012)</w:t>
            </w:r>
          </w:p>
        </w:tc>
        <w:tc>
          <w:tcPr>
            <w:tcW w:w="1570" w:type="dxa"/>
          </w:tcPr>
          <w:p w14:paraId="415679EB" w14:textId="77777777" w:rsidR="00882F2C" w:rsidRPr="00A56D00" w:rsidRDefault="00882F2C" w:rsidP="00CF53D4">
            <w:pPr>
              <w:rPr>
                <w:rFonts w:cstheme="minorHAnsi"/>
                <w:sz w:val="20"/>
                <w:szCs w:val="20"/>
              </w:rPr>
            </w:pPr>
            <w:r w:rsidRPr="00A56D00">
              <w:rPr>
                <w:rFonts w:cstheme="minorHAnsi"/>
                <w:sz w:val="20"/>
                <w:szCs w:val="20"/>
              </w:rPr>
              <w:t>Sweden</w:t>
            </w:r>
          </w:p>
        </w:tc>
        <w:tc>
          <w:tcPr>
            <w:tcW w:w="2459" w:type="dxa"/>
          </w:tcPr>
          <w:p w14:paraId="2D8FFE32" w14:textId="77777777" w:rsidR="00882F2C" w:rsidRPr="00A56D00" w:rsidRDefault="00882F2C" w:rsidP="00CF53D4">
            <w:pPr>
              <w:rPr>
                <w:rFonts w:cstheme="minorHAnsi"/>
                <w:sz w:val="20"/>
                <w:szCs w:val="20"/>
              </w:rPr>
            </w:pPr>
            <w:r w:rsidRPr="00A56D00">
              <w:rPr>
                <w:rFonts w:cstheme="minorHAnsi"/>
                <w:sz w:val="20"/>
                <w:szCs w:val="20"/>
              </w:rPr>
              <w:t>Investigate patients’ experience of living with a PEG and increase understanding of patients’ need for support</w:t>
            </w:r>
          </w:p>
        </w:tc>
        <w:tc>
          <w:tcPr>
            <w:tcW w:w="4179" w:type="dxa"/>
          </w:tcPr>
          <w:p w14:paraId="08178521" w14:textId="77777777" w:rsidR="00882F2C" w:rsidRPr="00A56D00" w:rsidRDefault="00882F2C" w:rsidP="00CF53D4">
            <w:pPr>
              <w:rPr>
                <w:rFonts w:cstheme="minorHAnsi"/>
                <w:sz w:val="20"/>
                <w:szCs w:val="20"/>
              </w:rPr>
            </w:pPr>
            <w:r w:rsidRPr="00A56D00">
              <w:rPr>
                <w:rFonts w:cstheme="minorHAnsi"/>
                <w:sz w:val="20"/>
                <w:szCs w:val="20"/>
              </w:rPr>
              <w:t>(IC): The majority (73%) of patients were satisfied with the PEG. The majority (82%) of patients did not feel limited in daily activities by PEG and most (60%) did not find feeding too time consuming however this varied by age and education level. Those with a university education were more likely to find feeding time consuming and daily life disrupted by the PEG while those over 65 years were more likely to find feeding time consuming.</w:t>
            </w:r>
          </w:p>
        </w:tc>
        <w:tc>
          <w:tcPr>
            <w:tcW w:w="4043" w:type="dxa"/>
          </w:tcPr>
          <w:p w14:paraId="095B08FA" w14:textId="77777777" w:rsidR="00882F2C" w:rsidRPr="00A56D00" w:rsidRDefault="00882F2C" w:rsidP="00CF53D4">
            <w:pPr>
              <w:rPr>
                <w:rFonts w:cstheme="minorHAnsi"/>
                <w:sz w:val="20"/>
                <w:szCs w:val="20"/>
              </w:rPr>
            </w:pPr>
          </w:p>
        </w:tc>
      </w:tr>
      <w:tr w:rsidR="00882F2C" w:rsidRPr="00A56D00" w14:paraId="58AA9023" w14:textId="77777777" w:rsidTr="00CF53D4">
        <w:tc>
          <w:tcPr>
            <w:tcW w:w="1697" w:type="dxa"/>
          </w:tcPr>
          <w:p w14:paraId="71EF164C" w14:textId="77777777" w:rsidR="00882F2C" w:rsidRPr="00A56D00" w:rsidRDefault="00882F2C" w:rsidP="00CF53D4">
            <w:pPr>
              <w:rPr>
                <w:rFonts w:cstheme="minorHAnsi"/>
                <w:sz w:val="20"/>
                <w:szCs w:val="20"/>
              </w:rPr>
            </w:pPr>
          </w:p>
        </w:tc>
        <w:tc>
          <w:tcPr>
            <w:tcW w:w="1570" w:type="dxa"/>
          </w:tcPr>
          <w:p w14:paraId="7C376601" w14:textId="77777777" w:rsidR="00882F2C" w:rsidRPr="00A56D00" w:rsidRDefault="00882F2C" w:rsidP="00CF53D4">
            <w:pPr>
              <w:rPr>
                <w:rFonts w:cstheme="minorHAnsi"/>
                <w:sz w:val="20"/>
                <w:szCs w:val="20"/>
              </w:rPr>
            </w:pPr>
          </w:p>
        </w:tc>
        <w:tc>
          <w:tcPr>
            <w:tcW w:w="2459" w:type="dxa"/>
          </w:tcPr>
          <w:p w14:paraId="74513310" w14:textId="77777777" w:rsidR="00882F2C" w:rsidRPr="00A56D00" w:rsidRDefault="00882F2C" w:rsidP="00CF53D4">
            <w:pPr>
              <w:rPr>
                <w:rFonts w:cstheme="minorHAnsi"/>
                <w:sz w:val="20"/>
                <w:szCs w:val="20"/>
              </w:rPr>
            </w:pPr>
          </w:p>
        </w:tc>
        <w:tc>
          <w:tcPr>
            <w:tcW w:w="4179" w:type="dxa"/>
          </w:tcPr>
          <w:p w14:paraId="6A20F302" w14:textId="77777777" w:rsidR="00882F2C" w:rsidRPr="00A56D00" w:rsidRDefault="00882F2C" w:rsidP="00CF53D4">
            <w:pPr>
              <w:rPr>
                <w:rFonts w:cstheme="minorHAnsi"/>
                <w:sz w:val="20"/>
                <w:szCs w:val="20"/>
              </w:rPr>
            </w:pPr>
            <w:r w:rsidRPr="00A56D00">
              <w:rPr>
                <w:rFonts w:cstheme="minorHAnsi"/>
                <w:sz w:val="20"/>
                <w:szCs w:val="20"/>
              </w:rPr>
              <w:t xml:space="preserve">(NS): The need for specialised and multidisciplinary care in managing PEGs at home was highlighted. 83 of the 104 patients preferred to contact the PEG outpatient clinic with questions or problems around the PEG itself and feeding, with 15 contacting their home care team, 13 the dietitian, 9 contacting the primary care team. </w:t>
            </w:r>
          </w:p>
        </w:tc>
        <w:tc>
          <w:tcPr>
            <w:tcW w:w="4043" w:type="dxa"/>
          </w:tcPr>
          <w:p w14:paraId="0D1779DB" w14:textId="77777777" w:rsidR="00882F2C" w:rsidRPr="00A56D00" w:rsidRDefault="00882F2C" w:rsidP="00CF53D4">
            <w:pPr>
              <w:rPr>
                <w:rFonts w:cstheme="minorHAnsi"/>
                <w:sz w:val="20"/>
                <w:szCs w:val="20"/>
              </w:rPr>
            </w:pPr>
          </w:p>
        </w:tc>
      </w:tr>
      <w:tr w:rsidR="00882F2C" w:rsidRPr="00A56D00" w14:paraId="30253B76" w14:textId="77777777" w:rsidTr="00CF53D4">
        <w:tc>
          <w:tcPr>
            <w:tcW w:w="1697" w:type="dxa"/>
          </w:tcPr>
          <w:p w14:paraId="226876CB" w14:textId="77777777" w:rsidR="00882F2C" w:rsidRPr="00A56D00" w:rsidRDefault="00882F2C" w:rsidP="00CF53D4">
            <w:pPr>
              <w:rPr>
                <w:rFonts w:cstheme="minorHAnsi"/>
                <w:sz w:val="20"/>
                <w:szCs w:val="20"/>
              </w:rPr>
            </w:pPr>
            <w:r w:rsidRPr="00A56D00">
              <w:rPr>
                <w:rFonts w:cstheme="minorHAnsi"/>
                <w:sz w:val="20"/>
                <w:szCs w:val="20"/>
              </w:rPr>
              <w:t>Brotherton et al (2007)</w:t>
            </w:r>
          </w:p>
        </w:tc>
        <w:tc>
          <w:tcPr>
            <w:tcW w:w="1570" w:type="dxa"/>
          </w:tcPr>
          <w:p w14:paraId="1CA208B0" w14:textId="77777777" w:rsidR="00882F2C" w:rsidRPr="00A56D00" w:rsidRDefault="00882F2C" w:rsidP="00CF53D4">
            <w:pPr>
              <w:rPr>
                <w:rFonts w:cstheme="minorHAnsi"/>
                <w:sz w:val="20"/>
                <w:szCs w:val="20"/>
              </w:rPr>
            </w:pPr>
            <w:r w:rsidRPr="00A56D00">
              <w:rPr>
                <w:rFonts w:cstheme="minorHAnsi"/>
                <w:sz w:val="20"/>
                <w:szCs w:val="20"/>
              </w:rPr>
              <w:t>UK</w:t>
            </w:r>
          </w:p>
        </w:tc>
        <w:tc>
          <w:tcPr>
            <w:tcW w:w="2459" w:type="dxa"/>
          </w:tcPr>
          <w:p w14:paraId="0F341198" w14:textId="77777777" w:rsidR="00882F2C" w:rsidRPr="00A56D00" w:rsidRDefault="00882F2C" w:rsidP="00CF53D4">
            <w:pPr>
              <w:rPr>
                <w:rFonts w:cstheme="minorHAnsi"/>
                <w:sz w:val="20"/>
                <w:szCs w:val="20"/>
              </w:rPr>
            </w:pPr>
            <w:r w:rsidRPr="00A56D00">
              <w:rPr>
                <w:rFonts w:cstheme="minorHAnsi"/>
                <w:sz w:val="20"/>
                <w:szCs w:val="20"/>
              </w:rPr>
              <w:t>Compare the perceptions of patients, carers, nurses, and dietitians around home PEG feeding</w:t>
            </w:r>
          </w:p>
        </w:tc>
        <w:tc>
          <w:tcPr>
            <w:tcW w:w="4179" w:type="dxa"/>
          </w:tcPr>
          <w:p w14:paraId="5B93BCE6" w14:textId="77777777" w:rsidR="00882F2C" w:rsidRPr="00A56D00" w:rsidRDefault="00882F2C" w:rsidP="00CF53D4">
            <w:pPr>
              <w:rPr>
                <w:rFonts w:cstheme="minorHAnsi"/>
                <w:sz w:val="20"/>
                <w:szCs w:val="20"/>
              </w:rPr>
            </w:pPr>
            <w:r w:rsidRPr="00A56D00">
              <w:rPr>
                <w:rFonts w:cstheme="minorHAnsi"/>
                <w:sz w:val="20"/>
                <w:szCs w:val="20"/>
              </w:rPr>
              <w:t xml:space="preserve">(NS): Many of the patients were not in regular contact with their GP; district nurses often provided care and the involvement of the GP was only sought when necessary. The majority (73%) of patients felt they received sufficient support from HCPs though just 65% of dietitians and 83% of nurses believed it to be sufficient. </w:t>
            </w:r>
          </w:p>
          <w:p w14:paraId="4DC2A4BC" w14:textId="77777777" w:rsidR="00882F2C" w:rsidRPr="00A56D00" w:rsidRDefault="00882F2C" w:rsidP="00CF53D4">
            <w:pPr>
              <w:rPr>
                <w:rFonts w:cstheme="minorHAnsi"/>
                <w:sz w:val="20"/>
                <w:szCs w:val="20"/>
              </w:rPr>
            </w:pPr>
            <w:r w:rsidRPr="00A56D00">
              <w:rPr>
                <w:rFonts w:cstheme="minorHAnsi"/>
                <w:sz w:val="20"/>
                <w:szCs w:val="20"/>
              </w:rPr>
              <w:t xml:space="preserve">While 100% of dietitians believed that the feeding regimen was appropriate for home feeding, not all patients agreed, with 13% stating it was not appropriate. </w:t>
            </w:r>
          </w:p>
        </w:tc>
        <w:tc>
          <w:tcPr>
            <w:tcW w:w="4043" w:type="dxa"/>
          </w:tcPr>
          <w:p w14:paraId="3F36B0B1" w14:textId="77777777" w:rsidR="00882F2C" w:rsidRPr="00A56D00" w:rsidRDefault="00882F2C" w:rsidP="00CF53D4">
            <w:pPr>
              <w:rPr>
                <w:rFonts w:cstheme="minorHAnsi"/>
                <w:sz w:val="20"/>
                <w:szCs w:val="20"/>
              </w:rPr>
            </w:pPr>
          </w:p>
        </w:tc>
      </w:tr>
      <w:tr w:rsidR="00882F2C" w:rsidRPr="00A56D00" w14:paraId="50E9F121" w14:textId="77777777" w:rsidTr="00CF53D4">
        <w:tc>
          <w:tcPr>
            <w:tcW w:w="1697" w:type="dxa"/>
          </w:tcPr>
          <w:p w14:paraId="1F66EA72" w14:textId="77777777" w:rsidR="00882F2C" w:rsidRPr="00A56D00" w:rsidRDefault="00882F2C" w:rsidP="00CF53D4">
            <w:pPr>
              <w:rPr>
                <w:rFonts w:cstheme="minorHAnsi"/>
                <w:sz w:val="20"/>
                <w:szCs w:val="20"/>
              </w:rPr>
            </w:pPr>
          </w:p>
        </w:tc>
        <w:tc>
          <w:tcPr>
            <w:tcW w:w="1570" w:type="dxa"/>
          </w:tcPr>
          <w:p w14:paraId="4A3CE351" w14:textId="77777777" w:rsidR="00882F2C" w:rsidRPr="00A56D00" w:rsidRDefault="00882F2C" w:rsidP="00CF53D4">
            <w:pPr>
              <w:rPr>
                <w:rFonts w:cstheme="minorHAnsi"/>
                <w:sz w:val="20"/>
                <w:szCs w:val="20"/>
              </w:rPr>
            </w:pPr>
          </w:p>
        </w:tc>
        <w:tc>
          <w:tcPr>
            <w:tcW w:w="2459" w:type="dxa"/>
          </w:tcPr>
          <w:p w14:paraId="1CE97458" w14:textId="77777777" w:rsidR="00882F2C" w:rsidRPr="00A56D00" w:rsidRDefault="00882F2C" w:rsidP="00CF53D4">
            <w:pPr>
              <w:rPr>
                <w:rFonts w:cstheme="minorHAnsi"/>
                <w:sz w:val="20"/>
                <w:szCs w:val="20"/>
              </w:rPr>
            </w:pPr>
          </w:p>
        </w:tc>
        <w:tc>
          <w:tcPr>
            <w:tcW w:w="4179" w:type="dxa"/>
          </w:tcPr>
          <w:p w14:paraId="4321063F" w14:textId="77777777" w:rsidR="00882F2C" w:rsidRPr="00A56D00" w:rsidRDefault="00882F2C" w:rsidP="00CF53D4">
            <w:pPr>
              <w:rPr>
                <w:rFonts w:cstheme="minorHAnsi"/>
                <w:sz w:val="20"/>
                <w:szCs w:val="20"/>
              </w:rPr>
            </w:pPr>
            <w:r w:rsidRPr="00A56D00">
              <w:rPr>
                <w:rFonts w:cstheme="minorHAnsi"/>
                <w:sz w:val="20"/>
                <w:szCs w:val="20"/>
              </w:rPr>
              <w:t>(QOL) The majority (93%) of patients perceived the PEG feeding as being successful and most (80%) believed they had an acceptable QoL, however patients themselves viewed their QoL more positively than did both carers and HCPs. If given the choice, the majority (53%) of patients would stop the feeding though just 20% dietitians and 6% nurses would do same.</w:t>
            </w:r>
          </w:p>
        </w:tc>
        <w:tc>
          <w:tcPr>
            <w:tcW w:w="4043" w:type="dxa"/>
          </w:tcPr>
          <w:p w14:paraId="64F97427" w14:textId="77777777" w:rsidR="00882F2C" w:rsidRPr="00A56D00" w:rsidRDefault="00882F2C" w:rsidP="00CF53D4">
            <w:pPr>
              <w:rPr>
                <w:rFonts w:cstheme="minorHAnsi"/>
                <w:sz w:val="20"/>
                <w:szCs w:val="20"/>
              </w:rPr>
            </w:pPr>
          </w:p>
        </w:tc>
      </w:tr>
      <w:tr w:rsidR="00882F2C" w:rsidRPr="00A56D00" w14:paraId="0A806F9B" w14:textId="77777777" w:rsidTr="00CF53D4">
        <w:tc>
          <w:tcPr>
            <w:tcW w:w="1697" w:type="dxa"/>
          </w:tcPr>
          <w:p w14:paraId="39D46D95" w14:textId="77777777" w:rsidR="00882F2C" w:rsidRPr="00A56D00" w:rsidRDefault="00882F2C" w:rsidP="00CF53D4">
            <w:pPr>
              <w:rPr>
                <w:rFonts w:cstheme="minorHAnsi"/>
                <w:sz w:val="20"/>
                <w:szCs w:val="20"/>
              </w:rPr>
            </w:pPr>
            <w:proofErr w:type="spellStart"/>
            <w:r w:rsidRPr="00A56D00">
              <w:rPr>
                <w:rFonts w:cstheme="minorHAnsi"/>
                <w:sz w:val="20"/>
                <w:szCs w:val="20"/>
              </w:rPr>
              <w:t>Paccagnella</w:t>
            </w:r>
            <w:proofErr w:type="spellEnd"/>
            <w:r w:rsidRPr="00A56D00">
              <w:rPr>
                <w:rFonts w:cstheme="minorHAnsi"/>
                <w:sz w:val="20"/>
                <w:szCs w:val="20"/>
              </w:rPr>
              <w:t xml:space="preserve"> et al (2007)</w:t>
            </w:r>
          </w:p>
        </w:tc>
        <w:tc>
          <w:tcPr>
            <w:tcW w:w="1570" w:type="dxa"/>
          </w:tcPr>
          <w:p w14:paraId="257CCADE" w14:textId="77777777" w:rsidR="00882F2C" w:rsidRPr="00A56D00" w:rsidRDefault="00882F2C" w:rsidP="00CF53D4">
            <w:pPr>
              <w:rPr>
                <w:rFonts w:cstheme="minorHAnsi"/>
                <w:sz w:val="20"/>
                <w:szCs w:val="20"/>
              </w:rPr>
            </w:pPr>
          </w:p>
        </w:tc>
        <w:tc>
          <w:tcPr>
            <w:tcW w:w="2459" w:type="dxa"/>
          </w:tcPr>
          <w:p w14:paraId="3F7F630A" w14:textId="77777777" w:rsidR="00882F2C" w:rsidRPr="00A56D00" w:rsidRDefault="00882F2C" w:rsidP="00CF53D4">
            <w:pPr>
              <w:rPr>
                <w:rFonts w:cstheme="minorHAnsi"/>
                <w:sz w:val="20"/>
                <w:szCs w:val="20"/>
              </w:rPr>
            </w:pPr>
            <w:r w:rsidRPr="00A56D00">
              <w:rPr>
                <w:rFonts w:cstheme="minorHAnsi"/>
                <w:sz w:val="20"/>
                <w:szCs w:val="20"/>
              </w:rPr>
              <w:t>Assess the impact of HEN on QoL of patients and carers</w:t>
            </w:r>
          </w:p>
        </w:tc>
        <w:tc>
          <w:tcPr>
            <w:tcW w:w="4179" w:type="dxa"/>
          </w:tcPr>
          <w:p w14:paraId="15075FE9" w14:textId="77777777" w:rsidR="00882F2C" w:rsidRPr="00A56D00" w:rsidRDefault="00882F2C" w:rsidP="00CF53D4">
            <w:pPr>
              <w:rPr>
                <w:rFonts w:cstheme="minorHAnsi"/>
                <w:sz w:val="20"/>
                <w:szCs w:val="20"/>
              </w:rPr>
            </w:pPr>
            <w:r w:rsidRPr="00A56D00">
              <w:rPr>
                <w:rFonts w:cstheme="minorHAnsi"/>
                <w:sz w:val="20"/>
                <w:szCs w:val="20"/>
              </w:rPr>
              <w:t>(IC): 43% of patients reported that HEN impacted autonomy. Others reported disadvantages of HEN included oral side effects from lack of food and drinks and GI side effects such as constipation.</w:t>
            </w:r>
          </w:p>
          <w:p w14:paraId="56F728FD" w14:textId="77777777" w:rsidR="00882F2C" w:rsidRPr="00A56D00" w:rsidRDefault="00882F2C" w:rsidP="00CF53D4">
            <w:pPr>
              <w:rPr>
                <w:rFonts w:cstheme="minorHAnsi"/>
                <w:sz w:val="20"/>
                <w:szCs w:val="20"/>
              </w:rPr>
            </w:pPr>
            <w:r w:rsidRPr="00A56D00">
              <w:rPr>
                <w:rFonts w:cstheme="minorHAnsi"/>
                <w:sz w:val="20"/>
                <w:szCs w:val="20"/>
              </w:rPr>
              <w:t>The main advantages of HEN for patients included physical wellbeing, relieving the pressure to eat, hope for survival and the ability to stay at home.</w:t>
            </w:r>
          </w:p>
        </w:tc>
        <w:tc>
          <w:tcPr>
            <w:tcW w:w="4043" w:type="dxa"/>
          </w:tcPr>
          <w:p w14:paraId="62EC465A" w14:textId="77777777" w:rsidR="00882F2C" w:rsidRPr="00A56D00" w:rsidRDefault="00882F2C" w:rsidP="00CF53D4">
            <w:pPr>
              <w:rPr>
                <w:rFonts w:cstheme="minorHAnsi"/>
                <w:sz w:val="20"/>
                <w:szCs w:val="20"/>
              </w:rPr>
            </w:pPr>
            <w:r w:rsidRPr="00A56D00">
              <w:rPr>
                <w:rFonts w:cstheme="minorHAnsi"/>
                <w:sz w:val="20"/>
                <w:szCs w:val="20"/>
              </w:rPr>
              <w:t xml:space="preserve">"I can't move" </w:t>
            </w:r>
          </w:p>
          <w:p w14:paraId="1D53DFBC" w14:textId="77777777" w:rsidR="00882F2C" w:rsidRPr="00A56D00" w:rsidRDefault="00882F2C" w:rsidP="00CF53D4">
            <w:pPr>
              <w:rPr>
                <w:rFonts w:cstheme="minorHAnsi"/>
                <w:sz w:val="20"/>
                <w:szCs w:val="20"/>
              </w:rPr>
            </w:pPr>
          </w:p>
          <w:p w14:paraId="35BAFE7F" w14:textId="77777777" w:rsidR="00882F2C" w:rsidRPr="00A56D00" w:rsidRDefault="00882F2C" w:rsidP="00CF53D4">
            <w:pPr>
              <w:rPr>
                <w:rFonts w:cstheme="minorHAnsi"/>
                <w:sz w:val="20"/>
                <w:szCs w:val="20"/>
              </w:rPr>
            </w:pPr>
            <w:r w:rsidRPr="00A56D00">
              <w:rPr>
                <w:rFonts w:cstheme="minorHAnsi"/>
                <w:sz w:val="20"/>
                <w:szCs w:val="20"/>
              </w:rPr>
              <w:t>"I have to stay always at home"</w:t>
            </w:r>
          </w:p>
          <w:p w14:paraId="61C227C0" w14:textId="77777777" w:rsidR="00882F2C" w:rsidRPr="00A56D00" w:rsidRDefault="00882F2C" w:rsidP="00CF53D4">
            <w:pPr>
              <w:rPr>
                <w:rFonts w:cstheme="minorHAnsi"/>
                <w:sz w:val="20"/>
                <w:szCs w:val="20"/>
              </w:rPr>
            </w:pPr>
          </w:p>
          <w:p w14:paraId="707BD3E1" w14:textId="77777777" w:rsidR="00882F2C" w:rsidRPr="00A56D00" w:rsidRDefault="00882F2C" w:rsidP="00CF53D4">
            <w:pPr>
              <w:rPr>
                <w:rFonts w:cstheme="minorHAnsi"/>
                <w:sz w:val="20"/>
                <w:szCs w:val="20"/>
              </w:rPr>
            </w:pPr>
          </w:p>
          <w:p w14:paraId="597C447D" w14:textId="77777777" w:rsidR="00882F2C" w:rsidRPr="00A56D00" w:rsidRDefault="00882F2C" w:rsidP="00CF53D4">
            <w:pPr>
              <w:rPr>
                <w:rFonts w:cstheme="minorHAnsi"/>
                <w:sz w:val="20"/>
                <w:szCs w:val="20"/>
              </w:rPr>
            </w:pPr>
          </w:p>
          <w:p w14:paraId="0F5C6307" w14:textId="77777777" w:rsidR="00882F2C" w:rsidRPr="00A56D00" w:rsidRDefault="00882F2C" w:rsidP="00CF53D4">
            <w:pPr>
              <w:rPr>
                <w:rFonts w:cstheme="minorHAnsi"/>
                <w:sz w:val="20"/>
                <w:szCs w:val="20"/>
              </w:rPr>
            </w:pPr>
            <w:r w:rsidRPr="00A56D00">
              <w:rPr>
                <w:rFonts w:cstheme="minorHAnsi"/>
                <w:sz w:val="20"/>
                <w:szCs w:val="20"/>
              </w:rPr>
              <w:t>‘</w:t>
            </w:r>
            <w:proofErr w:type="gramStart"/>
            <w:r w:rsidRPr="00A56D00">
              <w:rPr>
                <w:rFonts w:cstheme="minorHAnsi"/>
                <w:sz w:val="20"/>
                <w:szCs w:val="20"/>
              </w:rPr>
              <w:t>without</w:t>
            </w:r>
            <w:proofErr w:type="gramEnd"/>
            <w:r w:rsidRPr="00A56D00">
              <w:rPr>
                <w:rFonts w:cstheme="minorHAnsi"/>
                <w:sz w:val="20"/>
                <w:szCs w:val="20"/>
              </w:rPr>
              <w:t>, I couldn’t live’</w:t>
            </w:r>
          </w:p>
          <w:p w14:paraId="664FC16F" w14:textId="77777777" w:rsidR="00882F2C" w:rsidRPr="00A56D00" w:rsidRDefault="00882F2C" w:rsidP="00CF53D4">
            <w:pPr>
              <w:rPr>
                <w:rFonts w:cstheme="minorHAnsi"/>
                <w:sz w:val="20"/>
                <w:szCs w:val="20"/>
              </w:rPr>
            </w:pPr>
          </w:p>
          <w:p w14:paraId="1CBC9A84" w14:textId="77777777" w:rsidR="00882F2C" w:rsidRPr="00A56D00" w:rsidRDefault="00882F2C" w:rsidP="00CF53D4">
            <w:pPr>
              <w:rPr>
                <w:rFonts w:cstheme="minorHAnsi"/>
                <w:sz w:val="20"/>
                <w:szCs w:val="20"/>
              </w:rPr>
            </w:pPr>
            <w:r w:rsidRPr="00A56D00">
              <w:rPr>
                <w:rFonts w:cstheme="minorHAnsi"/>
                <w:sz w:val="20"/>
                <w:szCs w:val="20"/>
              </w:rPr>
              <w:t>"I can stay with my wife"</w:t>
            </w:r>
          </w:p>
        </w:tc>
      </w:tr>
      <w:tr w:rsidR="00882F2C" w:rsidRPr="00A56D00" w14:paraId="3B465EF0" w14:textId="77777777" w:rsidTr="00CF53D4">
        <w:tc>
          <w:tcPr>
            <w:tcW w:w="1697" w:type="dxa"/>
          </w:tcPr>
          <w:p w14:paraId="7C4642E1" w14:textId="77777777" w:rsidR="00882F2C" w:rsidRPr="00A56D00" w:rsidRDefault="00882F2C" w:rsidP="00CF53D4">
            <w:pPr>
              <w:rPr>
                <w:rFonts w:cstheme="minorHAnsi"/>
                <w:sz w:val="20"/>
                <w:szCs w:val="20"/>
              </w:rPr>
            </w:pPr>
          </w:p>
        </w:tc>
        <w:tc>
          <w:tcPr>
            <w:tcW w:w="1570" w:type="dxa"/>
          </w:tcPr>
          <w:p w14:paraId="2E80AD12" w14:textId="77777777" w:rsidR="00882F2C" w:rsidRPr="00A56D00" w:rsidRDefault="00882F2C" w:rsidP="00CF53D4">
            <w:pPr>
              <w:rPr>
                <w:rFonts w:cstheme="minorHAnsi"/>
                <w:sz w:val="20"/>
                <w:szCs w:val="20"/>
              </w:rPr>
            </w:pPr>
          </w:p>
        </w:tc>
        <w:tc>
          <w:tcPr>
            <w:tcW w:w="2459" w:type="dxa"/>
          </w:tcPr>
          <w:p w14:paraId="197C64C8" w14:textId="77777777" w:rsidR="00882F2C" w:rsidRPr="00A56D00" w:rsidRDefault="00882F2C" w:rsidP="00CF53D4">
            <w:pPr>
              <w:rPr>
                <w:rFonts w:cstheme="minorHAnsi"/>
                <w:sz w:val="20"/>
                <w:szCs w:val="20"/>
              </w:rPr>
            </w:pPr>
          </w:p>
        </w:tc>
        <w:tc>
          <w:tcPr>
            <w:tcW w:w="4179" w:type="dxa"/>
          </w:tcPr>
          <w:p w14:paraId="54330CF2" w14:textId="77777777" w:rsidR="00882F2C" w:rsidRPr="00A56D00" w:rsidRDefault="00882F2C" w:rsidP="00CF53D4">
            <w:pPr>
              <w:rPr>
                <w:rFonts w:cstheme="minorHAnsi"/>
                <w:sz w:val="20"/>
                <w:szCs w:val="20"/>
              </w:rPr>
            </w:pPr>
            <w:r w:rsidRPr="00A56D00">
              <w:rPr>
                <w:rFonts w:cstheme="minorHAnsi"/>
                <w:sz w:val="20"/>
                <w:szCs w:val="20"/>
              </w:rPr>
              <w:t>QOL: The results of the SAT-P test indicated that mean scores for psychological and physical functioning are relatively low, as expected for patients with chronic illnesses with poor prognosis. However, the mean satisfaction score for social functionality is much higher.</w:t>
            </w:r>
          </w:p>
        </w:tc>
        <w:tc>
          <w:tcPr>
            <w:tcW w:w="4043" w:type="dxa"/>
          </w:tcPr>
          <w:p w14:paraId="458473E9" w14:textId="77777777" w:rsidR="00882F2C" w:rsidRPr="00A56D00" w:rsidRDefault="00882F2C" w:rsidP="00CF53D4">
            <w:pPr>
              <w:rPr>
                <w:rFonts w:cstheme="minorHAnsi"/>
                <w:sz w:val="20"/>
                <w:szCs w:val="20"/>
              </w:rPr>
            </w:pPr>
          </w:p>
          <w:p w14:paraId="055F7CE0" w14:textId="77777777" w:rsidR="00882F2C" w:rsidRPr="00A56D00" w:rsidRDefault="00882F2C" w:rsidP="00CF53D4">
            <w:pPr>
              <w:rPr>
                <w:rFonts w:cstheme="minorHAnsi"/>
                <w:sz w:val="20"/>
                <w:szCs w:val="20"/>
              </w:rPr>
            </w:pPr>
          </w:p>
        </w:tc>
      </w:tr>
      <w:tr w:rsidR="00882F2C" w:rsidRPr="00A56D00" w14:paraId="6F7E4F84" w14:textId="77777777" w:rsidTr="00CF53D4">
        <w:tc>
          <w:tcPr>
            <w:tcW w:w="1697" w:type="dxa"/>
          </w:tcPr>
          <w:p w14:paraId="15B4F48F" w14:textId="77777777" w:rsidR="00882F2C" w:rsidRPr="00A56D00" w:rsidRDefault="00882F2C" w:rsidP="00CF53D4">
            <w:pPr>
              <w:rPr>
                <w:rFonts w:cstheme="minorHAnsi"/>
                <w:sz w:val="20"/>
                <w:szCs w:val="20"/>
              </w:rPr>
            </w:pPr>
            <w:proofErr w:type="spellStart"/>
            <w:r w:rsidRPr="00A56D00">
              <w:rPr>
                <w:rFonts w:cstheme="minorHAnsi"/>
                <w:sz w:val="20"/>
                <w:szCs w:val="20"/>
              </w:rPr>
              <w:t>Loeser</w:t>
            </w:r>
            <w:proofErr w:type="spellEnd"/>
            <w:r w:rsidRPr="00A56D00">
              <w:rPr>
                <w:rFonts w:cstheme="minorHAnsi"/>
                <w:sz w:val="20"/>
                <w:szCs w:val="20"/>
              </w:rPr>
              <w:t xml:space="preserve"> et al (2003)</w:t>
            </w:r>
          </w:p>
        </w:tc>
        <w:tc>
          <w:tcPr>
            <w:tcW w:w="1570" w:type="dxa"/>
          </w:tcPr>
          <w:p w14:paraId="5A16BD7B" w14:textId="77777777" w:rsidR="00882F2C" w:rsidRPr="00A56D00" w:rsidRDefault="00882F2C" w:rsidP="00CF53D4">
            <w:pPr>
              <w:rPr>
                <w:rFonts w:cstheme="minorHAnsi"/>
                <w:sz w:val="20"/>
                <w:szCs w:val="20"/>
              </w:rPr>
            </w:pPr>
            <w:r w:rsidRPr="00A56D00">
              <w:rPr>
                <w:rFonts w:cstheme="minorHAnsi"/>
                <w:sz w:val="20"/>
                <w:szCs w:val="20"/>
              </w:rPr>
              <w:t>Germany</w:t>
            </w:r>
          </w:p>
        </w:tc>
        <w:tc>
          <w:tcPr>
            <w:tcW w:w="2459" w:type="dxa"/>
          </w:tcPr>
          <w:p w14:paraId="357005FB" w14:textId="77777777" w:rsidR="00882F2C" w:rsidRPr="00A56D00" w:rsidRDefault="00882F2C" w:rsidP="00CF53D4">
            <w:pPr>
              <w:rPr>
                <w:rFonts w:cstheme="minorHAnsi"/>
                <w:sz w:val="20"/>
                <w:szCs w:val="20"/>
              </w:rPr>
            </w:pPr>
            <w:r w:rsidRPr="00A56D00">
              <w:rPr>
                <w:rFonts w:cstheme="minorHAnsi"/>
                <w:sz w:val="20"/>
                <w:szCs w:val="20"/>
              </w:rPr>
              <w:t>A prospective cross-sectional study with a longitudinal follow-up of 4 months to assess QoL in patients on HEN</w:t>
            </w:r>
          </w:p>
        </w:tc>
        <w:tc>
          <w:tcPr>
            <w:tcW w:w="4179" w:type="dxa"/>
          </w:tcPr>
          <w:p w14:paraId="25A2300C" w14:textId="77777777" w:rsidR="00882F2C" w:rsidRPr="00A56D00" w:rsidRDefault="00882F2C" w:rsidP="00CF53D4">
            <w:pPr>
              <w:rPr>
                <w:rFonts w:cstheme="minorHAnsi"/>
                <w:sz w:val="20"/>
                <w:szCs w:val="20"/>
              </w:rPr>
            </w:pPr>
            <w:r w:rsidRPr="00A56D00">
              <w:rPr>
                <w:rFonts w:cstheme="minorHAnsi"/>
                <w:sz w:val="20"/>
                <w:szCs w:val="20"/>
              </w:rPr>
              <w:t xml:space="preserve">QOL: When compared with the EORTC reference data, functional scales were lower and symptom scales were higher in HEN patients. QOL was significantly reduced in non-competent patients which was obvious for all dimensions of the Spitzer and </w:t>
            </w:r>
            <w:proofErr w:type="spellStart"/>
            <w:r w:rsidRPr="00A56D00">
              <w:rPr>
                <w:rFonts w:cstheme="minorHAnsi"/>
                <w:sz w:val="20"/>
                <w:szCs w:val="20"/>
              </w:rPr>
              <w:t>Karnofsky</w:t>
            </w:r>
            <w:proofErr w:type="spellEnd"/>
            <w:r w:rsidRPr="00A56D00">
              <w:rPr>
                <w:rFonts w:cstheme="minorHAnsi"/>
                <w:sz w:val="20"/>
                <w:szCs w:val="20"/>
              </w:rPr>
              <w:t xml:space="preserve"> indices (activity, daily living, health, support, outlook).</w:t>
            </w:r>
          </w:p>
          <w:p w14:paraId="5A1A093C" w14:textId="77777777" w:rsidR="00882F2C" w:rsidRPr="00A56D00" w:rsidRDefault="00882F2C" w:rsidP="00CF53D4">
            <w:pPr>
              <w:rPr>
                <w:rFonts w:cstheme="minorHAnsi"/>
                <w:sz w:val="20"/>
                <w:szCs w:val="20"/>
              </w:rPr>
            </w:pPr>
            <w:r w:rsidRPr="00A56D00">
              <w:rPr>
                <w:rFonts w:cstheme="minorHAnsi"/>
                <w:sz w:val="20"/>
                <w:szCs w:val="20"/>
              </w:rPr>
              <w:t>Study 2 (longitudinal over 4 months):</w:t>
            </w:r>
          </w:p>
          <w:p w14:paraId="33E12A93" w14:textId="77777777" w:rsidR="00882F2C" w:rsidRPr="00A56D00" w:rsidRDefault="00882F2C" w:rsidP="00CF53D4">
            <w:pPr>
              <w:rPr>
                <w:rFonts w:cstheme="minorHAnsi"/>
                <w:sz w:val="20"/>
                <w:szCs w:val="20"/>
              </w:rPr>
            </w:pPr>
            <w:r w:rsidRPr="00A56D00">
              <w:rPr>
                <w:rFonts w:cstheme="minorHAnsi"/>
                <w:sz w:val="20"/>
                <w:szCs w:val="20"/>
              </w:rPr>
              <w:t xml:space="preserve">In a longitudinal analysis over 4 months, some aspects of QoL improved. The Spitzer and </w:t>
            </w:r>
            <w:proofErr w:type="spellStart"/>
            <w:r w:rsidRPr="00A56D00">
              <w:rPr>
                <w:rFonts w:cstheme="minorHAnsi"/>
                <w:sz w:val="20"/>
                <w:szCs w:val="20"/>
              </w:rPr>
              <w:t>Karnofsky</w:t>
            </w:r>
            <w:proofErr w:type="spellEnd"/>
            <w:r w:rsidRPr="00A56D00">
              <w:rPr>
                <w:rFonts w:cstheme="minorHAnsi"/>
                <w:sz w:val="20"/>
                <w:szCs w:val="20"/>
              </w:rPr>
              <w:t xml:space="preserve"> indices improved in competent and non-competent patients, however, a lower QOL was observed in non-competent than in </w:t>
            </w:r>
            <w:r w:rsidRPr="00A56D00">
              <w:rPr>
                <w:rFonts w:cstheme="minorHAnsi"/>
                <w:sz w:val="20"/>
                <w:szCs w:val="20"/>
              </w:rPr>
              <w:lastRenderedPageBreak/>
              <w:t xml:space="preserve">competent patients. EORTC scores (measured in competent patients only) increased in terms of physical, </w:t>
            </w:r>
            <w:proofErr w:type="gramStart"/>
            <w:r w:rsidRPr="00A56D00">
              <w:rPr>
                <w:rFonts w:cstheme="minorHAnsi"/>
                <w:sz w:val="20"/>
                <w:szCs w:val="20"/>
              </w:rPr>
              <w:t>emotional</w:t>
            </w:r>
            <w:proofErr w:type="gramEnd"/>
            <w:r w:rsidRPr="00A56D00">
              <w:rPr>
                <w:rFonts w:cstheme="minorHAnsi"/>
                <w:sz w:val="20"/>
                <w:szCs w:val="20"/>
              </w:rPr>
              <w:t xml:space="preserve"> and global functional scales but decreased in terms of social functioning.</w:t>
            </w:r>
          </w:p>
        </w:tc>
        <w:tc>
          <w:tcPr>
            <w:tcW w:w="4043" w:type="dxa"/>
          </w:tcPr>
          <w:p w14:paraId="602B12D5" w14:textId="77777777" w:rsidR="00882F2C" w:rsidRPr="00A56D00" w:rsidRDefault="00882F2C" w:rsidP="00CF53D4">
            <w:pPr>
              <w:rPr>
                <w:rFonts w:cstheme="minorHAnsi"/>
                <w:sz w:val="20"/>
                <w:szCs w:val="20"/>
              </w:rPr>
            </w:pPr>
          </w:p>
        </w:tc>
      </w:tr>
      <w:tr w:rsidR="00882F2C" w:rsidRPr="00A56D00" w14:paraId="37F7F435" w14:textId="77777777" w:rsidTr="00CF53D4">
        <w:tc>
          <w:tcPr>
            <w:tcW w:w="1697" w:type="dxa"/>
          </w:tcPr>
          <w:p w14:paraId="5BBD687F" w14:textId="77777777" w:rsidR="00882F2C" w:rsidRPr="00A56D00" w:rsidRDefault="00882F2C" w:rsidP="00CF53D4">
            <w:pPr>
              <w:rPr>
                <w:rFonts w:cstheme="minorHAnsi"/>
                <w:sz w:val="20"/>
                <w:szCs w:val="20"/>
              </w:rPr>
            </w:pPr>
            <w:r w:rsidRPr="00A56D00">
              <w:rPr>
                <w:rFonts w:cstheme="minorHAnsi"/>
                <w:sz w:val="20"/>
                <w:szCs w:val="20"/>
              </w:rPr>
              <w:t>McNamara et al (2001)</w:t>
            </w:r>
          </w:p>
        </w:tc>
        <w:tc>
          <w:tcPr>
            <w:tcW w:w="1570" w:type="dxa"/>
          </w:tcPr>
          <w:p w14:paraId="0C5EBF8F" w14:textId="77777777" w:rsidR="00882F2C" w:rsidRPr="00A56D00" w:rsidRDefault="00882F2C" w:rsidP="00CF53D4">
            <w:pPr>
              <w:rPr>
                <w:rFonts w:cstheme="minorHAnsi"/>
                <w:sz w:val="20"/>
                <w:szCs w:val="20"/>
              </w:rPr>
            </w:pPr>
            <w:r w:rsidRPr="00A56D00">
              <w:rPr>
                <w:rFonts w:cstheme="minorHAnsi"/>
                <w:sz w:val="20"/>
                <w:szCs w:val="20"/>
              </w:rPr>
              <w:t>Ireland</w:t>
            </w:r>
          </w:p>
        </w:tc>
        <w:tc>
          <w:tcPr>
            <w:tcW w:w="2459" w:type="dxa"/>
          </w:tcPr>
          <w:p w14:paraId="29E7883F" w14:textId="77777777" w:rsidR="00882F2C" w:rsidRPr="00A56D00" w:rsidRDefault="00882F2C" w:rsidP="00CF53D4">
            <w:pPr>
              <w:rPr>
                <w:rFonts w:cstheme="minorHAnsi"/>
                <w:sz w:val="20"/>
                <w:szCs w:val="20"/>
              </w:rPr>
            </w:pPr>
            <w:r w:rsidRPr="00A56D00">
              <w:rPr>
                <w:rFonts w:cstheme="minorHAnsi"/>
                <w:sz w:val="20"/>
                <w:szCs w:val="20"/>
              </w:rPr>
              <w:t>Assess the contribution of HCPs to the care of patients on HEN</w:t>
            </w:r>
          </w:p>
        </w:tc>
        <w:tc>
          <w:tcPr>
            <w:tcW w:w="4179" w:type="dxa"/>
          </w:tcPr>
          <w:p w14:paraId="3262B4AD" w14:textId="77777777" w:rsidR="00882F2C" w:rsidRPr="00A56D00" w:rsidRDefault="00882F2C" w:rsidP="00CF53D4">
            <w:pPr>
              <w:rPr>
                <w:rFonts w:cstheme="minorHAnsi"/>
                <w:sz w:val="20"/>
                <w:szCs w:val="20"/>
              </w:rPr>
            </w:pPr>
            <w:r w:rsidRPr="00A56D00">
              <w:rPr>
                <w:rFonts w:cstheme="minorHAnsi"/>
                <w:b/>
                <w:bCs/>
                <w:sz w:val="20"/>
                <w:szCs w:val="20"/>
              </w:rPr>
              <w:t>GPs:</w:t>
            </w:r>
            <w:r w:rsidRPr="00A56D00">
              <w:rPr>
                <w:rFonts w:cstheme="minorHAnsi"/>
                <w:sz w:val="20"/>
                <w:szCs w:val="20"/>
              </w:rPr>
              <w:t xml:space="preserve"> 24% of GPs had one or more enterally tube-fed patients in their care at that time, with 65% reporting having had such a patient in their care in the past. GPs who attended nursing homes (77% of the responders) had significantly more exposure to tube feeding than those who did not. None of the GPs who did not attend nursing homes had adult patients on enteral tube feeding in their care at the time of the survey.</w:t>
            </w:r>
          </w:p>
          <w:p w14:paraId="0FBA17E2" w14:textId="77777777" w:rsidR="00882F2C" w:rsidRPr="00A56D00" w:rsidRDefault="00882F2C" w:rsidP="00CF53D4">
            <w:pPr>
              <w:rPr>
                <w:rFonts w:cstheme="minorHAnsi"/>
                <w:b/>
                <w:bCs/>
                <w:sz w:val="20"/>
                <w:szCs w:val="20"/>
              </w:rPr>
            </w:pPr>
            <w:r w:rsidRPr="00A56D00">
              <w:rPr>
                <w:rFonts w:cstheme="minorHAnsi"/>
                <w:b/>
                <w:bCs/>
                <w:sz w:val="20"/>
                <w:szCs w:val="20"/>
              </w:rPr>
              <w:t>Nutrition company employees:</w:t>
            </w:r>
          </w:p>
          <w:p w14:paraId="7132F411" w14:textId="77777777" w:rsidR="00882F2C" w:rsidRPr="00A56D00" w:rsidRDefault="00882F2C" w:rsidP="00CF53D4">
            <w:pPr>
              <w:rPr>
                <w:rFonts w:cstheme="minorHAnsi"/>
                <w:sz w:val="20"/>
                <w:szCs w:val="20"/>
              </w:rPr>
            </w:pPr>
            <w:r w:rsidRPr="00A56D00">
              <w:rPr>
                <w:rFonts w:cstheme="minorHAnsi"/>
                <w:sz w:val="20"/>
                <w:szCs w:val="20"/>
              </w:rPr>
              <w:t xml:space="preserve">Ten company employees (seven dietitians and three nurses) from six different nutrition product companies were interviewed. Representatives described their roles as `educator', `support person', `co-ordinator', `liaison', `nutritional advisor', `facilitator' and `after sales service provider'. The question of inconsistent follow-up of the nutritional care needs of these patients was an area of concern to the company representatives, many of whom described the dilemma facing them when encountering patients experiencing difficulties with their tube feeds. </w:t>
            </w:r>
            <w:proofErr w:type="gramStart"/>
            <w:r w:rsidRPr="00A56D00">
              <w:rPr>
                <w:rFonts w:cstheme="minorHAnsi"/>
                <w:sz w:val="20"/>
                <w:szCs w:val="20"/>
              </w:rPr>
              <w:t>All of</w:t>
            </w:r>
            <w:proofErr w:type="gramEnd"/>
            <w:r w:rsidRPr="00A56D00">
              <w:rPr>
                <w:rFonts w:cstheme="minorHAnsi"/>
                <w:sz w:val="20"/>
                <w:szCs w:val="20"/>
              </w:rPr>
              <w:t xml:space="preserve"> the company representatives recognized that it is inappropriate for them to be involved in nutritional management decisions but stated that they are frequently asked to deal with such issues. Participants believed that the process of discharging and managing patients on HETF needed to be more structured and better co-ordinated with universal protocols and </w:t>
            </w:r>
            <w:r w:rsidRPr="00A56D00">
              <w:rPr>
                <w:rFonts w:cstheme="minorHAnsi"/>
                <w:sz w:val="20"/>
                <w:szCs w:val="20"/>
              </w:rPr>
              <w:lastRenderedPageBreak/>
              <w:t xml:space="preserve">particular individuals (preferably community dietitians) responsible for the nutritional care of patients in the community. Almost all of the company representatives felt that both GPs and PHNs need more education on enteral </w:t>
            </w:r>
            <w:proofErr w:type="gramStart"/>
            <w:r w:rsidRPr="00A56D00">
              <w:rPr>
                <w:rFonts w:cstheme="minorHAnsi"/>
                <w:sz w:val="20"/>
                <w:szCs w:val="20"/>
              </w:rPr>
              <w:t>nutrition, and</w:t>
            </w:r>
            <w:proofErr w:type="gramEnd"/>
            <w:r w:rsidRPr="00A56D00">
              <w:rPr>
                <w:rFonts w:cstheme="minorHAnsi"/>
                <w:sz w:val="20"/>
                <w:szCs w:val="20"/>
              </w:rPr>
              <w:t xml:space="preserve"> regarded this as a priority in the improvement of HETF.</w:t>
            </w:r>
          </w:p>
          <w:p w14:paraId="4ACA2E81" w14:textId="77777777" w:rsidR="00882F2C" w:rsidRPr="00A56D00" w:rsidRDefault="00882F2C" w:rsidP="00CF53D4">
            <w:pPr>
              <w:rPr>
                <w:rFonts w:cstheme="minorHAnsi"/>
                <w:sz w:val="20"/>
                <w:szCs w:val="20"/>
              </w:rPr>
            </w:pPr>
            <w:r w:rsidRPr="00A56D00">
              <w:rPr>
                <w:rFonts w:cstheme="minorHAnsi"/>
                <w:sz w:val="20"/>
                <w:szCs w:val="20"/>
              </w:rPr>
              <w:t>Key finding:</w:t>
            </w:r>
          </w:p>
          <w:p w14:paraId="4966EE4B" w14:textId="77777777" w:rsidR="00882F2C" w:rsidRPr="00A56D00" w:rsidRDefault="00882F2C" w:rsidP="00CF53D4">
            <w:pPr>
              <w:rPr>
                <w:rFonts w:cstheme="minorHAnsi"/>
                <w:sz w:val="20"/>
                <w:szCs w:val="20"/>
              </w:rPr>
            </w:pPr>
            <w:r w:rsidRPr="00A56D00">
              <w:rPr>
                <w:rFonts w:cstheme="minorHAnsi"/>
                <w:sz w:val="20"/>
                <w:szCs w:val="20"/>
              </w:rPr>
              <w:t>Many of the problems faced by patients outlined by the company representatives in this survey (e.g. tube blockages, leaking PEGs), could be dealt with in the community at lesser cost if existing personnel (</w:t>
            </w:r>
            <w:proofErr w:type="spellStart"/>
            <w:r w:rsidRPr="00A56D00">
              <w:rPr>
                <w:rFonts w:cstheme="minorHAnsi"/>
                <w:sz w:val="20"/>
                <w:szCs w:val="20"/>
              </w:rPr>
              <w:t>e.</w:t>
            </w:r>
            <w:proofErr w:type="gramStart"/>
            <w:r w:rsidRPr="00A56D00">
              <w:rPr>
                <w:rFonts w:cstheme="minorHAnsi"/>
                <w:sz w:val="20"/>
                <w:szCs w:val="20"/>
              </w:rPr>
              <w:t>g.PHNs</w:t>
            </w:r>
            <w:proofErr w:type="spellEnd"/>
            <w:proofErr w:type="gramEnd"/>
            <w:r w:rsidRPr="00A56D00">
              <w:rPr>
                <w:rFonts w:cstheme="minorHAnsi"/>
                <w:sz w:val="20"/>
                <w:szCs w:val="20"/>
              </w:rPr>
              <w:t xml:space="preserve">, GPs) were appropriately trained or if additional personnel with specialist experience were available (e.g. dietitians). In view of the considerable difficulty involved in educating </w:t>
            </w:r>
            <w:proofErr w:type="gramStart"/>
            <w:r w:rsidRPr="00A56D00">
              <w:rPr>
                <w:rFonts w:cstheme="minorHAnsi"/>
                <w:sz w:val="20"/>
                <w:szCs w:val="20"/>
              </w:rPr>
              <w:t>a large number of</w:t>
            </w:r>
            <w:proofErr w:type="gramEnd"/>
            <w:r w:rsidRPr="00A56D00">
              <w:rPr>
                <w:rFonts w:cstheme="minorHAnsi"/>
                <w:sz w:val="20"/>
                <w:szCs w:val="20"/>
              </w:rPr>
              <w:t xml:space="preserve"> GPs and PHNs to an appropriate level to deal with relatively few patients each, it would seem more reasonable to consider the need for community dietitians in providing this increasingly needed service.</w:t>
            </w:r>
          </w:p>
        </w:tc>
        <w:tc>
          <w:tcPr>
            <w:tcW w:w="4043" w:type="dxa"/>
          </w:tcPr>
          <w:p w14:paraId="0CD08E83" w14:textId="77777777" w:rsidR="00882F2C" w:rsidRPr="00A56D00" w:rsidRDefault="00882F2C" w:rsidP="00CF53D4">
            <w:pPr>
              <w:rPr>
                <w:rFonts w:cstheme="minorHAnsi"/>
                <w:sz w:val="20"/>
                <w:szCs w:val="20"/>
              </w:rPr>
            </w:pPr>
          </w:p>
        </w:tc>
      </w:tr>
      <w:tr w:rsidR="00882F2C" w:rsidRPr="00A56D00" w14:paraId="79C91D6A" w14:textId="77777777" w:rsidTr="00CF53D4">
        <w:tc>
          <w:tcPr>
            <w:tcW w:w="1697" w:type="dxa"/>
          </w:tcPr>
          <w:p w14:paraId="3E606D12" w14:textId="77777777" w:rsidR="00882F2C" w:rsidRPr="00A56D00" w:rsidRDefault="00882F2C" w:rsidP="00CF53D4">
            <w:pPr>
              <w:rPr>
                <w:rFonts w:cstheme="minorHAnsi"/>
                <w:sz w:val="20"/>
                <w:szCs w:val="20"/>
              </w:rPr>
            </w:pPr>
            <w:r w:rsidRPr="00A56D00">
              <w:rPr>
                <w:rFonts w:cstheme="minorHAnsi"/>
                <w:sz w:val="20"/>
                <w:szCs w:val="20"/>
              </w:rPr>
              <w:t>Roberge et al (2000)</w:t>
            </w:r>
          </w:p>
        </w:tc>
        <w:tc>
          <w:tcPr>
            <w:tcW w:w="1570" w:type="dxa"/>
          </w:tcPr>
          <w:p w14:paraId="144520E3" w14:textId="77777777" w:rsidR="00882F2C" w:rsidRPr="00A56D00" w:rsidRDefault="00882F2C" w:rsidP="00CF53D4">
            <w:pPr>
              <w:rPr>
                <w:rFonts w:cstheme="minorHAnsi"/>
                <w:sz w:val="20"/>
                <w:szCs w:val="20"/>
              </w:rPr>
            </w:pPr>
            <w:r w:rsidRPr="00A56D00">
              <w:rPr>
                <w:rFonts w:cstheme="minorHAnsi"/>
                <w:sz w:val="20"/>
                <w:szCs w:val="20"/>
              </w:rPr>
              <w:t>France</w:t>
            </w:r>
          </w:p>
        </w:tc>
        <w:tc>
          <w:tcPr>
            <w:tcW w:w="2459" w:type="dxa"/>
          </w:tcPr>
          <w:p w14:paraId="3B0B53AC" w14:textId="77777777" w:rsidR="00882F2C" w:rsidRPr="00A56D00" w:rsidRDefault="00882F2C" w:rsidP="00CF53D4">
            <w:pPr>
              <w:rPr>
                <w:rFonts w:cstheme="minorHAnsi"/>
                <w:sz w:val="20"/>
                <w:szCs w:val="20"/>
              </w:rPr>
            </w:pPr>
            <w:r w:rsidRPr="00A56D00">
              <w:rPr>
                <w:rFonts w:cstheme="minorHAnsi"/>
                <w:sz w:val="20"/>
                <w:szCs w:val="20"/>
              </w:rPr>
              <w:t>Evaluate the impact of HEN on QoL of life in patients treated for head and neck or oesophageal cancer</w:t>
            </w:r>
          </w:p>
        </w:tc>
        <w:tc>
          <w:tcPr>
            <w:tcW w:w="4179" w:type="dxa"/>
          </w:tcPr>
          <w:p w14:paraId="3C95B198" w14:textId="77777777" w:rsidR="00882F2C" w:rsidRPr="00A56D00" w:rsidRDefault="00882F2C" w:rsidP="00CF53D4">
            <w:pPr>
              <w:rPr>
                <w:rFonts w:cstheme="minorHAnsi"/>
                <w:sz w:val="20"/>
                <w:szCs w:val="20"/>
              </w:rPr>
            </w:pPr>
            <w:r w:rsidRPr="00A56D00">
              <w:rPr>
                <w:rFonts w:cstheme="minorHAnsi"/>
                <w:sz w:val="20"/>
                <w:szCs w:val="20"/>
              </w:rPr>
              <w:t xml:space="preserve">QOL: Global, physical and social functioning QLQ-C30 scores of QoL improved slightly between assessment at Day 7 of HEN </w:t>
            </w:r>
            <w:proofErr w:type="gramStart"/>
            <w:r w:rsidRPr="00A56D00">
              <w:rPr>
                <w:rFonts w:cstheme="minorHAnsi"/>
                <w:sz w:val="20"/>
                <w:szCs w:val="20"/>
              </w:rPr>
              <w:t>and  Day</w:t>
            </w:r>
            <w:proofErr w:type="gramEnd"/>
            <w:r w:rsidRPr="00A56D00">
              <w:rPr>
                <w:rFonts w:cstheme="minorHAnsi"/>
                <w:sz w:val="20"/>
                <w:szCs w:val="20"/>
              </w:rPr>
              <w:t xml:space="preserve"> 28 however HEN was responsible for not visiting family or close relations in 15% of patients, and not going out in public in 23%.</w:t>
            </w:r>
          </w:p>
          <w:p w14:paraId="55CAF254" w14:textId="77777777" w:rsidR="00882F2C" w:rsidRPr="00A56D00" w:rsidRDefault="00882F2C" w:rsidP="00CF53D4">
            <w:pPr>
              <w:rPr>
                <w:rFonts w:cstheme="minorHAnsi"/>
                <w:sz w:val="20"/>
                <w:szCs w:val="20"/>
              </w:rPr>
            </w:pPr>
          </w:p>
        </w:tc>
        <w:tc>
          <w:tcPr>
            <w:tcW w:w="4043" w:type="dxa"/>
          </w:tcPr>
          <w:p w14:paraId="65BF5FBF" w14:textId="77777777" w:rsidR="00882F2C" w:rsidRPr="00A56D00" w:rsidRDefault="00882F2C" w:rsidP="00CF53D4">
            <w:pPr>
              <w:rPr>
                <w:rFonts w:cstheme="minorHAnsi"/>
                <w:sz w:val="20"/>
                <w:szCs w:val="20"/>
              </w:rPr>
            </w:pPr>
          </w:p>
        </w:tc>
      </w:tr>
      <w:tr w:rsidR="00882F2C" w:rsidRPr="00A56D00" w14:paraId="70C94401" w14:textId="77777777" w:rsidTr="00CF53D4">
        <w:tc>
          <w:tcPr>
            <w:tcW w:w="1697" w:type="dxa"/>
          </w:tcPr>
          <w:p w14:paraId="337A7574" w14:textId="77777777" w:rsidR="00882F2C" w:rsidRPr="00A56D00" w:rsidRDefault="00882F2C" w:rsidP="00CF53D4">
            <w:pPr>
              <w:rPr>
                <w:rFonts w:cstheme="minorHAnsi"/>
                <w:sz w:val="20"/>
                <w:szCs w:val="20"/>
              </w:rPr>
            </w:pPr>
            <w:r w:rsidRPr="00A56D00">
              <w:rPr>
                <w:rFonts w:cstheme="minorHAnsi"/>
                <w:sz w:val="20"/>
                <w:szCs w:val="20"/>
              </w:rPr>
              <w:t>Schneider et al (2000)</w:t>
            </w:r>
          </w:p>
        </w:tc>
        <w:tc>
          <w:tcPr>
            <w:tcW w:w="1570" w:type="dxa"/>
          </w:tcPr>
          <w:p w14:paraId="7BF8A60C" w14:textId="77777777" w:rsidR="00882F2C" w:rsidRPr="00A56D00" w:rsidRDefault="00882F2C" w:rsidP="00CF53D4">
            <w:pPr>
              <w:rPr>
                <w:rFonts w:cstheme="minorHAnsi"/>
                <w:sz w:val="20"/>
                <w:szCs w:val="20"/>
              </w:rPr>
            </w:pPr>
            <w:r w:rsidRPr="00A56D00">
              <w:rPr>
                <w:rFonts w:cstheme="minorHAnsi"/>
                <w:sz w:val="20"/>
                <w:szCs w:val="20"/>
              </w:rPr>
              <w:t>France</w:t>
            </w:r>
          </w:p>
        </w:tc>
        <w:tc>
          <w:tcPr>
            <w:tcW w:w="2459" w:type="dxa"/>
          </w:tcPr>
          <w:p w14:paraId="0D07226F" w14:textId="77777777" w:rsidR="00882F2C" w:rsidRPr="00A56D00" w:rsidRDefault="00882F2C" w:rsidP="00CF53D4">
            <w:pPr>
              <w:rPr>
                <w:rFonts w:cstheme="minorHAnsi"/>
                <w:sz w:val="20"/>
                <w:szCs w:val="20"/>
              </w:rPr>
            </w:pPr>
            <w:r w:rsidRPr="00A56D00">
              <w:rPr>
                <w:rFonts w:cstheme="minorHAnsi"/>
                <w:sz w:val="20"/>
                <w:szCs w:val="20"/>
              </w:rPr>
              <w:t>Assess QoL of patients on long-term HEN and evolution of QoL after initiation of HEN</w:t>
            </w:r>
          </w:p>
        </w:tc>
        <w:tc>
          <w:tcPr>
            <w:tcW w:w="4179" w:type="dxa"/>
          </w:tcPr>
          <w:p w14:paraId="65C0AA67" w14:textId="77777777" w:rsidR="00882F2C" w:rsidRPr="00A56D00" w:rsidRDefault="00882F2C" w:rsidP="00CF53D4">
            <w:pPr>
              <w:rPr>
                <w:rFonts w:cstheme="minorHAnsi"/>
                <w:sz w:val="20"/>
                <w:szCs w:val="20"/>
              </w:rPr>
            </w:pPr>
            <w:r w:rsidRPr="00A56D00">
              <w:rPr>
                <w:rFonts w:cstheme="minorHAnsi"/>
                <w:sz w:val="20"/>
                <w:szCs w:val="20"/>
              </w:rPr>
              <w:t>QOL: EQ-5D and SF-36 scores of HEN patients were lower than reference values. The differences were all statistically significant except for body pain, vitality, and mental health however, a trend towards significance was observed for these last variables.</w:t>
            </w:r>
          </w:p>
          <w:p w14:paraId="2B562675" w14:textId="77777777" w:rsidR="00882F2C" w:rsidRPr="00A56D00" w:rsidRDefault="00882F2C" w:rsidP="00CF53D4">
            <w:pPr>
              <w:rPr>
                <w:rFonts w:cstheme="minorHAnsi"/>
                <w:sz w:val="20"/>
                <w:szCs w:val="20"/>
              </w:rPr>
            </w:pPr>
            <w:r w:rsidRPr="00A56D00">
              <w:rPr>
                <w:rFonts w:cstheme="minorHAnsi"/>
                <w:sz w:val="20"/>
                <w:szCs w:val="20"/>
              </w:rPr>
              <w:lastRenderedPageBreak/>
              <w:t>However, all 38 patients felt that HEN had been very (n = 24), rather (n = 12) or quite (n = 2) beneficial for them. Mental well-being had improved in 17 patients (15 due to HEN), had remained stable in 14 patients (five due to HEN), and had worsened in seven patients (three due to HEN). Changes were more dramatic concerning physical well-being, which had improved in 26 patients (25 due to HEN), was stable in 11 (nine due to HEN) and had worsened in one patient (not due to HEN</w:t>
            </w:r>
          </w:p>
        </w:tc>
        <w:tc>
          <w:tcPr>
            <w:tcW w:w="4043" w:type="dxa"/>
          </w:tcPr>
          <w:p w14:paraId="230E25B5" w14:textId="77777777" w:rsidR="00882F2C" w:rsidRPr="00A56D00" w:rsidRDefault="00882F2C" w:rsidP="00CF53D4">
            <w:pPr>
              <w:rPr>
                <w:rFonts w:cstheme="minorHAnsi"/>
                <w:sz w:val="20"/>
                <w:szCs w:val="20"/>
              </w:rPr>
            </w:pPr>
          </w:p>
        </w:tc>
      </w:tr>
    </w:tbl>
    <w:p w14:paraId="7442BD7E" w14:textId="77777777" w:rsidR="00882F2C" w:rsidRPr="00A56D00" w:rsidRDefault="00882F2C" w:rsidP="00882F2C">
      <w:pPr>
        <w:spacing w:after="0" w:line="240" w:lineRule="auto"/>
        <w:rPr>
          <w:rFonts w:cstheme="minorHAnsi"/>
          <w:sz w:val="20"/>
          <w:szCs w:val="20"/>
        </w:rPr>
      </w:pPr>
      <w:r w:rsidRPr="00A56D00">
        <w:rPr>
          <w:rFonts w:cstheme="minorHAnsi"/>
          <w:b/>
          <w:bCs/>
          <w:sz w:val="20"/>
          <w:szCs w:val="20"/>
        </w:rPr>
        <w:t>Key Themes</w:t>
      </w:r>
    </w:p>
    <w:p w14:paraId="3F6C709A" w14:textId="77777777" w:rsidR="00882F2C" w:rsidRPr="00A56D00" w:rsidRDefault="00882F2C" w:rsidP="00882F2C">
      <w:pPr>
        <w:spacing w:after="0" w:line="240" w:lineRule="auto"/>
        <w:rPr>
          <w:rFonts w:cstheme="minorHAnsi"/>
          <w:sz w:val="20"/>
          <w:szCs w:val="20"/>
        </w:rPr>
      </w:pPr>
      <w:r w:rsidRPr="00A56D00">
        <w:rPr>
          <w:rFonts w:cstheme="minorHAnsi"/>
          <w:sz w:val="20"/>
          <w:szCs w:val="20"/>
        </w:rPr>
        <w:t>IE – Importance of initial education</w:t>
      </w:r>
    </w:p>
    <w:p w14:paraId="3E289817" w14:textId="77777777" w:rsidR="00882F2C" w:rsidRPr="00A56D00" w:rsidRDefault="00882F2C" w:rsidP="00882F2C">
      <w:pPr>
        <w:spacing w:after="0" w:line="240" w:lineRule="auto"/>
        <w:rPr>
          <w:rFonts w:cstheme="minorHAnsi"/>
          <w:sz w:val="20"/>
          <w:szCs w:val="20"/>
        </w:rPr>
      </w:pPr>
      <w:r w:rsidRPr="00A56D00">
        <w:rPr>
          <w:rFonts w:cstheme="minorHAnsi"/>
          <w:sz w:val="20"/>
          <w:szCs w:val="20"/>
        </w:rPr>
        <w:t>IC – Impact of HEN and common complications on daily life</w:t>
      </w:r>
    </w:p>
    <w:p w14:paraId="365F8385" w14:textId="77777777" w:rsidR="00882F2C" w:rsidRPr="00A56D00" w:rsidRDefault="00882F2C" w:rsidP="00882F2C">
      <w:pPr>
        <w:spacing w:after="0" w:line="240" w:lineRule="auto"/>
        <w:rPr>
          <w:rFonts w:cstheme="minorHAnsi"/>
          <w:sz w:val="20"/>
          <w:szCs w:val="20"/>
        </w:rPr>
      </w:pPr>
      <w:r w:rsidRPr="00A56D00">
        <w:rPr>
          <w:rFonts w:cstheme="minorHAnsi"/>
          <w:sz w:val="20"/>
          <w:szCs w:val="20"/>
        </w:rPr>
        <w:t>NS – Need for ongoing support and specialised care</w:t>
      </w:r>
    </w:p>
    <w:p w14:paraId="09456501" w14:textId="77777777" w:rsidR="00882F2C" w:rsidRPr="00A56D00" w:rsidRDefault="00882F2C" w:rsidP="00882F2C">
      <w:pPr>
        <w:spacing w:after="0" w:line="240" w:lineRule="auto"/>
        <w:rPr>
          <w:rFonts w:cstheme="minorHAnsi"/>
          <w:sz w:val="20"/>
          <w:szCs w:val="20"/>
        </w:rPr>
      </w:pPr>
      <w:r w:rsidRPr="00A56D00">
        <w:rPr>
          <w:rFonts w:cstheme="minorHAnsi"/>
          <w:sz w:val="20"/>
          <w:szCs w:val="20"/>
        </w:rPr>
        <w:t>QOL – Quality of life scores</w:t>
      </w:r>
    </w:p>
    <w:p w14:paraId="4640891E" w14:textId="77777777" w:rsidR="00882F2C" w:rsidRPr="00A56D00" w:rsidRDefault="00882F2C" w:rsidP="00882F2C">
      <w:pPr>
        <w:rPr>
          <w:rFonts w:cstheme="minorHAnsi"/>
          <w:sz w:val="20"/>
          <w:szCs w:val="20"/>
        </w:rPr>
      </w:pPr>
    </w:p>
    <w:p w14:paraId="34D90EC1" w14:textId="77777777" w:rsidR="00882F2C" w:rsidRPr="00A56D00" w:rsidRDefault="00882F2C" w:rsidP="00882F2C">
      <w:pPr>
        <w:rPr>
          <w:rStyle w:val="normaltextrun"/>
          <w:rFonts w:cstheme="minorHAnsi"/>
          <w:b/>
          <w:bCs/>
          <w:sz w:val="20"/>
          <w:szCs w:val="20"/>
        </w:rPr>
      </w:pPr>
      <w:r w:rsidRPr="00A56D00">
        <w:rPr>
          <w:rStyle w:val="normaltextrun"/>
          <w:rFonts w:cstheme="minorHAnsi"/>
          <w:b/>
          <w:bCs/>
          <w:sz w:val="20"/>
          <w:szCs w:val="20"/>
        </w:rPr>
        <w:br w:type="page"/>
      </w:r>
    </w:p>
    <w:p w14:paraId="0617C733" w14:textId="77777777" w:rsidR="00882F2C" w:rsidRPr="00A56D00" w:rsidRDefault="00882F2C" w:rsidP="00882F2C">
      <w:pPr>
        <w:pStyle w:val="Heading2"/>
        <w:spacing w:before="0" w:line="360" w:lineRule="auto"/>
        <w:rPr>
          <w:rStyle w:val="normaltextrun"/>
          <w:rFonts w:asciiTheme="minorHAnsi" w:hAnsiTheme="minorHAnsi" w:cstheme="minorHAnsi"/>
          <w:b/>
          <w:bCs/>
          <w:color w:val="auto"/>
          <w:sz w:val="20"/>
          <w:szCs w:val="20"/>
        </w:rPr>
      </w:pPr>
      <w:bookmarkStart w:id="2" w:name="_Toc84267857"/>
      <w:r w:rsidRPr="00A56D00">
        <w:rPr>
          <w:rStyle w:val="normaltextrun"/>
          <w:rFonts w:asciiTheme="minorHAnsi" w:hAnsiTheme="minorHAnsi" w:cstheme="minorHAnsi"/>
          <w:b/>
          <w:bCs/>
          <w:color w:val="auto"/>
          <w:sz w:val="20"/>
          <w:szCs w:val="20"/>
        </w:rPr>
        <w:lastRenderedPageBreak/>
        <w:t>Health Economics of HEN</w:t>
      </w:r>
      <w:bookmarkEnd w:id="2"/>
    </w:p>
    <w:tbl>
      <w:tblPr>
        <w:tblStyle w:val="TableGrid"/>
        <w:tblW w:w="0" w:type="auto"/>
        <w:tblLayout w:type="fixed"/>
        <w:tblLook w:val="04A0" w:firstRow="1" w:lastRow="0" w:firstColumn="1" w:lastColumn="0" w:noHBand="0" w:noVBand="1"/>
      </w:tblPr>
      <w:tblGrid>
        <w:gridCol w:w="1527"/>
        <w:gridCol w:w="1321"/>
        <w:gridCol w:w="1417"/>
        <w:gridCol w:w="2380"/>
        <w:gridCol w:w="3398"/>
        <w:gridCol w:w="3907"/>
      </w:tblGrid>
      <w:tr w:rsidR="00882F2C" w:rsidRPr="00A56D00" w14:paraId="0CCF68BA" w14:textId="77777777" w:rsidTr="00CF53D4">
        <w:trPr>
          <w:trHeight w:val="394"/>
        </w:trPr>
        <w:tc>
          <w:tcPr>
            <w:tcW w:w="1527" w:type="dxa"/>
          </w:tcPr>
          <w:p w14:paraId="5941B522"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Author (Year)</w:t>
            </w:r>
          </w:p>
        </w:tc>
        <w:tc>
          <w:tcPr>
            <w:tcW w:w="1321" w:type="dxa"/>
          </w:tcPr>
          <w:p w14:paraId="48CECFBD"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Country</w:t>
            </w:r>
          </w:p>
        </w:tc>
        <w:tc>
          <w:tcPr>
            <w:tcW w:w="1417" w:type="dxa"/>
          </w:tcPr>
          <w:p w14:paraId="41045F33"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Sample Size</w:t>
            </w:r>
          </w:p>
        </w:tc>
        <w:tc>
          <w:tcPr>
            <w:tcW w:w="2380" w:type="dxa"/>
          </w:tcPr>
          <w:p w14:paraId="5FC503B0"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Costing Metrics Used</w:t>
            </w:r>
          </w:p>
        </w:tc>
        <w:tc>
          <w:tcPr>
            <w:tcW w:w="3398" w:type="dxa"/>
          </w:tcPr>
          <w:p w14:paraId="242B60D0"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Costs Saved</w:t>
            </w:r>
          </w:p>
        </w:tc>
        <w:tc>
          <w:tcPr>
            <w:tcW w:w="3907" w:type="dxa"/>
          </w:tcPr>
          <w:p w14:paraId="2F2DD84A" w14:textId="77777777" w:rsidR="00882F2C" w:rsidRPr="00A56D00" w:rsidRDefault="00882F2C" w:rsidP="00CF53D4">
            <w:pPr>
              <w:spacing w:line="259" w:lineRule="auto"/>
              <w:rPr>
                <w:rFonts w:eastAsia="Calibri" w:cstheme="minorHAnsi"/>
                <w:sz w:val="20"/>
                <w:szCs w:val="20"/>
              </w:rPr>
            </w:pPr>
            <w:r w:rsidRPr="00A56D00">
              <w:rPr>
                <w:rFonts w:eastAsia="Calibri" w:cstheme="minorHAnsi"/>
                <w:b/>
                <w:bCs/>
                <w:sz w:val="20"/>
                <w:szCs w:val="20"/>
              </w:rPr>
              <w:t>Notes</w:t>
            </w:r>
          </w:p>
        </w:tc>
      </w:tr>
      <w:tr w:rsidR="00882F2C" w:rsidRPr="00A56D00" w14:paraId="31DEE4EE" w14:textId="77777777" w:rsidTr="00CF53D4">
        <w:trPr>
          <w:trHeight w:val="345"/>
        </w:trPr>
        <w:tc>
          <w:tcPr>
            <w:tcW w:w="1527" w:type="dxa"/>
          </w:tcPr>
          <w:p w14:paraId="0BF152E2" w14:textId="77777777" w:rsidR="00882F2C" w:rsidRPr="00A56D00" w:rsidRDefault="00882F2C" w:rsidP="00CF53D4">
            <w:pPr>
              <w:spacing w:line="259" w:lineRule="auto"/>
              <w:rPr>
                <w:rFonts w:eastAsia="Calibri" w:cstheme="minorHAnsi"/>
                <w:sz w:val="20"/>
                <w:szCs w:val="20"/>
              </w:rPr>
            </w:pPr>
            <w:proofErr w:type="spellStart"/>
            <w:r w:rsidRPr="00A56D00">
              <w:rPr>
                <w:rFonts w:eastAsia="Calibri" w:cstheme="minorHAnsi"/>
                <w:sz w:val="20"/>
                <w:szCs w:val="20"/>
              </w:rPr>
              <w:t>Dinenage</w:t>
            </w:r>
            <w:proofErr w:type="spellEnd"/>
            <w:r w:rsidRPr="00A56D00">
              <w:rPr>
                <w:rFonts w:eastAsia="Calibri" w:cstheme="minorHAnsi"/>
                <w:sz w:val="20"/>
                <w:szCs w:val="20"/>
              </w:rPr>
              <w:t xml:space="preserve"> et al (2015)</w:t>
            </w:r>
          </w:p>
        </w:tc>
        <w:tc>
          <w:tcPr>
            <w:tcW w:w="1321" w:type="dxa"/>
          </w:tcPr>
          <w:p w14:paraId="44055B2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UK</w:t>
            </w:r>
          </w:p>
        </w:tc>
        <w:tc>
          <w:tcPr>
            <w:tcW w:w="1417" w:type="dxa"/>
          </w:tcPr>
          <w:p w14:paraId="1C85CF37"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70</w:t>
            </w:r>
          </w:p>
          <w:p w14:paraId="546B3CB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t>
            </w:r>
            <w:r w:rsidRPr="00A56D00">
              <w:rPr>
                <w:rFonts w:eastAsia="Calibri" w:cstheme="minorHAnsi"/>
                <w:i/>
                <w:iCs/>
                <w:sz w:val="20"/>
                <w:szCs w:val="20"/>
              </w:rPr>
              <w:t>n</w:t>
            </w:r>
            <w:r w:rsidRPr="00A56D00">
              <w:rPr>
                <w:rFonts w:eastAsia="Calibri" w:cstheme="minorHAnsi"/>
                <w:sz w:val="20"/>
                <w:szCs w:val="20"/>
              </w:rPr>
              <w:t>28 male)</w:t>
            </w:r>
          </w:p>
          <w:p w14:paraId="3105C447" w14:textId="77777777" w:rsidR="00882F2C" w:rsidRPr="00A56D00" w:rsidRDefault="00882F2C" w:rsidP="00CF53D4">
            <w:pPr>
              <w:spacing w:line="259" w:lineRule="auto"/>
              <w:rPr>
                <w:rFonts w:eastAsia="Calibri" w:cstheme="minorHAnsi"/>
                <w:sz w:val="20"/>
                <w:szCs w:val="20"/>
              </w:rPr>
            </w:pPr>
          </w:p>
        </w:tc>
        <w:tc>
          <w:tcPr>
            <w:tcW w:w="2380" w:type="dxa"/>
          </w:tcPr>
          <w:p w14:paraId="4547925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Estimated cost of enteral feed prescription and thickening agents for dysphagia for all patients</w:t>
            </w:r>
          </w:p>
          <w:p w14:paraId="65C4DB94"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Frequency and length of hospital admission and hospital transport costs for ETF related problems for 28 patients in the caseload.</w:t>
            </w:r>
          </w:p>
        </w:tc>
        <w:tc>
          <w:tcPr>
            <w:tcW w:w="3398" w:type="dxa"/>
          </w:tcPr>
          <w:p w14:paraId="4C28B8C6"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For a cohort of 70 patients, the introduction of a HEN Team was associated with crude estimated cost savings of £111,272 over one year. The service cost £84,071 to deliver, giving rise to an estimated net saving of £27,201 to the NHS</w:t>
            </w:r>
          </w:p>
          <w:p w14:paraId="51454F02" w14:textId="77777777" w:rsidR="00882F2C" w:rsidRPr="00A56D00" w:rsidRDefault="00882F2C" w:rsidP="00CF53D4">
            <w:pPr>
              <w:spacing w:line="259" w:lineRule="auto"/>
              <w:rPr>
                <w:rFonts w:eastAsia="Calibri" w:cstheme="minorHAnsi"/>
                <w:sz w:val="20"/>
                <w:szCs w:val="20"/>
              </w:rPr>
            </w:pPr>
          </w:p>
          <w:p w14:paraId="6AF4D9B7"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£45,179 saved on enteral feed prescriptions per year</w:t>
            </w:r>
            <w:r w:rsidRPr="00A56D00">
              <w:rPr>
                <w:rFonts w:eastAsia="Calibri" w:cstheme="minorHAnsi"/>
                <w:sz w:val="20"/>
                <w:szCs w:val="20"/>
                <w:vertAlign w:val="superscript"/>
              </w:rPr>
              <w:t>1</w:t>
            </w:r>
          </w:p>
          <w:p w14:paraId="4E512117" w14:textId="77777777" w:rsidR="00882F2C" w:rsidRPr="00A56D00" w:rsidRDefault="00882F2C" w:rsidP="00CF53D4">
            <w:pPr>
              <w:spacing w:line="259" w:lineRule="auto"/>
              <w:rPr>
                <w:rFonts w:eastAsia="Calibri" w:cstheme="minorHAnsi"/>
                <w:sz w:val="20"/>
                <w:szCs w:val="20"/>
              </w:rPr>
            </w:pPr>
          </w:p>
          <w:p w14:paraId="196F408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£1,278 saved on thickening agents for dysphagia</w:t>
            </w:r>
            <w:r w:rsidRPr="00A56D00">
              <w:rPr>
                <w:rFonts w:eastAsia="Calibri" w:cstheme="minorHAnsi"/>
                <w:sz w:val="20"/>
                <w:szCs w:val="20"/>
                <w:vertAlign w:val="superscript"/>
              </w:rPr>
              <w:t>1</w:t>
            </w:r>
          </w:p>
          <w:p w14:paraId="5C0A63D6" w14:textId="77777777" w:rsidR="00882F2C" w:rsidRPr="00A56D00" w:rsidRDefault="00882F2C" w:rsidP="00CF53D4">
            <w:pPr>
              <w:spacing w:line="259" w:lineRule="auto"/>
              <w:rPr>
                <w:rFonts w:eastAsia="Calibri" w:cstheme="minorHAnsi"/>
                <w:sz w:val="20"/>
                <w:szCs w:val="20"/>
              </w:rPr>
            </w:pPr>
          </w:p>
          <w:p w14:paraId="15A4F3D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£64,341 saved on hospital admission</w:t>
            </w:r>
            <w:r w:rsidRPr="00A56D00">
              <w:rPr>
                <w:rFonts w:eastAsia="Calibri" w:cstheme="minorHAnsi"/>
                <w:sz w:val="20"/>
                <w:szCs w:val="20"/>
                <w:vertAlign w:val="superscript"/>
              </w:rPr>
              <w:t>2</w:t>
            </w:r>
          </w:p>
          <w:p w14:paraId="742A620E" w14:textId="77777777" w:rsidR="00882F2C" w:rsidRPr="00A56D00" w:rsidRDefault="00882F2C" w:rsidP="00CF53D4">
            <w:pPr>
              <w:spacing w:line="259" w:lineRule="auto"/>
              <w:rPr>
                <w:rFonts w:eastAsia="Calibri" w:cstheme="minorHAnsi"/>
                <w:sz w:val="20"/>
                <w:szCs w:val="20"/>
              </w:rPr>
            </w:pPr>
          </w:p>
          <w:p w14:paraId="190097B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£474 saved on hospital transport costs</w:t>
            </w:r>
            <w:r w:rsidRPr="00A56D00">
              <w:rPr>
                <w:rFonts w:eastAsia="Calibri" w:cstheme="minorHAnsi"/>
                <w:sz w:val="20"/>
                <w:szCs w:val="20"/>
                <w:vertAlign w:val="superscript"/>
              </w:rPr>
              <w:t>2</w:t>
            </w:r>
          </w:p>
          <w:p w14:paraId="46C91F39" w14:textId="77777777" w:rsidR="00882F2C" w:rsidRPr="00A56D00" w:rsidRDefault="00882F2C" w:rsidP="00CF53D4">
            <w:pPr>
              <w:spacing w:line="259" w:lineRule="auto"/>
              <w:rPr>
                <w:rFonts w:eastAsia="Calibri" w:cstheme="minorHAnsi"/>
                <w:sz w:val="20"/>
                <w:szCs w:val="20"/>
              </w:rPr>
            </w:pPr>
          </w:p>
        </w:tc>
        <w:tc>
          <w:tcPr>
            <w:tcW w:w="3907" w:type="dxa"/>
          </w:tcPr>
          <w:p w14:paraId="2CBF9C15"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HEN team = dietitian, speech and language therapist, homecare company nurse and community nurse. Aim of team = improve patient experience and quality of nutritional care.</w:t>
            </w:r>
          </w:p>
          <w:p w14:paraId="4DD3AB51" w14:textId="77777777" w:rsidR="00882F2C" w:rsidRPr="00A56D00" w:rsidRDefault="00882F2C" w:rsidP="00CF53D4">
            <w:pPr>
              <w:spacing w:line="259" w:lineRule="auto"/>
              <w:rPr>
                <w:rFonts w:eastAsia="Calibri" w:cstheme="minorHAnsi"/>
                <w:sz w:val="20"/>
                <w:szCs w:val="20"/>
              </w:rPr>
            </w:pPr>
            <w:proofErr w:type="gramStart"/>
            <w:r w:rsidRPr="00A56D00">
              <w:rPr>
                <w:rFonts w:eastAsia="Calibri" w:cstheme="minorHAnsi"/>
                <w:sz w:val="20"/>
                <w:szCs w:val="20"/>
              </w:rPr>
              <w:t>Pre-post evaluation</w:t>
            </w:r>
            <w:proofErr w:type="gramEnd"/>
            <w:r w:rsidRPr="00A56D00">
              <w:rPr>
                <w:rFonts w:eastAsia="Calibri" w:cstheme="minorHAnsi"/>
                <w:sz w:val="20"/>
                <w:szCs w:val="20"/>
              </w:rPr>
              <w:t xml:space="preserve"> of impact of HEN team undertaken. </w:t>
            </w:r>
          </w:p>
          <w:p w14:paraId="4C602C86" w14:textId="77777777" w:rsidR="00882F2C" w:rsidRPr="00A56D00" w:rsidRDefault="00882F2C" w:rsidP="00CF53D4">
            <w:pPr>
              <w:spacing w:line="259" w:lineRule="auto"/>
              <w:rPr>
                <w:rFonts w:eastAsia="Calibri" w:cstheme="minorHAnsi"/>
                <w:sz w:val="20"/>
                <w:szCs w:val="20"/>
              </w:rPr>
            </w:pPr>
          </w:p>
          <w:p w14:paraId="2098F25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Also measured patient satisfaction:</w:t>
            </w:r>
          </w:p>
          <w:p w14:paraId="2694B48A"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Survey returned by </w:t>
            </w:r>
            <w:r w:rsidRPr="00A56D00">
              <w:rPr>
                <w:rFonts w:eastAsia="Calibri" w:cstheme="minorHAnsi"/>
                <w:i/>
                <w:iCs/>
                <w:sz w:val="20"/>
                <w:szCs w:val="20"/>
              </w:rPr>
              <w:t xml:space="preserve">n </w:t>
            </w:r>
            <w:r w:rsidRPr="00A56D00">
              <w:rPr>
                <w:rFonts w:eastAsia="Calibri" w:cstheme="minorHAnsi"/>
                <w:sz w:val="20"/>
                <w:szCs w:val="20"/>
              </w:rPr>
              <w:t>= 14 with 100% of respondents rating service as good or excellent</w:t>
            </w:r>
          </w:p>
        </w:tc>
      </w:tr>
      <w:tr w:rsidR="00882F2C" w:rsidRPr="00A56D00" w14:paraId="7546E10E" w14:textId="77777777" w:rsidTr="00CF53D4">
        <w:trPr>
          <w:trHeight w:val="330"/>
        </w:trPr>
        <w:tc>
          <w:tcPr>
            <w:tcW w:w="1527" w:type="dxa"/>
          </w:tcPr>
          <w:p w14:paraId="4F014D49" w14:textId="77777777" w:rsidR="00882F2C" w:rsidRPr="00A56D00" w:rsidRDefault="00882F2C" w:rsidP="00CF53D4">
            <w:pPr>
              <w:spacing w:line="259" w:lineRule="auto"/>
              <w:rPr>
                <w:rFonts w:eastAsia="Calibri" w:cstheme="minorHAnsi"/>
                <w:sz w:val="20"/>
                <w:szCs w:val="20"/>
              </w:rPr>
            </w:pPr>
            <w:proofErr w:type="spellStart"/>
            <w:r w:rsidRPr="00A56D00">
              <w:rPr>
                <w:rFonts w:eastAsia="Calibri" w:cstheme="minorHAnsi"/>
                <w:sz w:val="20"/>
                <w:szCs w:val="20"/>
              </w:rPr>
              <w:t>Klek</w:t>
            </w:r>
            <w:proofErr w:type="spellEnd"/>
            <w:r w:rsidRPr="00A56D00">
              <w:rPr>
                <w:rFonts w:eastAsia="Calibri" w:cstheme="minorHAnsi"/>
                <w:sz w:val="20"/>
                <w:szCs w:val="20"/>
              </w:rPr>
              <w:t xml:space="preserve"> et al (2014)</w:t>
            </w:r>
          </w:p>
        </w:tc>
        <w:tc>
          <w:tcPr>
            <w:tcW w:w="1321" w:type="dxa"/>
          </w:tcPr>
          <w:p w14:paraId="7FFEC6A7"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Poland</w:t>
            </w:r>
          </w:p>
        </w:tc>
        <w:tc>
          <w:tcPr>
            <w:tcW w:w="1417" w:type="dxa"/>
          </w:tcPr>
          <w:p w14:paraId="6C17EC67"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314</w:t>
            </w:r>
          </w:p>
          <w:p w14:paraId="6CD50F72"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t>
            </w:r>
            <w:r w:rsidRPr="00A56D00">
              <w:rPr>
                <w:rFonts w:eastAsia="Calibri" w:cstheme="minorHAnsi"/>
                <w:i/>
                <w:iCs/>
                <w:sz w:val="20"/>
                <w:szCs w:val="20"/>
              </w:rPr>
              <w:t>n</w:t>
            </w:r>
            <w:r w:rsidRPr="00A56D00">
              <w:rPr>
                <w:rFonts w:eastAsia="Calibri" w:cstheme="minorHAnsi"/>
                <w:sz w:val="20"/>
                <w:szCs w:val="20"/>
              </w:rPr>
              <w:t>163 male)</w:t>
            </w:r>
          </w:p>
          <w:p w14:paraId="44BE7523" w14:textId="77777777" w:rsidR="00882F2C" w:rsidRPr="00A56D00" w:rsidRDefault="00882F2C" w:rsidP="00CF53D4">
            <w:pPr>
              <w:spacing w:line="259" w:lineRule="auto"/>
              <w:rPr>
                <w:rFonts w:eastAsia="Calibri" w:cstheme="minorHAnsi"/>
                <w:sz w:val="20"/>
                <w:szCs w:val="20"/>
              </w:rPr>
            </w:pPr>
          </w:p>
        </w:tc>
        <w:tc>
          <w:tcPr>
            <w:tcW w:w="2380" w:type="dxa"/>
          </w:tcPr>
          <w:p w14:paraId="59A088C5"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hospital admissions</w:t>
            </w:r>
          </w:p>
          <w:p w14:paraId="7EABCB39"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Length of hospital stay </w:t>
            </w:r>
          </w:p>
          <w:p w14:paraId="1FA04BD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Costs of hospitalisation</w:t>
            </w:r>
          </w:p>
        </w:tc>
        <w:tc>
          <w:tcPr>
            <w:tcW w:w="3398" w:type="dxa"/>
          </w:tcPr>
          <w:p w14:paraId="638AFE07"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Mean annual costs of hospitalisation in adults (</w:t>
            </w:r>
            <w:r w:rsidRPr="00A56D00">
              <w:rPr>
                <w:rFonts w:eastAsia="Calibri" w:cstheme="minorHAnsi"/>
                <w:i/>
                <w:iCs/>
                <w:sz w:val="20"/>
                <w:szCs w:val="20"/>
              </w:rPr>
              <w:t>n</w:t>
            </w:r>
            <w:r w:rsidRPr="00A56D00">
              <w:rPr>
                <w:rFonts w:eastAsia="Calibri" w:cstheme="minorHAnsi"/>
                <w:sz w:val="20"/>
                <w:szCs w:val="20"/>
              </w:rPr>
              <w:t xml:space="preserve"> = 314), US$</w:t>
            </w:r>
          </w:p>
          <w:p w14:paraId="66403AD7"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 xml:space="preserve">5513 </w:t>
            </w:r>
            <w:r w:rsidRPr="00A56D00">
              <w:rPr>
                <w:rFonts w:cstheme="minorHAnsi"/>
                <w:sz w:val="20"/>
                <w:szCs w:val="20"/>
                <w:shd w:val="clear" w:color="auto" w:fill="FFFFFF"/>
              </w:rPr>
              <w:t>±</w:t>
            </w:r>
            <w:r w:rsidRPr="00A56D00">
              <w:rPr>
                <w:rFonts w:cstheme="minorHAnsi"/>
                <w:sz w:val="20"/>
                <w:szCs w:val="20"/>
              </w:rPr>
              <w:t xml:space="preserve"> 9043</w:t>
            </w:r>
          </w:p>
          <w:p w14:paraId="491E445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After HEN: </w:t>
            </w:r>
            <w:r w:rsidRPr="00A56D00">
              <w:rPr>
                <w:rFonts w:cstheme="minorHAnsi"/>
                <w:sz w:val="20"/>
                <w:szCs w:val="20"/>
              </w:rPr>
              <w:t xml:space="preserve">1619 </w:t>
            </w:r>
            <w:r w:rsidRPr="00A56D00">
              <w:rPr>
                <w:rFonts w:cstheme="minorHAnsi"/>
                <w:sz w:val="20"/>
                <w:szCs w:val="20"/>
                <w:shd w:val="clear" w:color="auto" w:fill="FFFFFF"/>
              </w:rPr>
              <w:t>±</w:t>
            </w:r>
            <w:r w:rsidRPr="00A56D00">
              <w:rPr>
                <w:rFonts w:cstheme="minorHAnsi"/>
                <w:sz w:val="20"/>
                <w:szCs w:val="20"/>
              </w:rPr>
              <w:t xml:space="preserve"> 3592</w:t>
            </w:r>
          </w:p>
          <w:p w14:paraId="292F94B8" w14:textId="77777777" w:rsidR="00882F2C" w:rsidRPr="00A56D00" w:rsidRDefault="00882F2C" w:rsidP="00CF53D4">
            <w:pPr>
              <w:spacing w:line="259" w:lineRule="auto"/>
              <w:rPr>
                <w:rFonts w:eastAsia="Calibri" w:cstheme="minorHAnsi"/>
                <w:sz w:val="20"/>
                <w:szCs w:val="20"/>
              </w:rPr>
            </w:pPr>
          </w:p>
          <w:p w14:paraId="216920A6"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Hospital admissions in adults (</w:t>
            </w:r>
            <w:r w:rsidRPr="00A56D00">
              <w:rPr>
                <w:rFonts w:eastAsia="Calibri" w:cstheme="minorHAnsi"/>
                <w:i/>
                <w:iCs/>
                <w:sz w:val="20"/>
                <w:szCs w:val="20"/>
              </w:rPr>
              <w:t xml:space="preserve">n </w:t>
            </w:r>
            <w:r w:rsidRPr="00A56D00">
              <w:rPr>
                <w:rFonts w:eastAsia="Calibri" w:cstheme="minorHAnsi"/>
                <w:sz w:val="20"/>
                <w:szCs w:val="20"/>
              </w:rPr>
              <w:t>= 312)</w:t>
            </w:r>
          </w:p>
          <w:p w14:paraId="591656E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 xml:space="preserve">1.84 </w:t>
            </w:r>
            <w:r w:rsidRPr="00A56D00">
              <w:rPr>
                <w:rFonts w:cstheme="minorHAnsi"/>
                <w:sz w:val="20"/>
                <w:szCs w:val="20"/>
                <w:shd w:val="clear" w:color="auto" w:fill="FFFFFF"/>
              </w:rPr>
              <w:t>±</w:t>
            </w:r>
            <w:r w:rsidRPr="00A56D00">
              <w:rPr>
                <w:rFonts w:cstheme="minorHAnsi"/>
                <w:sz w:val="20"/>
                <w:szCs w:val="20"/>
              </w:rPr>
              <w:t xml:space="preserve"> 2.4</w:t>
            </w:r>
          </w:p>
          <w:p w14:paraId="491174A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After HEN: </w:t>
            </w:r>
            <w:r w:rsidRPr="00A56D00">
              <w:rPr>
                <w:rFonts w:cstheme="minorHAnsi"/>
                <w:sz w:val="20"/>
                <w:szCs w:val="20"/>
              </w:rPr>
              <w:t xml:space="preserve">1.11 </w:t>
            </w:r>
            <w:r w:rsidRPr="00A56D00">
              <w:rPr>
                <w:rFonts w:cstheme="minorHAnsi"/>
                <w:sz w:val="20"/>
                <w:szCs w:val="20"/>
                <w:shd w:val="clear" w:color="auto" w:fill="FFFFFF"/>
              </w:rPr>
              <w:t>±</w:t>
            </w:r>
            <w:r w:rsidRPr="00A56D00">
              <w:rPr>
                <w:rFonts w:cstheme="minorHAnsi"/>
                <w:sz w:val="20"/>
                <w:szCs w:val="20"/>
              </w:rPr>
              <w:t xml:space="preserve"> 2.1</w:t>
            </w:r>
          </w:p>
          <w:p w14:paraId="3DB5DBA0" w14:textId="77777777" w:rsidR="00882F2C" w:rsidRPr="00A56D00" w:rsidRDefault="00882F2C" w:rsidP="00CF53D4">
            <w:pPr>
              <w:spacing w:line="259" w:lineRule="auto"/>
              <w:rPr>
                <w:rFonts w:eastAsia="Calibri" w:cstheme="minorHAnsi"/>
                <w:sz w:val="20"/>
                <w:szCs w:val="20"/>
              </w:rPr>
            </w:pPr>
          </w:p>
          <w:p w14:paraId="04B76D9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Average length of hospital </w:t>
            </w:r>
            <w:proofErr w:type="gramStart"/>
            <w:r w:rsidRPr="00A56D00">
              <w:rPr>
                <w:rFonts w:eastAsia="Calibri" w:cstheme="minorHAnsi"/>
                <w:sz w:val="20"/>
                <w:szCs w:val="20"/>
              </w:rPr>
              <w:t>stay</w:t>
            </w:r>
            <w:proofErr w:type="gramEnd"/>
            <w:r w:rsidRPr="00A56D00">
              <w:rPr>
                <w:rFonts w:eastAsia="Calibri" w:cstheme="minorHAnsi"/>
                <w:sz w:val="20"/>
                <w:szCs w:val="20"/>
              </w:rPr>
              <w:t xml:space="preserve"> in adults (</w:t>
            </w:r>
            <w:r w:rsidRPr="00A56D00">
              <w:rPr>
                <w:rFonts w:eastAsia="Calibri" w:cstheme="minorHAnsi"/>
                <w:i/>
                <w:iCs/>
                <w:sz w:val="20"/>
                <w:szCs w:val="20"/>
              </w:rPr>
              <w:t xml:space="preserve">n </w:t>
            </w:r>
            <w:r w:rsidRPr="00A56D00">
              <w:rPr>
                <w:rFonts w:eastAsia="Calibri" w:cstheme="minorHAnsi"/>
                <w:sz w:val="20"/>
                <w:szCs w:val="20"/>
              </w:rPr>
              <w:t xml:space="preserve">= 312) in days </w:t>
            </w:r>
          </w:p>
          <w:p w14:paraId="0BF49D0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 xml:space="preserve">36.7 </w:t>
            </w:r>
            <w:r w:rsidRPr="00A56D00">
              <w:rPr>
                <w:rFonts w:cstheme="minorHAnsi"/>
                <w:sz w:val="20"/>
                <w:szCs w:val="20"/>
                <w:shd w:val="clear" w:color="auto" w:fill="FFFFFF"/>
              </w:rPr>
              <w:t>±</w:t>
            </w:r>
            <w:r w:rsidRPr="00A56D00">
              <w:rPr>
                <w:rFonts w:cstheme="minorHAnsi"/>
                <w:sz w:val="20"/>
                <w:szCs w:val="20"/>
              </w:rPr>
              <w:t xml:space="preserve"> 74.8</w:t>
            </w:r>
          </w:p>
          <w:p w14:paraId="4239584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lastRenderedPageBreak/>
              <w:t xml:space="preserve">After HEN: </w:t>
            </w:r>
            <w:r w:rsidRPr="00A56D00">
              <w:rPr>
                <w:rFonts w:cstheme="minorHAnsi"/>
                <w:sz w:val="20"/>
                <w:szCs w:val="20"/>
              </w:rPr>
              <w:t xml:space="preserve">9.6 </w:t>
            </w:r>
            <w:r w:rsidRPr="00A56D00">
              <w:rPr>
                <w:rFonts w:cstheme="minorHAnsi"/>
                <w:color w:val="222222"/>
                <w:sz w:val="20"/>
                <w:szCs w:val="20"/>
                <w:shd w:val="clear" w:color="auto" w:fill="FFFFFF"/>
              </w:rPr>
              <w:t>±</w:t>
            </w:r>
            <w:r w:rsidRPr="00A56D00">
              <w:rPr>
                <w:rFonts w:cstheme="minorHAnsi"/>
                <w:sz w:val="20"/>
                <w:szCs w:val="20"/>
              </w:rPr>
              <w:t xml:space="preserve"> 19.4</w:t>
            </w:r>
          </w:p>
          <w:p w14:paraId="2CFC9F38" w14:textId="77777777" w:rsidR="00882F2C" w:rsidRPr="00A56D00" w:rsidRDefault="00882F2C" w:rsidP="00CF53D4">
            <w:pPr>
              <w:spacing w:line="259" w:lineRule="auto"/>
              <w:rPr>
                <w:rFonts w:eastAsia="Calibri" w:cstheme="minorHAnsi"/>
                <w:sz w:val="20"/>
                <w:szCs w:val="20"/>
              </w:rPr>
            </w:pPr>
          </w:p>
          <w:p w14:paraId="7274F1B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 &lt; 0.001)</w:t>
            </w:r>
          </w:p>
        </w:tc>
        <w:tc>
          <w:tcPr>
            <w:tcW w:w="3907" w:type="dxa"/>
          </w:tcPr>
          <w:p w14:paraId="0B6B1464"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lastRenderedPageBreak/>
              <w:t>Two 12-mo periods were compared. During the first period, patients were tube fed a homemade diet and were not monitored; during the other period, patients received HEN. HEN included tube feeding and complex monitoring by a nutrition support team.</w:t>
            </w:r>
          </w:p>
          <w:p w14:paraId="25F9F84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EN significantly reduced the number of hospital admissions and the length of hospital stay. The need for hospitalization was significantly reduced.</w:t>
            </w:r>
          </w:p>
          <w:p w14:paraId="01B76FC1" w14:textId="77777777" w:rsidR="00882F2C" w:rsidRPr="00A56D00" w:rsidRDefault="00882F2C" w:rsidP="00CF53D4">
            <w:pPr>
              <w:spacing w:line="259" w:lineRule="auto"/>
              <w:rPr>
                <w:rFonts w:eastAsia="Calibri" w:cstheme="minorHAnsi"/>
                <w:sz w:val="20"/>
                <w:szCs w:val="20"/>
              </w:rPr>
            </w:pPr>
          </w:p>
        </w:tc>
      </w:tr>
      <w:tr w:rsidR="00882F2C" w:rsidRPr="00A56D00" w14:paraId="1D8FFEF7" w14:textId="77777777" w:rsidTr="00CF53D4">
        <w:trPr>
          <w:trHeight w:val="345"/>
        </w:trPr>
        <w:tc>
          <w:tcPr>
            <w:tcW w:w="1527" w:type="dxa"/>
          </w:tcPr>
          <w:p w14:paraId="3B34BACB" w14:textId="77777777" w:rsidR="00882F2C" w:rsidRPr="00A56D00" w:rsidRDefault="00882F2C" w:rsidP="00CF53D4">
            <w:pPr>
              <w:spacing w:line="259" w:lineRule="auto"/>
              <w:rPr>
                <w:rFonts w:eastAsia="Calibri" w:cstheme="minorHAnsi"/>
                <w:sz w:val="20"/>
                <w:szCs w:val="20"/>
              </w:rPr>
            </w:pPr>
            <w:proofErr w:type="spellStart"/>
            <w:r w:rsidRPr="00A56D00">
              <w:rPr>
                <w:rFonts w:eastAsia="Calibri" w:cstheme="minorHAnsi"/>
                <w:sz w:val="20"/>
                <w:szCs w:val="20"/>
              </w:rPr>
              <w:t>Kurien</w:t>
            </w:r>
            <w:proofErr w:type="spellEnd"/>
            <w:r w:rsidRPr="00A56D00">
              <w:rPr>
                <w:rFonts w:eastAsia="Calibri" w:cstheme="minorHAnsi"/>
                <w:sz w:val="20"/>
                <w:szCs w:val="20"/>
              </w:rPr>
              <w:t xml:space="preserve"> et al (2012)</w:t>
            </w:r>
          </w:p>
        </w:tc>
        <w:tc>
          <w:tcPr>
            <w:tcW w:w="1321" w:type="dxa"/>
          </w:tcPr>
          <w:p w14:paraId="70EECD1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UK</w:t>
            </w:r>
          </w:p>
        </w:tc>
        <w:tc>
          <w:tcPr>
            <w:tcW w:w="1417" w:type="dxa"/>
          </w:tcPr>
          <w:p w14:paraId="143EF946"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313</w:t>
            </w:r>
          </w:p>
          <w:p w14:paraId="4EEDA71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t>
            </w:r>
            <w:r w:rsidRPr="00A56D00">
              <w:rPr>
                <w:rFonts w:eastAsia="Calibri" w:cstheme="minorHAnsi"/>
                <w:i/>
                <w:iCs/>
                <w:sz w:val="20"/>
                <w:szCs w:val="20"/>
              </w:rPr>
              <w:t>n</w:t>
            </w:r>
            <w:r w:rsidRPr="00A56D00">
              <w:rPr>
                <w:rFonts w:eastAsia="Calibri" w:cstheme="minorHAnsi"/>
                <w:sz w:val="20"/>
                <w:szCs w:val="20"/>
              </w:rPr>
              <w:t>163 male)</w:t>
            </w:r>
          </w:p>
        </w:tc>
        <w:tc>
          <w:tcPr>
            <w:tcW w:w="2380" w:type="dxa"/>
          </w:tcPr>
          <w:p w14:paraId="0E3084E3"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HEN team inputs</w:t>
            </w:r>
          </w:p>
          <w:p w14:paraId="7666B647"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tube and stoma-related complications managed by HEN team</w:t>
            </w:r>
          </w:p>
          <w:p w14:paraId="5D6BBC6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hospital admissions avoided</w:t>
            </w:r>
          </w:p>
        </w:tc>
        <w:tc>
          <w:tcPr>
            <w:tcW w:w="3398" w:type="dxa"/>
          </w:tcPr>
          <w:p w14:paraId="09268F03" w14:textId="77777777" w:rsidR="00882F2C" w:rsidRPr="00A56D00" w:rsidRDefault="00882F2C" w:rsidP="00CF53D4">
            <w:pPr>
              <w:spacing w:line="259" w:lineRule="auto"/>
              <w:rPr>
                <w:rFonts w:eastAsia="Calibri" w:cstheme="minorHAnsi"/>
                <w:color w:val="000000" w:themeColor="text1"/>
                <w:sz w:val="20"/>
                <w:szCs w:val="20"/>
              </w:rPr>
            </w:pPr>
            <w:r w:rsidRPr="00A56D00">
              <w:rPr>
                <w:rFonts w:eastAsia="Calibri" w:cstheme="minorHAnsi"/>
                <w:color w:val="000000" w:themeColor="text1"/>
                <w:sz w:val="20"/>
                <w:szCs w:val="20"/>
              </w:rPr>
              <w:t>371 tube and stoma-related complications managed by HEN team.</w:t>
            </w:r>
          </w:p>
          <w:p w14:paraId="27491B4A" w14:textId="77777777" w:rsidR="00882F2C" w:rsidRPr="00A56D00" w:rsidRDefault="00882F2C" w:rsidP="00CF53D4">
            <w:pPr>
              <w:spacing w:line="259" w:lineRule="auto"/>
              <w:rPr>
                <w:rFonts w:eastAsia="Calibri" w:cstheme="minorHAnsi"/>
                <w:color w:val="000000" w:themeColor="text1"/>
                <w:sz w:val="20"/>
                <w:szCs w:val="20"/>
              </w:rPr>
            </w:pPr>
          </w:p>
          <w:p w14:paraId="3AA8BE60" w14:textId="77777777" w:rsidR="00882F2C" w:rsidRPr="00A56D00" w:rsidRDefault="00882F2C" w:rsidP="00CF53D4">
            <w:pPr>
              <w:spacing w:line="259" w:lineRule="auto"/>
              <w:rPr>
                <w:rFonts w:eastAsia="Calibri" w:cstheme="minorHAnsi"/>
                <w:color w:val="000000" w:themeColor="text1"/>
                <w:sz w:val="20"/>
                <w:szCs w:val="20"/>
              </w:rPr>
            </w:pPr>
            <w:r w:rsidRPr="00A56D00">
              <w:rPr>
                <w:rFonts w:eastAsia="Calibri" w:cstheme="minorHAnsi"/>
                <w:color w:val="000000" w:themeColor="text1"/>
                <w:sz w:val="20"/>
                <w:szCs w:val="20"/>
              </w:rPr>
              <w:t>227 hospital admissions avoided due to direct actions taken by HEN team.</w:t>
            </w:r>
          </w:p>
          <w:p w14:paraId="769C3034" w14:textId="77777777" w:rsidR="00882F2C" w:rsidRPr="00A56D00" w:rsidRDefault="00882F2C" w:rsidP="00CF53D4">
            <w:pPr>
              <w:spacing w:line="259" w:lineRule="auto"/>
              <w:rPr>
                <w:rFonts w:eastAsia="Calibri" w:cstheme="minorHAnsi"/>
                <w:sz w:val="20"/>
                <w:szCs w:val="20"/>
              </w:rPr>
            </w:pPr>
          </w:p>
          <w:p w14:paraId="60F2381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When compared with the historical cohort, there is a statistically significant reduction in readmission rates (2% vs 23%) for gastrostomy related complications following the introduction of a dedicated enteral feed dietetic service</w:t>
            </w:r>
          </w:p>
        </w:tc>
        <w:tc>
          <w:tcPr>
            <w:tcW w:w="3907" w:type="dxa"/>
          </w:tcPr>
          <w:p w14:paraId="475EDEA3"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HEN team = two dietitians and a dietetic assistant</w:t>
            </w:r>
          </w:p>
        </w:tc>
      </w:tr>
      <w:tr w:rsidR="00882F2C" w:rsidRPr="00A56D00" w14:paraId="2DC9A1F5" w14:textId="77777777" w:rsidTr="00CF53D4">
        <w:trPr>
          <w:trHeight w:val="330"/>
        </w:trPr>
        <w:tc>
          <w:tcPr>
            <w:tcW w:w="1527" w:type="dxa"/>
          </w:tcPr>
          <w:p w14:paraId="383504DA" w14:textId="77777777" w:rsidR="00882F2C" w:rsidRPr="00A56D00" w:rsidRDefault="00882F2C" w:rsidP="00CF53D4">
            <w:pPr>
              <w:spacing w:line="259" w:lineRule="auto"/>
              <w:rPr>
                <w:rFonts w:eastAsia="Calibri" w:cstheme="minorHAnsi"/>
                <w:sz w:val="20"/>
                <w:szCs w:val="20"/>
              </w:rPr>
            </w:pPr>
            <w:proofErr w:type="spellStart"/>
            <w:r w:rsidRPr="00A56D00">
              <w:rPr>
                <w:rFonts w:eastAsia="Calibri" w:cstheme="minorHAnsi"/>
                <w:sz w:val="20"/>
                <w:szCs w:val="20"/>
              </w:rPr>
              <w:t>Klek</w:t>
            </w:r>
            <w:proofErr w:type="spellEnd"/>
            <w:r w:rsidRPr="00A56D00">
              <w:rPr>
                <w:rFonts w:eastAsia="Calibri" w:cstheme="minorHAnsi"/>
                <w:sz w:val="20"/>
                <w:szCs w:val="20"/>
              </w:rPr>
              <w:t xml:space="preserve"> et al (2011)</w:t>
            </w:r>
          </w:p>
        </w:tc>
        <w:tc>
          <w:tcPr>
            <w:tcW w:w="1321" w:type="dxa"/>
          </w:tcPr>
          <w:p w14:paraId="6507DEB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Poland</w:t>
            </w:r>
          </w:p>
        </w:tc>
        <w:tc>
          <w:tcPr>
            <w:tcW w:w="1417" w:type="dxa"/>
          </w:tcPr>
          <w:p w14:paraId="79F8AD55"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313</w:t>
            </w:r>
          </w:p>
          <w:p w14:paraId="541E8A5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t>
            </w:r>
            <w:r w:rsidRPr="00A56D00">
              <w:rPr>
                <w:rFonts w:eastAsia="Calibri" w:cstheme="minorHAnsi"/>
                <w:i/>
                <w:iCs/>
                <w:sz w:val="20"/>
                <w:szCs w:val="20"/>
              </w:rPr>
              <w:t>n</w:t>
            </w:r>
            <w:r w:rsidRPr="00A56D00">
              <w:rPr>
                <w:rFonts w:eastAsia="Calibri" w:cstheme="minorHAnsi"/>
                <w:sz w:val="20"/>
                <w:szCs w:val="20"/>
              </w:rPr>
              <w:t>100 male)</w:t>
            </w:r>
          </w:p>
          <w:p w14:paraId="32AD29C2" w14:textId="77777777" w:rsidR="00882F2C" w:rsidRPr="00A56D00" w:rsidRDefault="00882F2C" w:rsidP="00CF53D4">
            <w:pPr>
              <w:spacing w:line="259" w:lineRule="auto"/>
              <w:rPr>
                <w:rFonts w:eastAsia="Calibri" w:cstheme="minorHAnsi"/>
                <w:sz w:val="20"/>
                <w:szCs w:val="20"/>
              </w:rPr>
            </w:pPr>
          </w:p>
        </w:tc>
        <w:tc>
          <w:tcPr>
            <w:tcW w:w="2380" w:type="dxa"/>
          </w:tcPr>
          <w:p w14:paraId="3827B345"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length, and cost of hospital admissions</w:t>
            </w:r>
          </w:p>
        </w:tc>
        <w:tc>
          <w:tcPr>
            <w:tcW w:w="3398" w:type="dxa"/>
          </w:tcPr>
          <w:p w14:paraId="661535F5"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Implementation of a specialized HETF care program significantly reduced the number of hospital admissions as well as the length of hospital and ICU stays (Table 2)</w:t>
            </w:r>
          </w:p>
          <w:p w14:paraId="56C3D451" w14:textId="77777777" w:rsidR="00882F2C" w:rsidRPr="00A56D00" w:rsidRDefault="00882F2C" w:rsidP="00CF53D4">
            <w:pPr>
              <w:spacing w:line="259" w:lineRule="auto"/>
              <w:rPr>
                <w:rFonts w:eastAsia="Calibri" w:cstheme="minorHAnsi"/>
                <w:sz w:val="20"/>
                <w:szCs w:val="20"/>
              </w:rPr>
            </w:pPr>
          </w:p>
          <w:p w14:paraId="31B4F8E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Mean number hospital admissions (95% CI)</w:t>
            </w:r>
          </w:p>
          <w:p w14:paraId="06BC6DD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1.09 (0.96 – 1.22)</w:t>
            </w:r>
          </w:p>
          <w:p w14:paraId="05CF6B84"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After HEN: </w:t>
            </w:r>
            <w:r w:rsidRPr="00A56D00">
              <w:rPr>
                <w:rFonts w:cstheme="minorHAnsi"/>
                <w:sz w:val="20"/>
                <w:szCs w:val="20"/>
              </w:rPr>
              <w:t>0.21 (0.14 – 0.28)</w:t>
            </w:r>
          </w:p>
          <w:p w14:paraId="015C4B39" w14:textId="77777777" w:rsidR="00882F2C" w:rsidRPr="00A56D00" w:rsidRDefault="00882F2C" w:rsidP="00CF53D4">
            <w:pPr>
              <w:spacing w:line="259" w:lineRule="auto"/>
              <w:rPr>
                <w:rFonts w:eastAsia="Calibri" w:cstheme="minorHAnsi"/>
                <w:sz w:val="20"/>
                <w:szCs w:val="20"/>
              </w:rPr>
            </w:pPr>
          </w:p>
          <w:p w14:paraId="4CBE79E3"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Mean duration of hospitalisation in days (95% CI)</w:t>
            </w:r>
          </w:p>
          <w:p w14:paraId="4256CB7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20.84 (17.29 – 24.39)</w:t>
            </w:r>
          </w:p>
          <w:p w14:paraId="16C7620E"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After HEN: </w:t>
            </w:r>
            <w:r w:rsidRPr="00A56D00">
              <w:rPr>
                <w:rFonts w:cstheme="minorHAnsi"/>
                <w:sz w:val="20"/>
                <w:szCs w:val="20"/>
              </w:rPr>
              <w:t>3.83 (2.13 – 5.53)</w:t>
            </w:r>
          </w:p>
          <w:p w14:paraId="7A0968CE" w14:textId="77777777" w:rsidR="00882F2C" w:rsidRPr="00A56D00" w:rsidRDefault="00882F2C" w:rsidP="00CF53D4">
            <w:pPr>
              <w:spacing w:line="259" w:lineRule="auto"/>
              <w:rPr>
                <w:rFonts w:eastAsia="Calibri" w:cstheme="minorHAnsi"/>
                <w:sz w:val="20"/>
                <w:szCs w:val="20"/>
              </w:rPr>
            </w:pPr>
          </w:p>
          <w:p w14:paraId="5606B01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Duration of ICU stay in days (95% CI)</w:t>
            </w:r>
          </w:p>
          <w:p w14:paraId="599ECCA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Before HEN: </w:t>
            </w:r>
            <w:r w:rsidRPr="00A56D00">
              <w:rPr>
                <w:rFonts w:cstheme="minorHAnsi"/>
                <w:sz w:val="20"/>
                <w:szCs w:val="20"/>
              </w:rPr>
              <w:t>2.35 (1.32 – 3.37)</w:t>
            </w:r>
          </w:p>
          <w:p w14:paraId="3C1E227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lastRenderedPageBreak/>
              <w:t xml:space="preserve">After HEN: </w:t>
            </w:r>
            <w:r w:rsidRPr="00A56D00">
              <w:rPr>
                <w:rFonts w:cstheme="minorHAnsi"/>
                <w:sz w:val="20"/>
                <w:szCs w:val="20"/>
              </w:rPr>
              <w:t>0.50 (0.09 – 0.92)</w:t>
            </w:r>
          </w:p>
          <w:p w14:paraId="6B1E3754" w14:textId="77777777" w:rsidR="00882F2C" w:rsidRPr="00A56D00" w:rsidRDefault="00882F2C" w:rsidP="00CF53D4">
            <w:pPr>
              <w:spacing w:line="259" w:lineRule="auto"/>
              <w:rPr>
                <w:rFonts w:eastAsia="Calibri" w:cstheme="minorHAnsi"/>
                <w:sz w:val="20"/>
                <w:szCs w:val="20"/>
              </w:rPr>
            </w:pPr>
          </w:p>
          <w:p w14:paraId="013D7F84"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Cost of hospitalisation, US$, per patient (95% CI)</w:t>
            </w:r>
          </w:p>
          <w:p w14:paraId="2F5190F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Before HEN: 764.65 (656.32 – 873.01)</w:t>
            </w:r>
          </w:p>
          <w:p w14:paraId="67324AE9"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After HEN: 142.66 (85.02 – 199.72)</w:t>
            </w:r>
          </w:p>
          <w:p w14:paraId="0F70BE6D" w14:textId="77777777" w:rsidR="00882F2C" w:rsidRPr="00A56D00" w:rsidRDefault="00882F2C" w:rsidP="00CF53D4">
            <w:pPr>
              <w:spacing w:line="259" w:lineRule="auto"/>
              <w:rPr>
                <w:rFonts w:eastAsia="Calibri" w:cstheme="minorHAnsi"/>
                <w:sz w:val="20"/>
                <w:szCs w:val="20"/>
              </w:rPr>
            </w:pPr>
          </w:p>
          <w:p w14:paraId="73461B6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 &lt; .001</w:t>
            </w:r>
          </w:p>
        </w:tc>
        <w:tc>
          <w:tcPr>
            <w:tcW w:w="3907" w:type="dxa"/>
          </w:tcPr>
          <w:p w14:paraId="6397683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lastRenderedPageBreak/>
              <w:t>Two 12-mo periods were compared. During the first period, patients were tube fed a homemade diet and were not monitored; during the other period, patients received HEN. HEN included tube feeding and complex monitoring by a nutrition support team.</w:t>
            </w:r>
          </w:p>
          <w:p w14:paraId="4286A9D4" w14:textId="77777777" w:rsidR="00882F2C" w:rsidRPr="00A56D00" w:rsidRDefault="00882F2C" w:rsidP="00CF53D4">
            <w:pPr>
              <w:spacing w:line="259" w:lineRule="auto"/>
              <w:rPr>
                <w:rFonts w:eastAsia="Calibri" w:cstheme="minorHAnsi"/>
                <w:sz w:val="20"/>
                <w:szCs w:val="20"/>
              </w:rPr>
            </w:pPr>
          </w:p>
          <w:p w14:paraId="432DF04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Implementation of a specialized HETF care program significantly reduced the number of hospital admissions as well as the length of hospital and ICU stays.</w:t>
            </w:r>
          </w:p>
          <w:p w14:paraId="54687BF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The need for hospitalization and ICU admission was significantly reduced while the changes significantly reduced mean annual costs of hospitalization.</w:t>
            </w:r>
          </w:p>
          <w:p w14:paraId="47694D5C" w14:textId="77777777" w:rsidR="00882F2C" w:rsidRPr="00A56D00" w:rsidRDefault="00882F2C" w:rsidP="00CF53D4">
            <w:pPr>
              <w:spacing w:line="259" w:lineRule="auto"/>
              <w:rPr>
                <w:rFonts w:eastAsia="Calibri" w:cstheme="minorHAnsi"/>
                <w:sz w:val="20"/>
                <w:szCs w:val="20"/>
              </w:rPr>
            </w:pPr>
          </w:p>
        </w:tc>
      </w:tr>
      <w:tr w:rsidR="00882F2C" w:rsidRPr="00A56D00" w14:paraId="2C89D4AE" w14:textId="77777777" w:rsidTr="00CF53D4">
        <w:trPr>
          <w:trHeight w:val="345"/>
        </w:trPr>
        <w:tc>
          <w:tcPr>
            <w:tcW w:w="1527" w:type="dxa"/>
          </w:tcPr>
          <w:p w14:paraId="2B56FE2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White et al (2011)</w:t>
            </w:r>
          </w:p>
        </w:tc>
        <w:tc>
          <w:tcPr>
            <w:tcW w:w="1321" w:type="dxa"/>
          </w:tcPr>
          <w:p w14:paraId="4362242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UK</w:t>
            </w:r>
          </w:p>
        </w:tc>
        <w:tc>
          <w:tcPr>
            <w:tcW w:w="1417" w:type="dxa"/>
          </w:tcPr>
          <w:p w14:paraId="27127052"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280</w:t>
            </w:r>
          </w:p>
          <w:p w14:paraId="096BC672" w14:textId="77777777" w:rsidR="00882F2C" w:rsidRPr="00A56D00" w:rsidRDefault="00882F2C" w:rsidP="00CF53D4">
            <w:pPr>
              <w:spacing w:line="259" w:lineRule="auto"/>
              <w:rPr>
                <w:rFonts w:eastAsia="Calibri" w:cstheme="minorHAnsi"/>
                <w:sz w:val="20"/>
                <w:szCs w:val="20"/>
              </w:rPr>
            </w:pPr>
          </w:p>
        </w:tc>
        <w:tc>
          <w:tcPr>
            <w:tcW w:w="2380" w:type="dxa"/>
          </w:tcPr>
          <w:p w14:paraId="06A8AFE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Number of PEG-related complications </w:t>
            </w:r>
          </w:p>
          <w:p w14:paraId="1071C68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hospital admissions avoided</w:t>
            </w:r>
          </w:p>
          <w:p w14:paraId="77DA020E"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replacement balloon gastrostomies</w:t>
            </w:r>
          </w:p>
        </w:tc>
        <w:tc>
          <w:tcPr>
            <w:tcW w:w="3398" w:type="dxa"/>
          </w:tcPr>
          <w:p w14:paraId="018DCB33"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There were 343 PEG-related complications seen be the HEF team during this period. </w:t>
            </w:r>
          </w:p>
          <w:p w14:paraId="37B91D99"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103 patients required new balloon gastrostomies, of which 56 (43%) were performed as an emergency procedure. </w:t>
            </w:r>
          </w:p>
          <w:p w14:paraId="53B147A8"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228 hospital admissions were </w:t>
            </w:r>
            <w:proofErr w:type="gramStart"/>
            <w:r w:rsidRPr="00A56D00">
              <w:rPr>
                <w:rFonts w:eastAsia="Calibri" w:cstheme="minorHAnsi"/>
                <w:sz w:val="20"/>
                <w:szCs w:val="20"/>
              </w:rPr>
              <w:t>definitely avoided</w:t>
            </w:r>
            <w:proofErr w:type="gramEnd"/>
            <w:r w:rsidRPr="00A56D00">
              <w:rPr>
                <w:rFonts w:eastAsia="Calibri" w:cstheme="minorHAnsi"/>
                <w:sz w:val="20"/>
                <w:szCs w:val="20"/>
              </w:rPr>
              <w:t xml:space="preserve"> due to direct actions taken by the HEF team</w:t>
            </w:r>
          </w:p>
        </w:tc>
        <w:tc>
          <w:tcPr>
            <w:tcW w:w="3907" w:type="dxa"/>
          </w:tcPr>
          <w:p w14:paraId="5316CB80" w14:textId="77777777" w:rsidR="00882F2C" w:rsidRPr="00A56D00" w:rsidRDefault="00882F2C" w:rsidP="00CF53D4">
            <w:pPr>
              <w:spacing w:line="259" w:lineRule="auto"/>
              <w:rPr>
                <w:rFonts w:eastAsia="Calibri" w:cstheme="minorHAnsi"/>
                <w:sz w:val="20"/>
                <w:szCs w:val="20"/>
              </w:rPr>
            </w:pPr>
          </w:p>
        </w:tc>
      </w:tr>
      <w:tr w:rsidR="00882F2C" w:rsidRPr="00A56D00" w14:paraId="68E3A133" w14:textId="77777777" w:rsidTr="00CF53D4">
        <w:trPr>
          <w:trHeight w:val="330"/>
        </w:trPr>
        <w:tc>
          <w:tcPr>
            <w:tcW w:w="1527" w:type="dxa"/>
          </w:tcPr>
          <w:p w14:paraId="3EB0CF42"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White et al (2008)</w:t>
            </w:r>
          </w:p>
        </w:tc>
        <w:tc>
          <w:tcPr>
            <w:tcW w:w="1321" w:type="dxa"/>
          </w:tcPr>
          <w:p w14:paraId="200BEBB9"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UK</w:t>
            </w:r>
          </w:p>
        </w:tc>
        <w:tc>
          <w:tcPr>
            <w:tcW w:w="1417" w:type="dxa"/>
          </w:tcPr>
          <w:p w14:paraId="045EDC65"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rPr>
              <w:t>n</w:t>
            </w:r>
            <w:r w:rsidRPr="00A56D00">
              <w:rPr>
                <w:rFonts w:eastAsia="Calibri" w:cstheme="minorHAnsi"/>
                <w:sz w:val="20"/>
                <w:szCs w:val="20"/>
              </w:rPr>
              <w:t>180</w:t>
            </w:r>
          </w:p>
          <w:p w14:paraId="4639CD68" w14:textId="77777777" w:rsidR="00882F2C" w:rsidRPr="00A56D00" w:rsidRDefault="00882F2C" w:rsidP="00CF53D4">
            <w:pPr>
              <w:spacing w:line="259" w:lineRule="auto"/>
              <w:rPr>
                <w:rFonts w:eastAsia="Calibri" w:cstheme="minorHAnsi"/>
                <w:sz w:val="20"/>
                <w:szCs w:val="20"/>
              </w:rPr>
            </w:pPr>
          </w:p>
        </w:tc>
        <w:tc>
          <w:tcPr>
            <w:tcW w:w="2380" w:type="dxa"/>
          </w:tcPr>
          <w:p w14:paraId="3289E9E5"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Number of PEG-related complications </w:t>
            </w:r>
          </w:p>
          <w:p w14:paraId="6FDECB3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hospital admissions avoided</w:t>
            </w:r>
          </w:p>
          <w:p w14:paraId="51279CD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replacement balloon gastrostomies</w:t>
            </w:r>
          </w:p>
        </w:tc>
        <w:tc>
          <w:tcPr>
            <w:tcW w:w="3398" w:type="dxa"/>
          </w:tcPr>
          <w:p w14:paraId="77B9524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A total of 545 PEG-related complications were dealt </w:t>
            </w:r>
          </w:p>
          <w:p w14:paraId="1B973E86"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A total of 101 patients required new balloon retained gastrostomies), fifty-eight as emergency procedures (following PEG displacement, tube damage or blockage) and forty-three planned, with no complications. Although sixty-nine patients were admitted during this year, only fifteen (21%) were for PEG problems and all occurred at times of non-availability of staff at weekends or holidays or failure of carers to adhere to the written aftercare protocol.  Hospital admissions were avoided in all fifty-</w:t>
            </w:r>
            <w:r w:rsidRPr="00A56D00">
              <w:rPr>
                <w:rFonts w:eastAsia="Calibri" w:cstheme="minorHAnsi"/>
                <w:sz w:val="20"/>
                <w:szCs w:val="20"/>
              </w:rPr>
              <w:lastRenderedPageBreak/>
              <w:t xml:space="preserve">eight instances (thirty patients, 12% of the total cohort of 245 patients) of PEG displacement, </w:t>
            </w:r>
            <w:proofErr w:type="gramStart"/>
            <w:r w:rsidRPr="00A56D00">
              <w:rPr>
                <w:rFonts w:eastAsia="Calibri" w:cstheme="minorHAnsi"/>
                <w:sz w:val="20"/>
                <w:szCs w:val="20"/>
              </w:rPr>
              <w:t>damage</w:t>
            </w:r>
            <w:proofErr w:type="gramEnd"/>
            <w:r w:rsidRPr="00A56D00">
              <w:rPr>
                <w:rFonts w:eastAsia="Calibri" w:cstheme="minorHAnsi"/>
                <w:sz w:val="20"/>
                <w:szCs w:val="20"/>
              </w:rPr>
              <w:t xml:space="preserve"> or blockage by emergency replacement by the HEF dietitians.</w:t>
            </w:r>
          </w:p>
        </w:tc>
        <w:tc>
          <w:tcPr>
            <w:tcW w:w="3907" w:type="dxa"/>
          </w:tcPr>
          <w:p w14:paraId="1446598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lastRenderedPageBreak/>
              <w:t xml:space="preserve">Hospital admissions were avoided in all fifty-eight instances of PEG displacement, </w:t>
            </w:r>
            <w:proofErr w:type="gramStart"/>
            <w:r w:rsidRPr="00A56D00">
              <w:rPr>
                <w:rFonts w:eastAsia="Calibri" w:cstheme="minorHAnsi"/>
                <w:sz w:val="20"/>
                <w:szCs w:val="20"/>
              </w:rPr>
              <w:t>damage</w:t>
            </w:r>
            <w:proofErr w:type="gramEnd"/>
            <w:r w:rsidRPr="00A56D00">
              <w:rPr>
                <w:rFonts w:eastAsia="Calibri" w:cstheme="minorHAnsi"/>
                <w:sz w:val="20"/>
                <w:szCs w:val="20"/>
              </w:rPr>
              <w:t xml:space="preserve"> or blockage by emergency replacement by the HEF dietitians.</w:t>
            </w:r>
          </w:p>
          <w:p w14:paraId="69E6128B"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However, it is likely that the early diagnosis and treatment of less urgent complications, and the training of patients, carers and other health care professionals will have avoided many further admissions.</w:t>
            </w:r>
          </w:p>
          <w:p w14:paraId="3A6251A9" w14:textId="77777777" w:rsidR="00882F2C" w:rsidRPr="00A56D00" w:rsidRDefault="00882F2C" w:rsidP="00CF53D4">
            <w:pPr>
              <w:spacing w:line="259" w:lineRule="auto"/>
              <w:rPr>
                <w:rFonts w:eastAsia="Calibri" w:cstheme="minorHAnsi"/>
                <w:sz w:val="20"/>
                <w:szCs w:val="20"/>
              </w:rPr>
            </w:pPr>
          </w:p>
        </w:tc>
      </w:tr>
      <w:tr w:rsidR="00882F2C" w:rsidRPr="00A56D00" w14:paraId="21B9DAA2" w14:textId="77777777" w:rsidTr="00CF53D4">
        <w:trPr>
          <w:trHeight w:val="330"/>
        </w:trPr>
        <w:tc>
          <w:tcPr>
            <w:tcW w:w="1527" w:type="dxa"/>
          </w:tcPr>
          <w:p w14:paraId="7FAC157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Sanders et al (2001)</w:t>
            </w:r>
          </w:p>
        </w:tc>
        <w:tc>
          <w:tcPr>
            <w:tcW w:w="1321" w:type="dxa"/>
          </w:tcPr>
          <w:p w14:paraId="07BF69D2"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UK</w:t>
            </w:r>
          </w:p>
        </w:tc>
        <w:tc>
          <w:tcPr>
            <w:tcW w:w="1417" w:type="dxa"/>
          </w:tcPr>
          <w:p w14:paraId="554B41C7" w14:textId="77777777" w:rsidR="00882F2C" w:rsidRPr="00A56D00" w:rsidRDefault="00882F2C" w:rsidP="00CF53D4">
            <w:pPr>
              <w:spacing w:line="259" w:lineRule="auto"/>
              <w:rPr>
                <w:rFonts w:eastAsia="Calibri" w:cstheme="minorHAnsi"/>
                <w:sz w:val="20"/>
                <w:szCs w:val="20"/>
              </w:rPr>
            </w:pPr>
            <w:r w:rsidRPr="00A56D00">
              <w:rPr>
                <w:rFonts w:eastAsia="Calibri" w:cstheme="minorHAnsi"/>
                <w:i/>
                <w:iCs/>
                <w:sz w:val="20"/>
                <w:szCs w:val="20"/>
                <w:lang w:val="en-IE"/>
              </w:rPr>
              <w:t>n</w:t>
            </w:r>
            <w:r w:rsidRPr="00A56D00">
              <w:rPr>
                <w:rFonts w:eastAsia="Calibri" w:cstheme="minorHAnsi"/>
                <w:sz w:val="20"/>
                <w:szCs w:val="20"/>
                <w:lang w:val="en-IE"/>
              </w:rPr>
              <w:t>87</w:t>
            </w:r>
          </w:p>
          <w:p w14:paraId="43275ABE"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lang w:val="en-IE"/>
              </w:rPr>
              <w:t>(</w:t>
            </w:r>
            <w:r w:rsidRPr="00A56D00">
              <w:rPr>
                <w:rFonts w:eastAsia="Calibri" w:cstheme="minorHAnsi"/>
                <w:i/>
                <w:iCs/>
                <w:sz w:val="20"/>
                <w:szCs w:val="20"/>
                <w:lang w:val="en-IE"/>
              </w:rPr>
              <w:t>n</w:t>
            </w:r>
            <w:r w:rsidRPr="00A56D00">
              <w:rPr>
                <w:rFonts w:eastAsia="Calibri" w:cstheme="minorHAnsi"/>
                <w:sz w:val="20"/>
                <w:szCs w:val="20"/>
                <w:lang w:val="en-IE"/>
              </w:rPr>
              <w:t>42 male)</w:t>
            </w:r>
          </w:p>
          <w:p w14:paraId="57D0F0A1" w14:textId="77777777" w:rsidR="00882F2C" w:rsidRPr="00A56D00" w:rsidRDefault="00882F2C" w:rsidP="00CF53D4">
            <w:pPr>
              <w:spacing w:line="259" w:lineRule="auto"/>
              <w:rPr>
                <w:rFonts w:eastAsia="Calibri" w:cstheme="minorHAnsi"/>
                <w:sz w:val="20"/>
                <w:szCs w:val="20"/>
              </w:rPr>
            </w:pPr>
          </w:p>
        </w:tc>
        <w:tc>
          <w:tcPr>
            <w:tcW w:w="2380" w:type="dxa"/>
          </w:tcPr>
          <w:p w14:paraId="05AC46E1"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Phone calls to endoscopy unit from</w:t>
            </w:r>
          </w:p>
          <w:p w14:paraId="3D27D8EA"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home visits required</w:t>
            </w:r>
          </w:p>
          <w:p w14:paraId="3CB9652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Nature of intervention required</w:t>
            </w:r>
          </w:p>
          <w:p w14:paraId="2F6B0C7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Number of PEG-related admissions to hospital</w:t>
            </w:r>
          </w:p>
        </w:tc>
        <w:tc>
          <w:tcPr>
            <w:tcW w:w="3398" w:type="dxa"/>
          </w:tcPr>
          <w:p w14:paraId="38CB30DD"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During the 6-month study period, telephone advice was given 26 times with no further action required. </w:t>
            </w:r>
          </w:p>
          <w:p w14:paraId="661E681F"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Home visits were necessary on 69 occasions. </w:t>
            </w:r>
          </w:p>
          <w:p w14:paraId="378D654C"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There were 23 PEG-related emergency admissions accounting for 61 inpatient days however, </w:t>
            </w:r>
            <w:proofErr w:type="gramStart"/>
            <w:r w:rsidRPr="00A56D00">
              <w:rPr>
                <w:rFonts w:eastAsia="Calibri" w:cstheme="minorHAnsi"/>
                <w:sz w:val="20"/>
                <w:szCs w:val="20"/>
              </w:rPr>
              <w:t>all of</w:t>
            </w:r>
            <w:proofErr w:type="gramEnd"/>
            <w:r w:rsidRPr="00A56D00">
              <w:rPr>
                <w:rFonts w:eastAsia="Calibri" w:cstheme="minorHAnsi"/>
                <w:sz w:val="20"/>
                <w:szCs w:val="20"/>
              </w:rPr>
              <w:t xml:space="preserve"> these admissions were from nursing/residential homes, not patients living in their own home.</w:t>
            </w:r>
          </w:p>
        </w:tc>
        <w:tc>
          <w:tcPr>
            <w:tcW w:w="3907" w:type="dxa"/>
          </w:tcPr>
          <w:p w14:paraId="4673EE00"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Prospective analysis of hospital support required and complications of PEG patients following discharge to the community.</w:t>
            </w:r>
          </w:p>
          <w:p w14:paraId="687E4439"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Patients were given initial education after PEG insertion and then provided with a telephone number of the respective endoscopy unit for advice over the phone during normal working hours and a home visit if necessary. No routine follow-up service or dietitian review was provided after discharge. General practitioners were advised to refer patients with PEG problems to their respective endoscopy units. </w:t>
            </w:r>
          </w:p>
          <w:p w14:paraId="4F0C30D2" w14:textId="77777777" w:rsidR="00882F2C" w:rsidRPr="00A56D00" w:rsidRDefault="00882F2C" w:rsidP="00CF53D4">
            <w:pPr>
              <w:spacing w:line="259" w:lineRule="auto"/>
              <w:rPr>
                <w:rFonts w:eastAsia="Calibri" w:cstheme="minorHAnsi"/>
                <w:sz w:val="20"/>
                <w:szCs w:val="20"/>
              </w:rPr>
            </w:pPr>
            <w:r w:rsidRPr="00A56D00">
              <w:rPr>
                <w:rFonts w:eastAsia="Calibri" w:cstheme="minorHAnsi"/>
                <w:sz w:val="20"/>
                <w:szCs w:val="20"/>
              </w:rPr>
              <w:t xml:space="preserve">During a 6-month period information was recorded by the Endoscopy Unit staff pertaining to the nature of these calls, the number of home visits required and any intervention that was necessary. In addition, any patients admitted with PEG-related complications were followed </w:t>
            </w:r>
            <w:proofErr w:type="gramStart"/>
            <w:r w:rsidRPr="00A56D00">
              <w:rPr>
                <w:rFonts w:eastAsia="Calibri" w:cstheme="minorHAnsi"/>
                <w:sz w:val="20"/>
                <w:szCs w:val="20"/>
              </w:rPr>
              <w:t>on a daily basis</w:t>
            </w:r>
            <w:proofErr w:type="gramEnd"/>
            <w:r w:rsidRPr="00A56D00">
              <w:rPr>
                <w:rFonts w:eastAsia="Calibri" w:cstheme="minorHAnsi"/>
                <w:sz w:val="20"/>
                <w:szCs w:val="20"/>
              </w:rPr>
              <w:t xml:space="preserve"> from the emergency admissions unit and their subsequent management noted.</w:t>
            </w:r>
          </w:p>
        </w:tc>
      </w:tr>
    </w:tbl>
    <w:p w14:paraId="7205335E" w14:textId="77777777" w:rsidR="00882F2C" w:rsidRPr="00A56D00" w:rsidRDefault="00882F2C" w:rsidP="00882F2C">
      <w:pPr>
        <w:pStyle w:val="NoSpacing"/>
        <w:rPr>
          <w:rFonts w:cstheme="minorHAnsi"/>
          <w:sz w:val="20"/>
          <w:szCs w:val="20"/>
        </w:rPr>
      </w:pPr>
      <w:r w:rsidRPr="00A56D00">
        <w:rPr>
          <w:rFonts w:cstheme="minorHAnsi"/>
          <w:b/>
          <w:bCs/>
          <w:sz w:val="20"/>
          <w:szCs w:val="20"/>
        </w:rPr>
        <w:t>SD:</w:t>
      </w:r>
      <w:r w:rsidRPr="00A56D00">
        <w:rPr>
          <w:rFonts w:cstheme="minorHAnsi"/>
          <w:sz w:val="20"/>
          <w:szCs w:val="20"/>
        </w:rPr>
        <w:t xml:space="preserve"> standard deviation</w:t>
      </w:r>
    </w:p>
    <w:p w14:paraId="4C909808" w14:textId="77777777" w:rsidR="00882F2C" w:rsidRPr="00A56D00" w:rsidRDefault="00882F2C" w:rsidP="00882F2C">
      <w:pPr>
        <w:pStyle w:val="NoSpacing"/>
        <w:rPr>
          <w:rFonts w:cstheme="minorHAnsi"/>
          <w:sz w:val="20"/>
          <w:szCs w:val="20"/>
        </w:rPr>
      </w:pPr>
      <w:r w:rsidRPr="00A56D00">
        <w:rPr>
          <w:rFonts w:cstheme="minorHAnsi"/>
          <w:b/>
          <w:bCs/>
          <w:sz w:val="20"/>
          <w:szCs w:val="20"/>
        </w:rPr>
        <w:t>CI:</w:t>
      </w:r>
      <w:r w:rsidRPr="00A56D00">
        <w:rPr>
          <w:rFonts w:cstheme="minorHAnsi"/>
          <w:sz w:val="20"/>
          <w:szCs w:val="20"/>
        </w:rPr>
        <w:t xml:space="preserve"> confidence interval</w:t>
      </w:r>
    </w:p>
    <w:p w14:paraId="6225408C" w14:textId="77777777" w:rsidR="00882F2C" w:rsidRPr="00A56D00" w:rsidRDefault="00882F2C" w:rsidP="00882F2C">
      <w:pPr>
        <w:pStyle w:val="NoSpacing"/>
        <w:rPr>
          <w:rFonts w:cstheme="minorHAnsi"/>
          <w:color w:val="000000" w:themeColor="text1"/>
          <w:sz w:val="20"/>
          <w:szCs w:val="20"/>
        </w:rPr>
      </w:pPr>
      <w:r w:rsidRPr="00A56D00">
        <w:rPr>
          <w:rFonts w:cstheme="minorHAnsi"/>
          <w:b/>
          <w:bCs/>
          <w:color w:val="000000" w:themeColor="text1"/>
          <w:sz w:val="20"/>
          <w:szCs w:val="20"/>
        </w:rPr>
        <w:t>1:</w:t>
      </w:r>
      <w:r w:rsidRPr="00A56D00">
        <w:rPr>
          <w:rFonts w:cstheme="minorHAnsi"/>
          <w:color w:val="000000" w:themeColor="text1"/>
          <w:sz w:val="20"/>
          <w:szCs w:val="20"/>
        </w:rPr>
        <w:t xml:space="preserve"> for total caseload of patients, </w:t>
      </w:r>
      <w:r w:rsidRPr="00A56D00">
        <w:rPr>
          <w:rFonts w:cstheme="minorHAnsi"/>
          <w:i/>
          <w:iCs/>
          <w:color w:val="000000" w:themeColor="text1"/>
          <w:sz w:val="20"/>
          <w:szCs w:val="20"/>
        </w:rPr>
        <w:t xml:space="preserve">n </w:t>
      </w:r>
      <w:r w:rsidRPr="00A56D00">
        <w:rPr>
          <w:rFonts w:cstheme="minorHAnsi"/>
          <w:color w:val="000000" w:themeColor="text1"/>
          <w:sz w:val="20"/>
          <w:szCs w:val="20"/>
        </w:rPr>
        <w:t>= 70</w:t>
      </w:r>
    </w:p>
    <w:p w14:paraId="4A2A2C4D" w14:textId="77777777" w:rsidR="00882F2C" w:rsidRPr="00A56D00" w:rsidRDefault="00882F2C" w:rsidP="00882F2C">
      <w:pPr>
        <w:pStyle w:val="NoSpacing"/>
        <w:rPr>
          <w:rFonts w:cstheme="minorHAnsi"/>
          <w:color w:val="000000" w:themeColor="text1"/>
          <w:sz w:val="20"/>
          <w:szCs w:val="20"/>
        </w:rPr>
      </w:pPr>
      <w:r w:rsidRPr="00A56D00">
        <w:rPr>
          <w:rFonts w:cstheme="minorHAnsi"/>
          <w:b/>
          <w:bCs/>
          <w:color w:val="000000" w:themeColor="text1"/>
          <w:sz w:val="20"/>
          <w:szCs w:val="20"/>
        </w:rPr>
        <w:t>2:</w:t>
      </w:r>
      <w:r w:rsidRPr="00A56D00">
        <w:rPr>
          <w:rFonts w:cstheme="minorHAnsi"/>
          <w:color w:val="000000" w:themeColor="text1"/>
          <w:sz w:val="20"/>
          <w:szCs w:val="20"/>
        </w:rPr>
        <w:t xml:space="preserve"> for 28 patients of caseload, based on number of admissions, bed days and day cases</w:t>
      </w:r>
    </w:p>
    <w:p w14:paraId="4EF25FF6" w14:textId="77777777" w:rsidR="00882F2C" w:rsidRPr="00A56D00" w:rsidRDefault="00882F2C" w:rsidP="00882F2C">
      <w:pPr>
        <w:rPr>
          <w:rFonts w:cstheme="minorHAnsi"/>
          <w:sz w:val="20"/>
          <w:szCs w:val="20"/>
        </w:rPr>
      </w:pPr>
    </w:p>
    <w:p w14:paraId="6D8AF0DB" w14:textId="77777777" w:rsidR="000002FD" w:rsidRPr="00A56D00" w:rsidRDefault="000002FD">
      <w:pPr>
        <w:rPr>
          <w:rFonts w:cstheme="minorHAnsi"/>
          <w:sz w:val="20"/>
          <w:szCs w:val="20"/>
        </w:rPr>
      </w:pPr>
    </w:p>
    <w:sectPr w:rsidR="000002FD" w:rsidRPr="00A56D00" w:rsidSect="00882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2C"/>
    <w:rsid w:val="000002FD"/>
    <w:rsid w:val="006E5ADD"/>
    <w:rsid w:val="00882F2C"/>
    <w:rsid w:val="00A56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F56C"/>
  <w15:chartTrackingRefBased/>
  <w15:docId w15:val="{06CA2D5C-CD64-4352-88AB-3A11E9F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2C"/>
    <w:rPr>
      <w:lang w:val="en-GB"/>
    </w:rPr>
  </w:style>
  <w:style w:type="paragraph" w:styleId="Heading1">
    <w:name w:val="heading 1"/>
    <w:basedOn w:val="Normal"/>
    <w:next w:val="Normal"/>
    <w:link w:val="Heading1Char"/>
    <w:uiPriority w:val="9"/>
    <w:qFormat/>
    <w:rsid w:val="00882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2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82F2C"/>
    <w:rPr>
      <w:rFonts w:asciiTheme="majorHAnsi" w:eastAsiaTheme="majorEastAsia" w:hAnsiTheme="majorHAnsi" w:cstheme="majorBidi"/>
      <w:color w:val="2F5496" w:themeColor="accent1" w:themeShade="BF"/>
      <w:sz w:val="26"/>
      <w:szCs w:val="26"/>
      <w:lang w:val="en-GB"/>
    </w:rPr>
  </w:style>
  <w:style w:type="character" w:customStyle="1" w:styleId="normaltextrun">
    <w:name w:val="normaltextrun"/>
    <w:basedOn w:val="DefaultParagraphFont"/>
    <w:rsid w:val="00882F2C"/>
  </w:style>
  <w:style w:type="table" w:styleId="TableGrid">
    <w:name w:val="Table Grid"/>
    <w:basedOn w:val="TableNormal"/>
    <w:uiPriority w:val="39"/>
    <w:rsid w:val="00882F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F2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4610</Words>
  <Characters>26277</Characters>
  <Application>Microsoft Office Word</Application>
  <DocSecurity>0</DocSecurity>
  <Lines>218</Lines>
  <Paragraphs>61</Paragraphs>
  <ScaleCrop>false</ScaleCrop>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Annemarie Bennett</cp:lastModifiedBy>
  <cp:revision>4</cp:revision>
  <dcterms:created xsi:type="dcterms:W3CDTF">2021-10-04T18:25:00Z</dcterms:created>
  <dcterms:modified xsi:type="dcterms:W3CDTF">2022-07-25T15:54:00Z</dcterms:modified>
</cp:coreProperties>
</file>