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26709" w14:textId="61215709" w:rsidR="00D03D07" w:rsidRDefault="00D03D07">
      <w:pPr>
        <w:rPr>
          <w:rFonts w:ascii="Times New Roman" w:hAnsi="Times New Roman" w:cs="Times New Roman"/>
        </w:rPr>
      </w:pPr>
      <w:r w:rsidRPr="00EF4931">
        <w:rPr>
          <w:rFonts w:ascii="Times New Roman" w:hAnsi="Times New Roman" w:cs="Times New Roman"/>
          <w:b/>
        </w:rPr>
        <w:t>APPENDIX:</w:t>
      </w:r>
      <w:r>
        <w:rPr>
          <w:rFonts w:ascii="Times New Roman" w:hAnsi="Times New Roman" w:cs="Times New Roman"/>
        </w:rPr>
        <w:t xml:space="preserve"> Historical Context of the MBS Market Development</w:t>
      </w:r>
    </w:p>
    <w:p w14:paraId="0ADAB0B2" w14:textId="0822F32C" w:rsidR="00D03D07" w:rsidRDefault="00D03D07" w:rsidP="00D03D07">
      <w:pPr>
        <w:rPr>
          <w:rFonts w:ascii="Times New Roman" w:hAnsi="Times New Roman" w:cs="Times New Roman"/>
        </w:rPr>
      </w:pPr>
      <w:r>
        <w:rPr>
          <w:rFonts w:ascii="Times New Roman" w:hAnsi="Times New Roman" w:cs="Times New Roman"/>
        </w:rPr>
        <w:t xml:space="preserve">This appendix addresses four related </w:t>
      </w:r>
      <w:r w:rsidR="00CF756F">
        <w:rPr>
          <w:rFonts w:ascii="Times New Roman" w:hAnsi="Times New Roman" w:cs="Times New Roman"/>
        </w:rPr>
        <w:t xml:space="preserve">developments that coincided with the emergence of the MBS market and the acceptance of MBS as bonds. These developments are changes in interest rates and concurrent attempts at regulation, the bond market growth, other innovations in the bond category, and </w:t>
      </w:r>
      <w:r w:rsidR="00907851">
        <w:rPr>
          <w:rFonts w:ascii="Times New Roman" w:hAnsi="Times New Roman" w:cs="Times New Roman"/>
        </w:rPr>
        <w:t xml:space="preserve">changes in </w:t>
      </w:r>
      <w:r w:rsidR="00CF756F">
        <w:rPr>
          <w:rFonts w:ascii="Times New Roman" w:hAnsi="Times New Roman" w:cs="Times New Roman"/>
        </w:rPr>
        <w:t>technology.</w:t>
      </w:r>
    </w:p>
    <w:p w14:paraId="02C52F5F" w14:textId="15DBB078" w:rsidR="00D03D07" w:rsidRPr="00D03D07" w:rsidRDefault="00D03D07" w:rsidP="00D03D07">
      <w:pPr>
        <w:rPr>
          <w:rFonts w:ascii="Times New Roman" w:hAnsi="Times New Roman" w:cs="Times New Roman"/>
          <w:b/>
        </w:rPr>
      </w:pPr>
      <w:r w:rsidRPr="00D03D07">
        <w:rPr>
          <w:rFonts w:ascii="Times New Roman" w:hAnsi="Times New Roman" w:cs="Times New Roman"/>
          <w:b/>
        </w:rPr>
        <w:t>Interest Rates</w:t>
      </w:r>
      <w:r w:rsidR="0095674C">
        <w:rPr>
          <w:rFonts w:ascii="Times New Roman" w:hAnsi="Times New Roman" w:cs="Times New Roman"/>
          <w:b/>
        </w:rPr>
        <w:t>, Regulation,</w:t>
      </w:r>
      <w:r w:rsidRPr="00D03D07">
        <w:rPr>
          <w:rFonts w:ascii="Times New Roman" w:hAnsi="Times New Roman" w:cs="Times New Roman"/>
          <w:b/>
        </w:rPr>
        <w:t xml:space="preserve"> and Deregulation</w:t>
      </w:r>
    </w:p>
    <w:p w14:paraId="40E5D4B3" w14:textId="753BF928"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For much of the period of study (1968-1981), the interest rates showed an upward trend. This upward trend was deleterious to the survival of mortgage lenders. Two types of entities traditionally performed mortgage lending in the U.S.: thrifts (mostly savings and loan associations) and mortgage banks. While the two types of entities employed two different business models, neither model was </w:t>
      </w:r>
      <w:proofErr w:type="gramStart"/>
      <w:r w:rsidRPr="00D03D07">
        <w:rPr>
          <w:rFonts w:ascii="Times New Roman" w:eastAsia="Times New Roman" w:hAnsi="Times New Roman" w:cs="Times New Roman"/>
        </w:rPr>
        <w:t>well-suited</w:t>
      </w:r>
      <w:proofErr w:type="gramEnd"/>
      <w:r w:rsidRPr="00D03D07">
        <w:rPr>
          <w:rFonts w:ascii="Times New Roman" w:eastAsia="Times New Roman" w:hAnsi="Times New Roman" w:cs="Times New Roman"/>
        </w:rPr>
        <w:t xml:space="preserve"> to carrying mortgage debt on their books in a rising interest rate environment. The thrifts carried mortgages on their balance sheets and accepted deposits. The mortgage banks operated on an originate-and-distribute model, originating mortgages to sell to either commercial banks or life insurance companies. </w:t>
      </w:r>
    </w:p>
    <w:p w14:paraId="6DFAFC98" w14:textId="1361D60A"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The thrift business model was sustainable in a stable interest rate environment. In </w:t>
      </w:r>
      <w:r w:rsidRPr="00D03D07">
        <w:rPr>
          <w:rFonts w:ascii="Times New Roman" w:eastAsia="Times New Roman" w:hAnsi="Times New Roman" w:cs="Times New Roman"/>
          <w:i/>
        </w:rPr>
        <w:t>Liar’s Poker</w:t>
      </w:r>
      <w:r w:rsidRPr="00D03D07">
        <w:rPr>
          <w:rFonts w:ascii="Times New Roman" w:eastAsia="Times New Roman" w:hAnsi="Times New Roman" w:cs="Times New Roman"/>
        </w:rPr>
        <w:t>, Michael Lewis described this model as 3-6-3: pay 3% interest on deposits, charge 6% interest on mortgages, and arrive at the golf course at 3pm.</w:t>
      </w:r>
      <w:r w:rsidRPr="00D03D07">
        <w:rPr>
          <w:rStyle w:val="FootnoteReference"/>
          <w:rFonts w:ascii="Times New Roman" w:eastAsia="Times New Roman" w:hAnsi="Times New Roman" w:cs="Times New Roman"/>
        </w:rPr>
        <w:footnoteReference w:id="2"/>
      </w:r>
      <w:r w:rsidRPr="00D03D07">
        <w:rPr>
          <w:rFonts w:ascii="Times New Roman" w:eastAsia="Times New Roman" w:hAnsi="Times New Roman" w:cs="Times New Roman"/>
        </w:rPr>
        <w:t xml:space="preserve"> However, the rising interest rates disrupted this model by making thrifts pay more interest on their deposits than they were generating on the outstanding mortgages.</w:t>
      </w:r>
    </w:p>
    <w:p w14:paraId="6D77EDF2" w14:textId="63367F52"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While rising interest rates negatively affected both types of mortgage lenders, the regulation and deregulation activities focused on the savings and loan associations because in their capacity as depository institutions they were subject to more regulation than mortgage ban</w:t>
      </w:r>
      <w:r>
        <w:rPr>
          <w:rFonts w:ascii="Times New Roman" w:eastAsia="Times New Roman" w:hAnsi="Times New Roman" w:cs="Times New Roman"/>
        </w:rPr>
        <w:t>ks.</w:t>
      </w:r>
    </w:p>
    <w:p w14:paraId="1B31453C" w14:textId="69A21691"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The impact of the rising rates on savings and loan associations was partially mitigated by the interest rate ceilings that constrained how much interest thrifts could pay out in deposits, thus, limiting the competition among thrifts. The Interest Rate Control Act of 1966 first instituted such ceilings for thrifts.</w:t>
      </w:r>
      <w:r w:rsidRPr="00D03D07">
        <w:rPr>
          <w:rStyle w:val="FootnoteReference"/>
          <w:rFonts w:ascii="Times New Roman" w:eastAsia="Times New Roman" w:hAnsi="Times New Roman" w:cs="Times New Roman"/>
        </w:rPr>
        <w:footnoteReference w:id="3"/>
      </w:r>
      <w:r w:rsidRPr="00D03D07">
        <w:rPr>
          <w:rFonts w:ascii="Times New Roman" w:eastAsia="Times New Roman" w:hAnsi="Times New Roman" w:cs="Times New Roman"/>
        </w:rPr>
        <w:t xml:space="preserve"> However, the interest rate ceilings led to funding shortages with the investing public refusing to invest their money at rates that ensured that investors lost money in real terms.</w:t>
      </w:r>
      <w:r w:rsidRPr="00D03D07">
        <w:rPr>
          <w:rStyle w:val="FootnoteReference"/>
          <w:rFonts w:ascii="Times New Roman" w:eastAsia="Times New Roman" w:hAnsi="Times New Roman" w:cs="Times New Roman"/>
        </w:rPr>
        <w:footnoteReference w:id="4"/>
      </w:r>
      <w:r w:rsidRPr="00D03D07">
        <w:rPr>
          <w:rFonts w:ascii="Times New Roman" w:eastAsia="Times New Roman" w:hAnsi="Times New Roman" w:cs="Times New Roman"/>
        </w:rPr>
        <w:t xml:space="preserve"> These shortages led to the phase-out of Regulation Q as well as the interest rate ceilings for the thrifts.</w:t>
      </w:r>
    </w:p>
    <w:p w14:paraId="5E5D6EEB" w14:textId="1FE8C9CE"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The inefficacy of interest rate ceiling on deposits as a solution for the savings and loan associations’ predicament led to other attempts to keep the savings and loan associations afloat. Two related acts: </w:t>
      </w:r>
      <w:r w:rsidR="00510F94">
        <w:rPr>
          <w:rFonts w:ascii="Times New Roman" w:eastAsia="Times New Roman" w:hAnsi="Times New Roman" w:cs="Times New Roman"/>
        </w:rPr>
        <w:t xml:space="preserve">the </w:t>
      </w:r>
      <w:r w:rsidRPr="00D03D07">
        <w:rPr>
          <w:rFonts w:ascii="Times New Roman" w:eastAsia="Times New Roman" w:hAnsi="Times New Roman" w:cs="Times New Roman"/>
        </w:rPr>
        <w:t xml:space="preserve">Depository Institutions Deregulation and Monetary Control Act of 1980 and </w:t>
      </w:r>
      <w:r w:rsidR="00510F94">
        <w:rPr>
          <w:rFonts w:ascii="Times New Roman" w:eastAsia="Times New Roman" w:hAnsi="Times New Roman" w:cs="Times New Roman"/>
        </w:rPr>
        <w:t xml:space="preserve">the </w:t>
      </w:r>
      <w:r w:rsidRPr="00D03D07">
        <w:rPr>
          <w:rFonts w:ascii="Times New Roman" w:eastAsia="Times New Roman" w:hAnsi="Times New Roman" w:cs="Times New Roman"/>
        </w:rPr>
        <w:t xml:space="preserve">Garn-St. </w:t>
      </w:r>
      <w:proofErr w:type="spellStart"/>
      <w:r w:rsidRPr="00D03D07">
        <w:rPr>
          <w:rFonts w:ascii="Times New Roman" w:eastAsia="Times New Roman" w:hAnsi="Times New Roman" w:cs="Times New Roman"/>
        </w:rPr>
        <w:t>Germain</w:t>
      </w:r>
      <w:proofErr w:type="spellEnd"/>
      <w:r w:rsidRPr="00D03D07">
        <w:rPr>
          <w:rFonts w:ascii="Times New Roman" w:eastAsia="Times New Roman" w:hAnsi="Times New Roman" w:cs="Times New Roman"/>
        </w:rPr>
        <w:t xml:space="preserve"> Depository Institutions Act of 1982 relaxed the constraints on the types of investments the associations could pursue. In absence of correspondent safety and soundness regulation, these</w:t>
      </w:r>
      <w:r w:rsidR="00510F94">
        <w:rPr>
          <w:rFonts w:ascii="Times New Roman" w:eastAsia="Times New Roman" w:hAnsi="Times New Roman" w:cs="Times New Roman"/>
        </w:rPr>
        <w:t xml:space="preserve"> regulatory changes effectively</w:t>
      </w:r>
      <w:r w:rsidRPr="00D03D07">
        <w:rPr>
          <w:rFonts w:ascii="Times New Roman" w:eastAsia="Times New Roman" w:hAnsi="Times New Roman" w:cs="Times New Roman"/>
        </w:rPr>
        <w:t xml:space="preserve"> invited the savings and loan associations to gamble their way out of financial difficulties by taking on high-risk investments.</w:t>
      </w:r>
      <w:r w:rsidRPr="00D03D07">
        <w:rPr>
          <w:rStyle w:val="FootnoteReference"/>
          <w:rFonts w:ascii="Times New Roman" w:eastAsia="Times New Roman" w:hAnsi="Times New Roman" w:cs="Times New Roman"/>
        </w:rPr>
        <w:footnoteReference w:id="5"/>
      </w:r>
    </w:p>
    <w:p w14:paraId="465C9DD8" w14:textId="5BC5B28F"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These developments had a mostly indirect effect on the development of the MBS market. On the one hand, they meant that savings and loan associations were looking to MBS as a way to unload their low-interest mortgages. On the other hand, the expectations of increasing interest rates constrained the pool of </w:t>
      </w:r>
      <w:r w:rsidRPr="00D03D07">
        <w:rPr>
          <w:rFonts w:ascii="Times New Roman" w:eastAsia="Times New Roman" w:hAnsi="Times New Roman" w:cs="Times New Roman"/>
        </w:rPr>
        <w:lastRenderedPageBreak/>
        <w:t>investors interested in making long-term investments and with it the fixed income market. These constraints are evident in Figure 1, which maps the size of the U.S. bon</w:t>
      </w:r>
      <w:r>
        <w:rPr>
          <w:rFonts w:ascii="Times New Roman" w:eastAsia="Times New Roman" w:hAnsi="Times New Roman" w:cs="Times New Roman"/>
        </w:rPr>
        <w:t>d market against interest rate.</w:t>
      </w:r>
    </w:p>
    <w:p w14:paraId="711A7504" w14:textId="1D2F1292"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Figure </w:t>
      </w:r>
      <w:r w:rsidR="00D96D56">
        <w:rPr>
          <w:rFonts w:ascii="Times New Roman" w:eastAsia="Times New Roman" w:hAnsi="Times New Roman" w:cs="Times New Roman"/>
        </w:rPr>
        <w:t>A</w:t>
      </w:r>
      <w:r w:rsidRPr="00D03D07">
        <w:rPr>
          <w:rFonts w:ascii="Times New Roman" w:eastAsia="Times New Roman" w:hAnsi="Times New Roman" w:cs="Times New Roman"/>
        </w:rPr>
        <w:t>1: U.S. Bond market size (in U.S. Dollar Billions—left axis) and interest rate (in percent—right axis)</w:t>
      </w:r>
      <w:r w:rsidRPr="00D03D07">
        <w:rPr>
          <w:rStyle w:val="FootnoteReference"/>
          <w:rFonts w:ascii="Times New Roman" w:eastAsia="Times New Roman" w:hAnsi="Times New Roman" w:cs="Times New Roman"/>
        </w:rPr>
        <w:footnoteReference w:id="6"/>
      </w:r>
    </w:p>
    <w:p w14:paraId="1F081A22" w14:textId="77777777" w:rsidR="00D03D07" w:rsidRPr="00D03D07" w:rsidRDefault="00D03D07" w:rsidP="00D03D07">
      <w:pPr>
        <w:spacing w:line="240" w:lineRule="auto"/>
        <w:rPr>
          <w:rFonts w:ascii="Times New Roman" w:eastAsia="Times New Roman" w:hAnsi="Times New Roman" w:cs="Times New Roman"/>
        </w:rPr>
      </w:pPr>
      <w:r w:rsidRPr="00D03D07">
        <w:rPr>
          <w:rFonts w:ascii="Times New Roman" w:hAnsi="Times New Roman" w:cs="Times New Roman"/>
          <w:noProof/>
        </w:rPr>
        <w:drawing>
          <wp:inline distT="0" distB="0" distL="0" distR="0" wp14:anchorId="15C5A0DA" wp14:editId="59B88EA1">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DF519D" w14:textId="77777777" w:rsidR="00D03D07" w:rsidRPr="00D03D07" w:rsidRDefault="00D03D07" w:rsidP="00D03D07">
      <w:pPr>
        <w:spacing w:line="240" w:lineRule="auto"/>
        <w:rPr>
          <w:rFonts w:ascii="Times New Roman" w:eastAsia="Times New Roman" w:hAnsi="Times New Roman" w:cs="Times New Roman"/>
        </w:rPr>
      </w:pPr>
    </w:p>
    <w:p w14:paraId="078ACF77" w14:textId="2C775587"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As the data in Figure </w:t>
      </w:r>
      <w:r w:rsidR="00D96D56">
        <w:rPr>
          <w:rFonts w:ascii="Times New Roman" w:eastAsia="Times New Roman" w:hAnsi="Times New Roman" w:cs="Times New Roman"/>
        </w:rPr>
        <w:t>A</w:t>
      </w:r>
      <w:r w:rsidRPr="00D03D07">
        <w:rPr>
          <w:rFonts w:ascii="Times New Roman" w:eastAsia="Times New Roman" w:hAnsi="Times New Roman" w:cs="Times New Roman"/>
        </w:rPr>
        <w:t>1 suggest, until interest rates break the upward streak following the 1981 peak, the bond market remains relatively small: the growth of the bond market averages ten billion dollars a year before 1981 and 40 billion dollars a year thereafter.</w:t>
      </w:r>
      <w:r w:rsidRPr="00D03D07">
        <w:rPr>
          <w:rStyle w:val="FootnoteReference"/>
          <w:rFonts w:ascii="Times New Roman" w:eastAsia="Times New Roman" w:hAnsi="Times New Roman" w:cs="Times New Roman"/>
        </w:rPr>
        <w:footnoteReference w:id="7"/>
      </w:r>
      <w:r>
        <w:rPr>
          <w:rFonts w:ascii="Times New Roman" w:eastAsia="Times New Roman" w:hAnsi="Times New Roman" w:cs="Times New Roman"/>
        </w:rPr>
        <w:t xml:space="preserve"> </w:t>
      </w:r>
    </w:p>
    <w:p w14:paraId="56D42E31" w14:textId="14B8B56A" w:rsid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The success in stabilizing the interest rates came too late for hundreds of savings and loan associations. Instead, the growth of the bond market created fertile ground for the development of securitization, even as falling interest rates made real the prepayment risk in MBS that was mostly hypothetical until this point</w:t>
      </w:r>
      <w:r>
        <w:rPr>
          <w:rFonts w:ascii="Times New Roman" w:eastAsia="Times New Roman" w:hAnsi="Times New Roman" w:cs="Times New Roman"/>
        </w:rPr>
        <w:t>.</w:t>
      </w:r>
    </w:p>
    <w:p w14:paraId="0D146C1E" w14:textId="2D0E2F8D" w:rsidR="00D03D07" w:rsidRPr="00D03D07" w:rsidRDefault="00D03D07" w:rsidP="00D03D07">
      <w:pPr>
        <w:spacing w:line="240" w:lineRule="auto"/>
        <w:rPr>
          <w:rFonts w:ascii="Times New Roman" w:eastAsia="Times New Roman" w:hAnsi="Times New Roman" w:cs="Times New Roman"/>
          <w:b/>
        </w:rPr>
      </w:pPr>
      <w:r w:rsidRPr="00D03D07">
        <w:rPr>
          <w:rFonts w:ascii="Times New Roman" w:eastAsia="Times New Roman" w:hAnsi="Times New Roman" w:cs="Times New Roman"/>
          <w:b/>
        </w:rPr>
        <w:t xml:space="preserve">Bond Market </w:t>
      </w:r>
      <w:r>
        <w:rPr>
          <w:rFonts w:ascii="Times New Roman" w:eastAsia="Times New Roman" w:hAnsi="Times New Roman" w:cs="Times New Roman"/>
          <w:b/>
        </w:rPr>
        <w:t>Growth</w:t>
      </w:r>
    </w:p>
    <w:p w14:paraId="14695A99" w14:textId="77445704" w:rsidR="00D03D07" w:rsidRPr="00D03D07" w:rsidRDefault="00D03D07" w:rsidP="00D03D07">
      <w:pPr>
        <w:spacing w:line="240" w:lineRule="auto"/>
        <w:rPr>
          <w:rFonts w:ascii="Times New Roman" w:eastAsia="Times New Roman" w:hAnsi="Times New Roman" w:cs="Times New Roman"/>
        </w:rPr>
      </w:pPr>
      <w:r>
        <w:rPr>
          <w:rFonts w:ascii="Times New Roman" w:eastAsia="Times New Roman" w:hAnsi="Times New Roman" w:cs="Times New Roman"/>
        </w:rPr>
        <w:t xml:space="preserve">Several explanations for the emergence of the MBS market have to do </w:t>
      </w:r>
      <w:r w:rsidRPr="00D03D07">
        <w:rPr>
          <w:rFonts w:ascii="Times New Roman" w:eastAsia="Times New Roman" w:hAnsi="Times New Roman" w:cs="Times New Roman"/>
        </w:rPr>
        <w:t xml:space="preserve">the growth of the corporate bond market and the influx of foreign capital that sheds light on the relative timing of these events. I summarize </w:t>
      </w:r>
      <w:r w:rsidRPr="00D03D07">
        <w:rPr>
          <w:rFonts w:ascii="Times New Roman" w:eastAsia="Times New Roman" w:hAnsi="Times New Roman" w:cs="Times New Roman"/>
        </w:rPr>
        <w:lastRenderedPageBreak/>
        <w:t>my findings from these data below. I also created an Appendix to the manuscript that addresses the other trends in the financial markets and includes these data.</w:t>
      </w:r>
      <w:r>
        <w:rPr>
          <w:rFonts w:ascii="Times New Roman" w:eastAsia="Times New Roman" w:hAnsi="Times New Roman" w:cs="Times New Roman"/>
        </w:rPr>
        <w:t xml:space="preserve"> </w:t>
      </w:r>
    </w:p>
    <w:p w14:paraId="092261FD" w14:textId="77777777" w:rsidR="00EB2BFF"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The data provide a useful reminder that for much of the period described in the paper, the fixed-income </w:t>
      </w:r>
      <w:proofErr w:type="gramStart"/>
      <w:r w:rsidRPr="00D03D07">
        <w:rPr>
          <w:rFonts w:ascii="Times New Roman" w:eastAsia="Times New Roman" w:hAnsi="Times New Roman" w:cs="Times New Roman"/>
        </w:rPr>
        <w:t>markets</w:t>
      </w:r>
      <w:proofErr w:type="gramEnd"/>
      <w:r w:rsidRPr="00D03D07">
        <w:rPr>
          <w:rFonts w:ascii="Times New Roman" w:eastAsia="Times New Roman" w:hAnsi="Times New Roman" w:cs="Times New Roman"/>
        </w:rPr>
        <w:t xml:space="preserve"> were </w:t>
      </w:r>
      <w:proofErr w:type="gramStart"/>
      <w:r w:rsidRPr="00D03D07">
        <w:rPr>
          <w:rFonts w:ascii="Times New Roman" w:eastAsia="Times New Roman" w:hAnsi="Times New Roman" w:cs="Times New Roman"/>
        </w:rPr>
        <w:t>a sleepy backwater</w:t>
      </w:r>
      <w:proofErr w:type="gramEnd"/>
      <w:r w:rsidRPr="00D03D07">
        <w:rPr>
          <w:rFonts w:ascii="Times New Roman" w:eastAsia="Times New Roman" w:hAnsi="Times New Roman" w:cs="Times New Roman"/>
        </w:rPr>
        <w:t xml:space="preserve">. </w:t>
      </w:r>
    </w:p>
    <w:p w14:paraId="283D1A12" w14:textId="375ECB41"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One sign of this sleepiness is that </w:t>
      </w:r>
      <w:r w:rsidR="00CE4D5A" w:rsidRPr="00CE4D5A">
        <w:rPr>
          <w:rFonts w:ascii="Times New Roman" w:eastAsia="Times New Roman" w:hAnsi="Times New Roman" w:cs="Times New Roman"/>
        </w:rPr>
        <w:t>on the organizational level Wall Street firms’ departments, essential to the bond market growth, such as fixed-income research</w:t>
      </w:r>
      <w:r w:rsidRPr="00D03D07">
        <w:rPr>
          <w:rFonts w:ascii="Times New Roman" w:eastAsia="Times New Roman" w:hAnsi="Times New Roman" w:cs="Times New Roman"/>
        </w:rPr>
        <w:t xml:space="preserve"> did not exist on a meaningful scale until well into the 1970s. For much of the 1960s, the fixed-income research staff in all of Wall Street consisted of two people—Sidney Homer and Henry Kaufman, hired by Salomon Brothers in 1961 and 1962 respectively.</w:t>
      </w:r>
      <w:r w:rsidRPr="00D03D07">
        <w:rPr>
          <w:rStyle w:val="FootnoteReference"/>
          <w:rFonts w:ascii="Times New Roman" w:eastAsia="Times New Roman" w:hAnsi="Times New Roman" w:cs="Times New Roman"/>
        </w:rPr>
        <w:footnoteReference w:id="8"/>
      </w:r>
      <w:r w:rsidRPr="00D03D07">
        <w:rPr>
          <w:rFonts w:ascii="Times New Roman" w:eastAsia="Times New Roman" w:hAnsi="Times New Roman" w:cs="Times New Roman"/>
        </w:rPr>
        <w:t xml:space="preserve"> </w:t>
      </w:r>
      <w:r w:rsidR="00EB2BFF">
        <w:rPr>
          <w:rFonts w:ascii="Times New Roman" w:eastAsia="Times New Roman" w:hAnsi="Times New Roman" w:cs="Times New Roman"/>
        </w:rPr>
        <w:t xml:space="preserve"> </w:t>
      </w:r>
      <w:r w:rsidRPr="00D03D07">
        <w:rPr>
          <w:rFonts w:ascii="Times New Roman" w:eastAsia="Times New Roman" w:hAnsi="Times New Roman" w:cs="Times New Roman"/>
        </w:rPr>
        <w:t>Many firms hired fixed-income analysts in the early 1970s only to fire them as the decade went on because the market did not have sufficient volume to justify the expense of a fixed-income research department. As late as the 1980s, fixed-income analysts on Wall Street were paid 30% less than their counterparts who covered equity markets.</w:t>
      </w:r>
      <w:r w:rsidRPr="00D03D07">
        <w:rPr>
          <w:rStyle w:val="FootnoteReference"/>
          <w:rFonts w:ascii="Times New Roman" w:eastAsia="Times New Roman" w:hAnsi="Times New Roman" w:cs="Times New Roman"/>
        </w:rPr>
        <w:footnoteReference w:id="9"/>
      </w:r>
    </w:p>
    <w:p w14:paraId="0F44C004" w14:textId="62BDFAF6"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This qualitative assessment of fixed-income markets finds support in the quantitative data on the fixed-income market size. Figure </w:t>
      </w:r>
      <w:r w:rsidR="00D96D56">
        <w:rPr>
          <w:rFonts w:ascii="Times New Roman" w:eastAsia="Times New Roman" w:hAnsi="Times New Roman" w:cs="Times New Roman"/>
        </w:rPr>
        <w:t>A</w:t>
      </w:r>
      <w:r w:rsidRPr="00D03D07">
        <w:rPr>
          <w:rFonts w:ascii="Times New Roman" w:eastAsia="Times New Roman" w:hAnsi="Times New Roman" w:cs="Times New Roman"/>
        </w:rPr>
        <w:t>2 below</w:t>
      </w:r>
      <w:r w:rsidR="00EF6107">
        <w:rPr>
          <w:rFonts w:ascii="Times New Roman" w:eastAsia="Times New Roman" w:hAnsi="Times New Roman" w:cs="Times New Roman"/>
        </w:rPr>
        <w:t xml:space="preserve"> shows that</w:t>
      </w:r>
      <w:r w:rsidRPr="00D03D07">
        <w:rPr>
          <w:rFonts w:ascii="Times New Roman" w:eastAsia="Times New Roman" w:hAnsi="Times New Roman" w:cs="Times New Roman"/>
        </w:rPr>
        <w:t xml:space="preserve"> the U.S. bond market </w:t>
      </w:r>
      <w:r w:rsidR="00EF6107">
        <w:rPr>
          <w:rFonts w:ascii="Times New Roman" w:eastAsia="Times New Roman" w:hAnsi="Times New Roman" w:cs="Times New Roman"/>
        </w:rPr>
        <w:t xml:space="preserve">exhibits </w:t>
      </w:r>
      <w:r w:rsidRPr="00D03D07">
        <w:rPr>
          <w:rFonts w:ascii="Times New Roman" w:eastAsia="Times New Roman" w:hAnsi="Times New Roman" w:cs="Times New Roman"/>
        </w:rPr>
        <w:t xml:space="preserve">little growth before MBS are accepted as bonds, which as I argue in the paper </w:t>
      </w:r>
      <w:r>
        <w:rPr>
          <w:rFonts w:ascii="Times New Roman" w:eastAsia="Times New Roman" w:hAnsi="Times New Roman" w:cs="Times New Roman"/>
        </w:rPr>
        <w:t xml:space="preserve">happens in 1983. </w:t>
      </w:r>
    </w:p>
    <w:p w14:paraId="5B8702BD" w14:textId="1B8AF763"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Figure </w:t>
      </w:r>
      <w:r w:rsidR="00D96D56">
        <w:rPr>
          <w:rFonts w:ascii="Times New Roman" w:eastAsia="Times New Roman" w:hAnsi="Times New Roman" w:cs="Times New Roman"/>
        </w:rPr>
        <w:t>A</w:t>
      </w:r>
      <w:r w:rsidRPr="00D03D07">
        <w:rPr>
          <w:rFonts w:ascii="Times New Roman" w:eastAsia="Times New Roman" w:hAnsi="Times New Roman" w:cs="Times New Roman"/>
        </w:rPr>
        <w:t>2: Growth of the U.S. bond market, 1955-2010 (U.S. Dollar Billions)</w:t>
      </w:r>
      <w:r w:rsidRPr="00D03D07">
        <w:rPr>
          <w:rStyle w:val="FootnoteReference"/>
          <w:rFonts w:ascii="Times New Roman" w:eastAsia="Times New Roman" w:hAnsi="Times New Roman" w:cs="Times New Roman"/>
        </w:rPr>
        <w:footnoteReference w:id="10"/>
      </w:r>
    </w:p>
    <w:p w14:paraId="1D93289D" w14:textId="75E05B36" w:rsidR="00D03D07" w:rsidRPr="00D03D07" w:rsidRDefault="00D03D07" w:rsidP="00D03D07">
      <w:pPr>
        <w:spacing w:line="240" w:lineRule="auto"/>
        <w:rPr>
          <w:rFonts w:ascii="Times New Roman" w:eastAsia="Times New Roman" w:hAnsi="Times New Roman" w:cs="Times New Roman"/>
        </w:rPr>
      </w:pPr>
      <w:r w:rsidRPr="00D03D07">
        <w:rPr>
          <w:rFonts w:ascii="Times New Roman" w:hAnsi="Times New Roman" w:cs="Times New Roman"/>
          <w:noProof/>
        </w:rPr>
        <w:drawing>
          <wp:inline distT="0" distB="0" distL="0" distR="0" wp14:anchorId="1844A29D" wp14:editId="1C1F18A2">
            <wp:extent cx="5486400" cy="32004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1734D3" w14:textId="2DC51161" w:rsidR="00D03D07" w:rsidRPr="00D03D07" w:rsidRDefault="00D03D07" w:rsidP="00D03D07">
      <w:pPr>
        <w:spacing w:line="240" w:lineRule="auto"/>
        <w:rPr>
          <w:rFonts w:ascii="Times New Roman" w:eastAsia="Times New Roman" w:hAnsi="Times New Roman" w:cs="Times New Roman"/>
        </w:rPr>
      </w:pPr>
      <w:r>
        <w:rPr>
          <w:rFonts w:ascii="Times New Roman" w:eastAsia="Times New Roman" w:hAnsi="Times New Roman" w:cs="Times New Roman"/>
        </w:rPr>
        <w:t>The</w:t>
      </w:r>
      <w:r w:rsidRPr="00D03D07">
        <w:rPr>
          <w:rFonts w:ascii="Times New Roman" w:eastAsia="Times New Roman" w:hAnsi="Times New Roman" w:cs="Times New Roman"/>
        </w:rPr>
        <w:t xml:space="preserve"> data in Figure 2 show that the total size of the bond market, measured as all debt securities outstanding does not reach 500 billion dollars until 1984. By comparison, the total market value in the U.S. stock market exceeded 1,700 billion dollars in that year.</w:t>
      </w:r>
      <w:r w:rsidRPr="00D03D07">
        <w:rPr>
          <w:rStyle w:val="FootnoteReference"/>
          <w:rFonts w:ascii="Times New Roman" w:eastAsia="Times New Roman" w:hAnsi="Times New Roman" w:cs="Times New Roman"/>
        </w:rPr>
        <w:footnoteReference w:id="11"/>
      </w:r>
    </w:p>
    <w:p w14:paraId="03C52472" w14:textId="77777777" w:rsidR="00B6318A" w:rsidRPr="00B6318A" w:rsidRDefault="00B6318A" w:rsidP="00D03D07">
      <w:pPr>
        <w:spacing w:line="240" w:lineRule="auto"/>
        <w:rPr>
          <w:rFonts w:ascii="Times New Roman" w:eastAsia="Times New Roman" w:hAnsi="Times New Roman" w:cs="Times New Roman"/>
          <w:i/>
        </w:rPr>
      </w:pPr>
      <w:r w:rsidRPr="00B6318A">
        <w:rPr>
          <w:rFonts w:ascii="Times New Roman" w:eastAsia="Times New Roman" w:hAnsi="Times New Roman" w:cs="Times New Roman"/>
          <w:i/>
        </w:rPr>
        <w:lastRenderedPageBreak/>
        <w:t>Corporate Bond Market</w:t>
      </w:r>
    </w:p>
    <w:p w14:paraId="5324967B" w14:textId="1EBFBCB6" w:rsidR="00D03D07" w:rsidRPr="00D03D07" w:rsidRDefault="00F814E4" w:rsidP="00D03D07">
      <w:pPr>
        <w:spacing w:line="240" w:lineRule="auto"/>
        <w:rPr>
          <w:rFonts w:ascii="Times New Roman" w:eastAsia="Times New Roman" w:hAnsi="Times New Roman" w:cs="Times New Roman"/>
        </w:rPr>
      </w:pPr>
      <w:r>
        <w:rPr>
          <w:rFonts w:ascii="Times New Roman" w:eastAsia="Times New Roman" w:hAnsi="Times New Roman" w:cs="Times New Roman"/>
        </w:rPr>
        <w:t>T</w:t>
      </w:r>
      <w:r w:rsidR="00D03D07" w:rsidRPr="00D03D07">
        <w:rPr>
          <w:rFonts w:ascii="Times New Roman" w:eastAsia="Times New Roman" w:hAnsi="Times New Roman" w:cs="Times New Roman"/>
        </w:rPr>
        <w:t xml:space="preserve">he data in Figures </w:t>
      </w:r>
      <w:r w:rsidR="00D96D56">
        <w:rPr>
          <w:rFonts w:ascii="Times New Roman" w:eastAsia="Times New Roman" w:hAnsi="Times New Roman" w:cs="Times New Roman"/>
        </w:rPr>
        <w:t>A</w:t>
      </w:r>
      <w:r w:rsidR="00D03D07" w:rsidRPr="00D03D07">
        <w:rPr>
          <w:rFonts w:ascii="Times New Roman" w:eastAsia="Times New Roman" w:hAnsi="Times New Roman" w:cs="Times New Roman"/>
        </w:rPr>
        <w:t xml:space="preserve">1 and </w:t>
      </w:r>
      <w:r w:rsidR="00D96D56">
        <w:rPr>
          <w:rFonts w:ascii="Times New Roman" w:eastAsia="Times New Roman" w:hAnsi="Times New Roman" w:cs="Times New Roman"/>
        </w:rPr>
        <w:t>A</w:t>
      </w:r>
      <w:r w:rsidR="00D03D07" w:rsidRPr="00D03D07">
        <w:rPr>
          <w:rFonts w:ascii="Times New Roman" w:eastAsia="Times New Roman" w:hAnsi="Times New Roman" w:cs="Times New Roman"/>
        </w:rPr>
        <w:t xml:space="preserve">2 </w:t>
      </w:r>
      <w:r>
        <w:rPr>
          <w:rFonts w:ascii="Times New Roman" w:eastAsia="Times New Roman" w:hAnsi="Times New Roman" w:cs="Times New Roman"/>
        </w:rPr>
        <w:t>demonstrate that the</w:t>
      </w:r>
      <w:r w:rsidR="00D03D07" w:rsidRPr="00D03D07">
        <w:rPr>
          <w:rFonts w:ascii="Times New Roman" w:eastAsia="Times New Roman" w:hAnsi="Times New Roman" w:cs="Times New Roman"/>
        </w:rPr>
        <w:t xml:space="preserve"> growth </w:t>
      </w:r>
      <w:r>
        <w:rPr>
          <w:rFonts w:ascii="Times New Roman" w:eastAsia="Times New Roman" w:hAnsi="Times New Roman" w:cs="Times New Roman"/>
        </w:rPr>
        <w:t xml:space="preserve">in the corporate bond market </w:t>
      </w:r>
      <w:r w:rsidR="00D03D07" w:rsidRPr="00D03D07">
        <w:rPr>
          <w:rFonts w:ascii="Times New Roman" w:eastAsia="Times New Roman" w:hAnsi="Times New Roman" w:cs="Times New Roman"/>
        </w:rPr>
        <w:t>does not commence until the latter half of the decade, after MBS are accepted as bonds. These data are consistent with the assertion on page 28 of the paper that the acceptance of MBS as bonds triggers the growth in corporate bond market (because CMOs are included in corporate bond indices) rat</w:t>
      </w:r>
      <w:r w:rsidR="00D03D07">
        <w:rPr>
          <w:rFonts w:ascii="Times New Roman" w:eastAsia="Times New Roman" w:hAnsi="Times New Roman" w:cs="Times New Roman"/>
        </w:rPr>
        <w:t xml:space="preserve">her than the other way around. </w:t>
      </w:r>
    </w:p>
    <w:p w14:paraId="5046A199" w14:textId="57327F38"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To show the relative sizes of the different components of the fixed-income market more clearly, Figure </w:t>
      </w:r>
      <w:r w:rsidR="00D96D56">
        <w:rPr>
          <w:rFonts w:ascii="Times New Roman" w:eastAsia="Times New Roman" w:hAnsi="Times New Roman" w:cs="Times New Roman"/>
        </w:rPr>
        <w:t>A</w:t>
      </w:r>
      <w:r w:rsidRPr="00D03D07">
        <w:rPr>
          <w:rFonts w:ascii="Times New Roman" w:eastAsia="Times New Roman" w:hAnsi="Times New Roman" w:cs="Times New Roman"/>
        </w:rPr>
        <w:t>3 zooms in at the data series in Figure 1 with 1991 as a cut-off to focus on the market developments in the 1980s.</w:t>
      </w:r>
    </w:p>
    <w:p w14:paraId="40B2543B" w14:textId="2559DED3"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Figure </w:t>
      </w:r>
      <w:r w:rsidR="00D96D56">
        <w:rPr>
          <w:rFonts w:ascii="Times New Roman" w:eastAsia="Times New Roman" w:hAnsi="Times New Roman" w:cs="Times New Roman"/>
        </w:rPr>
        <w:t>A</w:t>
      </w:r>
      <w:r w:rsidRPr="00D03D07">
        <w:rPr>
          <w:rFonts w:ascii="Times New Roman" w:eastAsia="Times New Roman" w:hAnsi="Times New Roman" w:cs="Times New Roman"/>
        </w:rPr>
        <w:t>3: Growth of the U.S. bond market, 1955-1991 (U.S. Dollar Billions)</w:t>
      </w:r>
      <w:r w:rsidRPr="00D03D07">
        <w:rPr>
          <w:rStyle w:val="FootnoteReference"/>
          <w:rFonts w:ascii="Times New Roman" w:eastAsia="Times New Roman" w:hAnsi="Times New Roman" w:cs="Times New Roman"/>
        </w:rPr>
        <w:footnoteReference w:id="12"/>
      </w:r>
    </w:p>
    <w:p w14:paraId="1456399F" w14:textId="77777777" w:rsidR="00D03D07" w:rsidRPr="00D03D07" w:rsidRDefault="00D03D07" w:rsidP="00D03D07">
      <w:pPr>
        <w:spacing w:line="240" w:lineRule="auto"/>
        <w:rPr>
          <w:rFonts w:ascii="Times New Roman" w:eastAsia="Times New Roman" w:hAnsi="Times New Roman" w:cs="Times New Roman"/>
        </w:rPr>
      </w:pPr>
      <w:r w:rsidRPr="00D03D07">
        <w:rPr>
          <w:rFonts w:ascii="Times New Roman" w:hAnsi="Times New Roman" w:cs="Times New Roman"/>
          <w:noProof/>
        </w:rPr>
        <w:drawing>
          <wp:inline distT="0" distB="0" distL="0" distR="0" wp14:anchorId="7000D025" wp14:editId="6A3E1EB7">
            <wp:extent cx="5486400" cy="32004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070C7F" w14:textId="2A71DC73"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The data in Figure </w:t>
      </w:r>
      <w:r w:rsidR="00D96D56">
        <w:rPr>
          <w:rFonts w:ascii="Times New Roman" w:eastAsia="Times New Roman" w:hAnsi="Times New Roman" w:cs="Times New Roman"/>
        </w:rPr>
        <w:t>A</w:t>
      </w:r>
      <w:r w:rsidRPr="00D03D07">
        <w:rPr>
          <w:rFonts w:ascii="Times New Roman" w:eastAsia="Times New Roman" w:hAnsi="Times New Roman" w:cs="Times New Roman"/>
        </w:rPr>
        <w:t>3 show that the volume of corporate bonds stays nearly flat for much of the period of study in the paper and takes off around the same time as the 1986 Tax Reform Act eased the CMO issuance rules</w:t>
      </w:r>
      <w:r w:rsidR="00B6318A">
        <w:rPr>
          <w:rFonts w:ascii="Times New Roman" w:eastAsia="Times New Roman" w:hAnsi="Times New Roman" w:cs="Times New Roman"/>
        </w:rPr>
        <w:t>.</w:t>
      </w:r>
    </w:p>
    <w:p w14:paraId="0BA6FEF3" w14:textId="48750A09" w:rsidR="00B6318A" w:rsidRPr="00B6318A" w:rsidRDefault="00B6318A" w:rsidP="00D03D07">
      <w:pPr>
        <w:spacing w:line="240" w:lineRule="auto"/>
        <w:rPr>
          <w:rFonts w:ascii="Times New Roman" w:eastAsia="Times New Roman" w:hAnsi="Times New Roman" w:cs="Times New Roman"/>
          <w:i/>
        </w:rPr>
      </w:pPr>
      <w:r w:rsidRPr="00B6318A">
        <w:rPr>
          <w:rFonts w:ascii="Times New Roman" w:eastAsia="Times New Roman" w:hAnsi="Times New Roman" w:cs="Times New Roman"/>
          <w:i/>
        </w:rPr>
        <w:t>Foreign Capital in the Bond Market</w:t>
      </w:r>
    </w:p>
    <w:p w14:paraId="4655C23F" w14:textId="033215C6"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To address the possibility of the influx of foreign capital affecting the acceptance of MBS as bonds, I have collected data on foreign purchases of U.S. bonds 1955-2010 and plotted these purchases against the growth in MBS in Figure </w:t>
      </w:r>
      <w:r w:rsidR="00D96D56">
        <w:rPr>
          <w:rFonts w:ascii="Times New Roman" w:eastAsia="Times New Roman" w:hAnsi="Times New Roman" w:cs="Times New Roman"/>
        </w:rPr>
        <w:t>A</w:t>
      </w:r>
      <w:r w:rsidRPr="00D03D07">
        <w:rPr>
          <w:rFonts w:ascii="Times New Roman" w:eastAsia="Times New Roman" w:hAnsi="Times New Roman" w:cs="Times New Roman"/>
        </w:rPr>
        <w:t>4.</w:t>
      </w:r>
    </w:p>
    <w:p w14:paraId="6309D762" w14:textId="343D96EA" w:rsidR="00D03D07" w:rsidRPr="00D03D07" w:rsidRDefault="00D03D07" w:rsidP="00D03D07">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Figure </w:t>
      </w:r>
      <w:r w:rsidR="00D96D56">
        <w:rPr>
          <w:rFonts w:ascii="Times New Roman" w:eastAsia="Times New Roman" w:hAnsi="Times New Roman" w:cs="Times New Roman"/>
        </w:rPr>
        <w:t>A</w:t>
      </w:r>
      <w:r w:rsidRPr="00D03D07">
        <w:rPr>
          <w:rFonts w:ascii="Times New Roman" w:eastAsia="Times New Roman" w:hAnsi="Times New Roman" w:cs="Times New Roman"/>
        </w:rPr>
        <w:t>4: Foreigners’ purchase of U.S bonds and growth in asset-backed securities (ABS) (U.S. Dollar Billions)</w:t>
      </w:r>
      <w:r w:rsidRPr="00D03D07">
        <w:rPr>
          <w:rStyle w:val="FootnoteReference"/>
          <w:rFonts w:ascii="Times New Roman" w:eastAsia="Times New Roman" w:hAnsi="Times New Roman" w:cs="Times New Roman"/>
        </w:rPr>
        <w:footnoteReference w:id="13"/>
      </w:r>
    </w:p>
    <w:p w14:paraId="7A0053AF" w14:textId="1721127E" w:rsidR="00D03D07" w:rsidRPr="00D03D07" w:rsidRDefault="00D03D07" w:rsidP="00D03D07">
      <w:pPr>
        <w:spacing w:line="240" w:lineRule="auto"/>
        <w:rPr>
          <w:rFonts w:ascii="Times New Roman" w:eastAsia="Times New Roman" w:hAnsi="Times New Roman" w:cs="Times New Roman"/>
        </w:rPr>
      </w:pPr>
      <w:r w:rsidRPr="00D03D07">
        <w:rPr>
          <w:rFonts w:ascii="Times New Roman" w:hAnsi="Times New Roman" w:cs="Times New Roman"/>
          <w:noProof/>
        </w:rPr>
        <w:lastRenderedPageBreak/>
        <w:drawing>
          <wp:inline distT="0" distB="0" distL="0" distR="0" wp14:anchorId="6C2D354F" wp14:editId="1D6307F2">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3E0199" w14:textId="2D269A76" w:rsidR="00D03D07" w:rsidRPr="005C003B" w:rsidRDefault="00D03D07" w:rsidP="005C003B">
      <w:pPr>
        <w:spacing w:line="240" w:lineRule="auto"/>
        <w:rPr>
          <w:rFonts w:ascii="Times New Roman" w:eastAsia="Times New Roman" w:hAnsi="Times New Roman" w:cs="Times New Roman"/>
        </w:rPr>
      </w:pPr>
      <w:r w:rsidRPr="00D03D07">
        <w:rPr>
          <w:rFonts w:ascii="Times New Roman" w:eastAsia="Times New Roman" w:hAnsi="Times New Roman" w:cs="Times New Roman"/>
        </w:rPr>
        <w:t xml:space="preserve">Figure </w:t>
      </w:r>
      <w:r w:rsidR="00D96D56">
        <w:rPr>
          <w:rFonts w:ascii="Times New Roman" w:eastAsia="Times New Roman" w:hAnsi="Times New Roman" w:cs="Times New Roman"/>
        </w:rPr>
        <w:t>A4</w:t>
      </w:r>
      <w:r w:rsidR="00B6318A">
        <w:rPr>
          <w:rFonts w:ascii="Times New Roman" w:eastAsia="Times New Roman" w:hAnsi="Times New Roman" w:cs="Times New Roman"/>
        </w:rPr>
        <w:t xml:space="preserve"> shows that</w:t>
      </w:r>
      <w:r w:rsidRPr="00D03D07">
        <w:rPr>
          <w:rFonts w:ascii="Times New Roman" w:eastAsia="Times New Roman" w:hAnsi="Times New Roman" w:cs="Times New Roman"/>
        </w:rPr>
        <w:t xml:space="preserve"> the foreign purchases of U.S. bonds stays nearly flat through 1989 and do not take off until nearly a decade after MBS are accepted as bonds. Moreover, even assuming that all the foreign investment is directed into MBS (which is a heroic assumption), the foreign investment averages 26% of the total MBS market size between 1970 and 2008. </w:t>
      </w:r>
      <w:r w:rsidR="0050375F" w:rsidRPr="0050375F">
        <w:rPr>
          <w:rFonts w:ascii="Times New Roman" w:eastAsia="Times New Roman" w:hAnsi="Times New Roman" w:cs="Times New Roman"/>
        </w:rPr>
        <w:t xml:space="preserve"> </w:t>
      </w:r>
    </w:p>
    <w:sectPr w:rsidR="00D03D07" w:rsidRPr="005C003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DEDCE" w14:textId="77777777" w:rsidR="00BE014C" w:rsidRDefault="00BE014C" w:rsidP="00DB09F5">
      <w:pPr>
        <w:spacing w:after="0" w:line="240" w:lineRule="auto"/>
      </w:pPr>
      <w:r>
        <w:separator/>
      </w:r>
    </w:p>
  </w:endnote>
  <w:endnote w:type="continuationSeparator" w:id="0">
    <w:p w14:paraId="490A397D" w14:textId="77777777" w:rsidR="00BE014C" w:rsidRDefault="00BE014C" w:rsidP="00DB09F5">
      <w:pPr>
        <w:spacing w:after="0" w:line="240" w:lineRule="auto"/>
      </w:pPr>
      <w:r>
        <w:continuationSeparator/>
      </w:r>
    </w:p>
  </w:endnote>
  <w:endnote w:type="continuationNotice" w:id="1">
    <w:p w14:paraId="0F6DA615" w14:textId="77777777" w:rsidR="00BE014C" w:rsidRDefault="00BE0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782038"/>
      <w:docPartObj>
        <w:docPartGallery w:val="Page Numbers (Bottom of Page)"/>
        <w:docPartUnique/>
      </w:docPartObj>
    </w:sdtPr>
    <w:sdtEndPr>
      <w:rPr>
        <w:noProof/>
      </w:rPr>
    </w:sdtEndPr>
    <w:sdtContent>
      <w:p w14:paraId="29714203" w14:textId="75D8DD2F" w:rsidR="00BE014C" w:rsidRDefault="00BE014C">
        <w:pPr>
          <w:pStyle w:val="Footer"/>
          <w:jc w:val="right"/>
        </w:pPr>
        <w:r w:rsidRPr="00DB09F5">
          <w:rPr>
            <w:rFonts w:ascii="Times New Roman" w:hAnsi="Times New Roman" w:cs="Times New Roman"/>
          </w:rPr>
          <w:fldChar w:fldCharType="begin"/>
        </w:r>
        <w:r w:rsidRPr="00DB09F5">
          <w:rPr>
            <w:rFonts w:ascii="Times New Roman" w:hAnsi="Times New Roman" w:cs="Times New Roman"/>
          </w:rPr>
          <w:instrText xml:space="preserve"> PAGE   \* MERGEFORMAT </w:instrText>
        </w:r>
        <w:r w:rsidRPr="00DB09F5">
          <w:rPr>
            <w:rFonts w:ascii="Times New Roman" w:hAnsi="Times New Roman" w:cs="Times New Roman"/>
          </w:rPr>
          <w:fldChar w:fldCharType="separate"/>
        </w:r>
        <w:r w:rsidR="00034F6D">
          <w:rPr>
            <w:rFonts w:ascii="Times New Roman" w:hAnsi="Times New Roman" w:cs="Times New Roman"/>
            <w:noProof/>
          </w:rPr>
          <w:t>5</w:t>
        </w:r>
        <w:r w:rsidRPr="00DB09F5">
          <w:rPr>
            <w:rFonts w:ascii="Times New Roman" w:hAnsi="Times New Roman" w:cs="Times New Roman"/>
            <w:noProof/>
          </w:rPr>
          <w:fldChar w:fldCharType="end"/>
        </w:r>
      </w:p>
    </w:sdtContent>
  </w:sdt>
  <w:p w14:paraId="78FE28E1" w14:textId="77777777" w:rsidR="00BE014C" w:rsidRDefault="00BE01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FB21C" w14:textId="77777777" w:rsidR="00BE014C" w:rsidRDefault="00BE014C" w:rsidP="00DB09F5">
      <w:pPr>
        <w:spacing w:after="0" w:line="240" w:lineRule="auto"/>
      </w:pPr>
      <w:r>
        <w:separator/>
      </w:r>
    </w:p>
  </w:footnote>
  <w:footnote w:type="continuationSeparator" w:id="0">
    <w:p w14:paraId="4573716A" w14:textId="77777777" w:rsidR="00BE014C" w:rsidRDefault="00BE014C" w:rsidP="00DB09F5">
      <w:pPr>
        <w:spacing w:after="0" w:line="240" w:lineRule="auto"/>
      </w:pPr>
      <w:r>
        <w:continuationSeparator/>
      </w:r>
    </w:p>
  </w:footnote>
  <w:footnote w:type="continuationNotice" w:id="1">
    <w:p w14:paraId="4BED3133" w14:textId="77777777" w:rsidR="00BE014C" w:rsidRDefault="00BE014C">
      <w:pPr>
        <w:spacing w:after="0" w:line="240" w:lineRule="auto"/>
      </w:pPr>
    </w:p>
  </w:footnote>
  <w:footnote w:id="2">
    <w:p w14:paraId="7B348648" w14:textId="77777777"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p. 84.</w:t>
      </w:r>
    </w:p>
  </w:footnote>
  <w:footnote w:id="3">
    <w:p w14:paraId="793C43DA" w14:textId="77777777"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w:t>
      </w:r>
      <w:r w:rsidRPr="00063F0C">
        <w:rPr>
          <w:rFonts w:ascii="Times New Roman" w:eastAsia="Times New Roman" w:hAnsi="Times New Roman" w:cs="Times New Roman"/>
        </w:rPr>
        <w:t>Prior to this point, the interest rate ceilings applied only to commercial banks and were enforced by the Federal Reserve under Regulation Q adopted in 1933 (</w:t>
      </w:r>
      <w:r w:rsidRPr="00063F0C">
        <w:rPr>
          <w:rFonts w:ascii="Times New Roman" w:hAnsi="Times New Roman" w:cs="Times New Roman"/>
        </w:rPr>
        <w:t xml:space="preserve">White, </w:t>
      </w:r>
      <w:r w:rsidRPr="00063F0C">
        <w:rPr>
          <w:rFonts w:ascii="Times New Roman" w:hAnsi="Times New Roman" w:cs="Times New Roman"/>
          <w:i/>
        </w:rPr>
        <w:t>S&amp;L Debacle</w:t>
      </w:r>
      <w:r w:rsidRPr="00063F0C">
        <w:rPr>
          <w:rFonts w:ascii="Times New Roman" w:hAnsi="Times New Roman" w:cs="Times New Roman"/>
        </w:rPr>
        <w:t>).</w:t>
      </w:r>
    </w:p>
  </w:footnote>
  <w:footnote w:id="4">
    <w:p w14:paraId="1803F1D7" w14:textId="77777777"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w:t>
      </w:r>
      <w:proofErr w:type="spellStart"/>
      <w:proofErr w:type="gramStart"/>
      <w:r w:rsidRPr="00063F0C">
        <w:rPr>
          <w:rFonts w:ascii="Times New Roman" w:hAnsi="Times New Roman" w:cs="Times New Roman"/>
        </w:rPr>
        <w:t>Krippner</w:t>
      </w:r>
      <w:proofErr w:type="spellEnd"/>
      <w:r w:rsidRPr="00063F0C">
        <w:rPr>
          <w:rFonts w:ascii="Times New Roman" w:hAnsi="Times New Roman" w:cs="Times New Roman"/>
        </w:rPr>
        <w:t xml:space="preserve">, </w:t>
      </w:r>
      <w:r w:rsidRPr="00063F0C">
        <w:rPr>
          <w:rFonts w:ascii="Times New Roman" w:hAnsi="Times New Roman" w:cs="Times New Roman"/>
          <w:i/>
        </w:rPr>
        <w:t>Capitalizing on Crisis</w:t>
      </w:r>
      <w:r w:rsidRPr="00063F0C">
        <w:rPr>
          <w:rFonts w:ascii="Times New Roman" w:hAnsi="Times New Roman" w:cs="Times New Roman"/>
        </w:rPr>
        <w:t>.</w:t>
      </w:r>
      <w:proofErr w:type="gramEnd"/>
    </w:p>
  </w:footnote>
  <w:footnote w:id="5">
    <w:p w14:paraId="6A619175" w14:textId="3E51E6EF"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w:t>
      </w:r>
      <w:proofErr w:type="gramStart"/>
      <w:r w:rsidRPr="00063F0C">
        <w:rPr>
          <w:rFonts w:ascii="Times New Roman" w:hAnsi="Times New Roman" w:cs="Times New Roman"/>
        </w:rPr>
        <w:t xml:space="preserve">White, </w:t>
      </w:r>
      <w:r w:rsidRPr="00063F0C">
        <w:rPr>
          <w:rFonts w:ascii="Times New Roman" w:hAnsi="Times New Roman" w:cs="Times New Roman"/>
          <w:i/>
        </w:rPr>
        <w:t>S&amp;L Debacle</w:t>
      </w:r>
      <w:r w:rsidRPr="00063F0C">
        <w:rPr>
          <w:rFonts w:ascii="Times New Roman" w:hAnsi="Times New Roman" w:cs="Times New Roman"/>
        </w:rPr>
        <w:t>.</w:t>
      </w:r>
      <w:proofErr w:type="gramEnd"/>
    </w:p>
  </w:footnote>
  <w:footnote w:id="6">
    <w:p w14:paraId="3C1612DD" w14:textId="77777777"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Sources: bond market size—Board of Governors of the Federal Reserve System, </w:t>
      </w:r>
      <w:r w:rsidRPr="00063F0C">
        <w:rPr>
          <w:rFonts w:ascii="Times New Roman" w:hAnsi="Times New Roman" w:cs="Times New Roman"/>
          <w:i/>
        </w:rPr>
        <w:t xml:space="preserve">Flow of Funds Accounts of the United States: Annual Flows and </w:t>
      </w:r>
      <w:proofErr w:type="spellStart"/>
      <w:r w:rsidRPr="00063F0C">
        <w:rPr>
          <w:rFonts w:ascii="Times New Roman" w:hAnsi="Times New Roman" w:cs="Times New Roman"/>
          <w:i/>
        </w:rPr>
        <w:t>Outstandings</w:t>
      </w:r>
      <w:proofErr w:type="spellEnd"/>
      <w:r w:rsidRPr="00063F0C">
        <w:rPr>
          <w:rFonts w:ascii="Times New Roman" w:hAnsi="Times New Roman" w:cs="Times New Roman"/>
        </w:rPr>
        <w:t xml:space="preserve"> 1955-1964, 1965-1974, 1975-1984, 1985-1994, 1995-2004, 2005-2010; flow of funds rate—Federal Reserve Economic Data https://fred.stlouisfed.org.</w:t>
      </w:r>
    </w:p>
  </w:footnote>
  <w:footnote w:id="7">
    <w:p w14:paraId="35DE8E90" w14:textId="77777777" w:rsidR="00BE014C" w:rsidRPr="00063F0C" w:rsidRDefault="00BE014C" w:rsidP="0095674C">
      <w:pPr>
        <w:spacing w:after="0" w:line="240" w:lineRule="auto"/>
        <w:rPr>
          <w:rFonts w:ascii="Times New Roman" w:eastAsia="Times New Roman" w:hAnsi="Times New Roman" w:cs="Times New Roman"/>
          <w:sz w:val="20"/>
          <w:szCs w:val="20"/>
        </w:rPr>
      </w:pPr>
      <w:r w:rsidRPr="00063F0C">
        <w:rPr>
          <w:rStyle w:val="FootnoteReference"/>
          <w:rFonts w:ascii="Times New Roman" w:hAnsi="Times New Roman" w:cs="Times New Roman"/>
          <w:sz w:val="20"/>
          <w:szCs w:val="20"/>
        </w:rPr>
        <w:footnoteRef/>
      </w:r>
      <w:r w:rsidRPr="00063F0C">
        <w:rPr>
          <w:rFonts w:ascii="Times New Roman" w:hAnsi="Times New Roman" w:cs="Times New Roman"/>
          <w:sz w:val="20"/>
          <w:szCs w:val="20"/>
        </w:rPr>
        <w:t xml:space="preserve"> </w:t>
      </w:r>
      <w:r w:rsidRPr="00063F0C">
        <w:rPr>
          <w:rFonts w:ascii="Times New Roman" w:eastAsia="Times New Roman" w:hAnsi="Times New Roman" w:cs="Times New Roman"/>
          <w:sz w:val="20"/>
          <w:szCs w:val="20"/>
        </w:rPr>
        <w:t>Arguably, part of the reason for the push for securitization was the lack of clarity on how to bring inflation under control. Indeed, the efforts to combat inflation do not bear fruit until early 1980s. On October 6, 1979 the Board of Governors of the Federal Reserve adapted a policy, then viewed as radical, to “finally slay the inflation dragon that was stalking the land” (</w:t>
      </w:r>
      <w:proofErr w:type="spellStart"/>
      <w:r w:rsidRPr="00063F0C">
        <w:rPr>
          <w:rFonts w:ascii="Times New Roman" w:hAnsi="Times New Roman" w:cs="Times New Roman"/>
          <w:sz w:val="20"/>
          <w:szCs w:val="20"/>
        </w:rPr>
        <w:t>Fettig</w:t>
      </w:r>
      <w:proofErr w:type="spellEnd"/>
      <w:r w:rsidRPr="00063F0C">
        <w:rPr>
          <w:rFonts w:ascii="Times New Roman" w:hAnsi="Times New Roman" w:cs="Times New Roman"/>
          <w:sz w:val="20"/>
          <w:szCs w:val="20"/>
        </w:rPr>
        <w:t>, “Review”</w:t>
      </w:r>
      <w:r w:rsidRPr="00063F0C">
        <w:rPr>
          <w:rFonts w:ascii="Times New Roman" w:eastAsia="Times New Roman" w:hAnsi="Times New Roman" w:cs="Times New Roman"/>
          <w:sz w:val="20"/>
          <w:szCs w:val="20"/>
        </w:rPr>
        <w:t>). The policy succeeded and having run its course was reversed on October 5, 1982.</w:t>
      </w:r>
    </w:p>
  </w:footnote>
  <w:footnote w:id="8">
    <w:p w14:paraId="361001D4" w14:textId="4598ED92"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Kaufman, </w:t>
      </w:r>
      <w:r w:rsidRPr="00063F0C">
        <w:rPr>
          <w:rFonts w:ascii="Times New Roman" w:hAnsi="Times New Roman" w:cs="Times New Roman"/>
          <w:i/>
        </w:rPr>
        <w:t>Interest Rates, the Markets, and the New Financial World</w:t>
      </w:r>
      <w:r w:rsidRPr="00063F0C">
        <w:rPr>
          <w:rFonts w:ascii="Times New Roman" w:hAnsi="Times New Roman" w:cs="Times New Roman"/>
        </w:rPr>
        <w:t>, p. 12.</w:t>
      </w:r>
    </w:p>
  </w:footnote>
  <w:footnote w:id="9">
    <w:p w14:paraId="1F2301DA" w14:textId="6D782FF5"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Donnelly, “Rush for Fixed-Income Research,” p. 165.</w:t>
      </w:r>
    </w:p>
  </w:footnote>
  <w:footnote w:id="10">
    <w:p w14:paraId="1D0AC7E3" w14:textId="77777777"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Source: Board of Governors of the Federal Reserve System, </w:t>
      </w:r>
      <w:r w:rsidRPr="00063F0C">
        <w:rPr>
          <w:rFonts w:ascii="Times New Roman" w:hAnsi="Times New Roman" w:cs="Times New Roman"/>
          <w:i/>
        </w:rPr>
        <w:t xml:space="preserve">Flow of Funds Accounts of the United States: Annual Flows and </w:t>
      </w:r>
      <w:proofErr w:type="spellStart"/>
      <w:r w:rsidRPr="00063F0C">
        <w:rPr>
          <w:rFonts w:ascii="Times New Roman" w:hAnsi="Times New Roman" w:cs="Times New Roman"/>
          <w:i/>
        </w:rPr>
        <w:t>Outstandings</w:t>
      </w:r>
      <w:proofErr w:type="spellEnd"/>
      <w:r w:rsidRPr="00063F0C">
        <w:rPr>
          <w:rFonts w:ascii="Times New Roman" w:hAnsi="Times New Roman" w:cs="Times New Roman"/>
        </w:rPr>
        <w:t xml:space="preserve"> 1955-1964, 1965-1974, 1975-1984, 1985-1994, 1995-2004, 2005-2010.</w:t>
      </w:r>
    </w:p>
  </w:footnote>
  <w:footnote w:id="11">
    <w:p w14:paraId="41A31214" w14:textId="77777777"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Source: Center for Research in Security Prices, Total Market Value Index.</w:t>
      </w:r>
    </w:p>
  </w:footnote>
  <w:footnote w:id="12">
    <w:p w14:paraId="27F94F1A" w14:textId="77777777"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Board of Governors of the Federal Reserve System, </w:t>
      </w:r>
      <w:r w:rsidRPr="00063F0C">
        <w:rPr>
          <w:rFonts w:ascii="Times New Roman" w:hAnsi="Times New Roman" w:cs="Times New Roman"/>
          <w:i/>
        </w:rPr>
        <w:t xml:space="preserve">Flow of Funds Accounts of the United States: Annual Flows and </w:t>
      </w:r>
      <w:proofErr w:type="spellStart"/>
      <w:r w:rsidRPr="00063F0C">
        <w:rPr>
          <w:rFonts w:ascii="Times New Roman" w:hAnsi="Times New Roman" w:cs="Times New Roman"/>
          <w:i/>
        </w:rPr>
        <w:t>Outstandings</w:t>
      </w:r>
      <w:proofErr w:type="spellEnd"/>
      <w:r w:rsidRPr="00063F0C">
        <w:rPr>
          <w:rFonts w:ascii="Times New Roman" w:hAnsi="Times New Roman" w:cs="Times New Roman"/>
        </w:rPr>
        <w:t xml:space="preserve"> 1955-1964, 1965-1974, 1975-1984, </w:t>
      </w:r>
      <w:proofErr w:type="gramStart"/>
      <w:r w:rsidRPr="00063F0C">
        <w:rPr>
          <w:rFonts w:ascii="Times New Roman" w:hAnsi="Times New Roman" w:cs="Times New Roman"/>
        </w:rPr>
        <w:t>1985</w:t>
      </w:r>
      <w:proofErr w:type="gramEnd"/>
      <w:r w:rsidRPr="00063F0C">
        <w:rPr>
          <w:rFonts w:ascii="Times New Roman" w:hAnsi="Times New Roman" w:cs="Times New Roman"/>
        </w:rPr>
        <w:t>-1994.</w:t>
      </w:r>
    </w:p>
  </w:footnote>
  <w:footnote w:id="13">
    <w:p w14:paraId="225C5703" w14:textId="77777777" w:rsidR="00BE014C" w:rsidRPr="00063F0C" w:rsidRDefault="00BE014C" w:rsidP="0095674C">
      <w:pPr>
        <w:pStyle w:val="FootnoteText"/>
        <w:rPr>
          <w:rFonts w:ascii="Times New Roman" w:hAnsi="Times New Roman" w:cs="Times New Roman"/>
        </w:rPr>
      </w:pPr>
      <w:r w:rsidRPr="00063F0C">
        <w:rPr>
          <w:rStyle w:val="FootnoteReference"/>
          <w:rFonts w:ascii="Times New Roman" w:hAnsi="Times New Roman" w:cs="Times New Roman"/>
        </w:rPr>
        <w:footnoteRef/>
      </w:r>
      <w:r w:rsidRPr="00063F0C">
        <w:rPr>
          <w:rFonts w:ascii="Times New Roman" w:hAnsi="Times New Roman" w:cs="Times New Roman"/>
        </w:rPr>
        <w:t xml:space="preserve"> Source: Board of Governors of the Federal Reserve System, </w:t>
      </w:r>
      <w:r w:rsidRPr="00063F0C">
        <w:rPr>
          <w:rFonts w:ascii="Times New Roman" w:hAnsi="Times New Roman" w:cs="Times New Roman"/>
          <w:i/>
        </w:rPr>
        <w:t xml:space="preserve">Flow of Funds Accounts of the United States: Annual Flows and </w:t>
      </w:r>
      <w:proofErr w:type="spellStart"/>
      <w:r w:rsidRPr="00063F0C">
        <w:rPr>
          <w:rFonts w:ascii="Times New Roman" w:hAnsi="Times New Roman" w:cs="Times New Roman"/>
          <w:i/>
        </w:rPr>
        <w:t>Outstandings</w:t>
      </w:r>
      <w:proofErr w:type="spellEnd"/>
      <w:r w:rsidRPr="00063F0C">
        <w:rPr>
          <w:rFonts w:ascii="Times New Roman" w:hAnsi="Times New Roman" w:cs="Times New Roman"/>
        </w:rPr>
        <w:t xml:space="preserve"> 1955-1964, 1965-1974, 1975-1984, 1985-1994, 1995-2004, 2005-2010.</w:t>
      </w:r>
      <w:bookmarkStart w:id="0" w:name="_GoBack"/>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1BA3D" w14:textId="6B7CBFE3" w:rsidR="00BE014C" w:rsidRPr="001C5AB2" w:rsidRDefault="00BE014C">
    <w:pPr>
      <w:pStyle w:val="Header"/>
      <w:rPr>
        <w:rFonts w:ascii="Times New Roman" w:hAnsi="Times New Roman" w:cs="Times New Roman"/>
      </w:rPr>
    </w:pPr>
    <w:r w:rsidRPr="001C5AB2">
      <w:rPr>
        <w:rFonts w:ascii="Times New Roman" w:hAnsi="Times New Roman" w:cs="Times New Roman"/>
      </w:rPr>
      <w:tab/>
    </w:r>
    <w:r w:rsidRPr="001C5AB2">
      <w:rPr>
        <w:rFonts w:ascii="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407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E6578F"/>
    <w:multiLevelType w:val="hybridMultilevel"/>
    <w:tmpl w:val="BC2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E0732"/>
    <w:multiLevelType w:val="hybridMultilevel"/>
    <w:tmpl w:val="B7CC84F8"/>
    <w:lvl w:ilvl="0" w:tplc="80FA70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8C"/>
    <w:rsid w:val="000030BD"/>
    <w:rsid w:val="000050F8"/>
    <w:rsid w:val="00007DD8"/>
    <w:rsid w:val="00007FE2"/>
    <w:rsid w:val="00011442"/>
    <w:rsid w:val="00011C76"/>
    <w:rsid w:val="00011F07"/>
    <w:rsid w:val="00012F0F"/>
    <w:rsid w:val="0001341E"/>
    <w:rsid w:val="00013760"/>
    <w:rsid w:val="000137C4"/>
    <w:rsid w:val="00014FCB"/>
    <w:rsid w:val="000157F9"/>
    <w:rsid w:val="000207B0"/>
    <w:rsid w:val="00020F7C"/>
    <w:rsid w:val="00022E95"/>
    <w:rsid w:val="00023BB4"/>
    <w:rsid w:val="00025194"/>
    <w:rsid w:val="00030A96"/>
    <w:rsid w:val="000318D5"/>
    <w:rsid w:val="00032AC7"/>
    <w:rsid w:val="000340DE"/>
    <w:rsid w:val="0003424A"/>
    <w:rsid w:val="00034F6D"/>
    <w:rsid w:val="0003571C"/>
    <w:rsid w:val="00035BFB"/>
    <w:rsid w:val="00036986"/>
    <w:rsid w:val="00037157"/>
    <w:rsid w:val="0004120E"/>
    <w:rsid w:val="0005429D"/>
    <w:rsid w:val="000558C1"/>
    <w:rsid w:val="00055AE5"/>
    <w:rsid w:val="00055DB8"/>
    <w:rsid w:val="00056C05"/>
    <w:rsid w:val="00060F0C"/>
    <w:rsid w:val="00063F0C"/>
    <w:rsid w:val="000641C3"/>
    <w:rsid w:val="0006723E"/>
    <w:rsid w:val="000730F0"/>
    <w:rsid w:val="00074410"/>
    <w:rsid w:val="00076F27"/>
    <w:rsid w:val="00081BE9"/>
    <w:rsid w:val="000821D7"/>
    <w:rsid w:val="000822EC"/>
    <w:rsid w:val="00082D80"/>
    <w:rsid w:val="00082DD5"/>
    <w:rsid w:val="00083C2F"/>
    <w:rsid w:val="00083D1B"/>
    <w:rsid w:val="00087554"/>
    <w:rsid w:val="00090A17"/>
    <w:rsid w:val="00093FBB"/>
    <w:rsid w:val="00094C6F"/>
    <w:rsid w:val="0009605A"/>
    <w:rsid w:val="00096610"/>
    <w:rsid w:val="000975F5"/>
    <w:rsid w:val="000A084D"/>
    <w:rsid w:val="000A0FEB"/>
    <w:rsid w:val="000A27AF"/>
    <w:rsid w:val="000A2D91"/>
    <w:rsid w:val="000A3565"/>
    <w:rsid w:val="000A3C36"/>
    <w:rsid w:val="000A68EA"/>
    <w:rsid w:val="000B12F8"/>
    <w:rsid w:val="000B27A7"/>
    <w:rsid w:val="000B3C4F"/>
    <w:rsid w:val="000B3E25"/>
    <w:rsid w:val="000B4A42"/>
    <w:rsid w:val="000B69F1"/>
    <w:rsid w:val="000C22E3"/>
    <w:rsid w:val="000C30D5"/>
    <w:rsid w:val="000C62CF"/>
    <w:rsid w:val="000D0D30"/>
    <w:rsid w:val="000D1447"/>
    <w:rsid w:val="000D170B"/>
    <w:rsid w:val="000D1F33"/>
    <w:rsid w:val="000D2707"/>
    <w:rsid w:val="000D3621"/>
    <w:rsid w:val="000D75C8"/>
    <w:rsid w:val="000D7D78"/>
    <w:rsid w:val="000D7FD1"/>
    <w:rsid w:val="000E049E"/>
    <w:rsid w:val="000E7ACD"/>
    <w:rsid w:val="000E7D9F"/>
    <w:rsid w:val="000F09B2"/>
    <w:rsid w:val="000F1836"/>
    <w:rsid w:val="000F59FD"/>
    <w:rsid w:val="000F5E74"/>
    <w:rsid w:val="00101F69"/>
    <w:rsid w:val="00102540"/>
    <w:rsid w:val="00103144"/>
    <w:rsid w:val="00103C6F"/>
    <w:rsid w:val="00103D9F"/>
    <w:rsid w:val="0010486C"/>
    <w:rsid w:val="001064A7"/>
    <w:rsid w:val="00107A70"/>
    <w:rsid w:val="00107B2E"/>
    <w:rsid w:val="001107C4"/>
    <w:rsid w:val="00111393"/>
    <w:rsid w:val="0011448F"/>
    <w:rsid w:val="00114616"/>
    <w:rsid w:val="001149EA"/>
    <w:rsid w:val="00114C0A"/>
    <w:rsid w:val="00116777"/>
    <w:rsid w:val="001229D6"/>
    <w:rsid w:val="00122A18"/>
    <w:rsid w:val="00122C75"/>
    <w:rsid w:val="00123ED5"/>
    <w:rsid w:val="00124F18"/>
    <w:rsid w:val="0012651D"/>
    <w:rsid w:val="0012691B"/>
    <w:rsid w:val="00126EFE"/>
    <w:rsid w:val="00126F47"/>
    <w:rsid w:val="0012744B"/>
    <w:rsid w:val="00130635"/>
    <w:rsid w:val="00133A57"/>
    <w:rsid w:val="00134D63"/>
    <w:rsid w:val="001351BB"/>
    <w:rsid w:val="001356DD"/>
    <w:rsid w:val="001362C5"/>
    <w:rsid w:val="00137306"/>
    <w:rsid w:val="00142399"/>
    <w:rsid w:val="00143644"/>
    <w:rsid w:val="00145927"/>
    <w:rsid w:val="00145B58"/>
    <w:rsid w:val="00145D87"/>
    <w:rsid w:val="00145E55"/>
    <w:rsid w:val="00147205"/>
    <w:rsid w:val="00147B05"/>
    <w:rsid w:val="00147D51"/>
    <w:rsid w:val="001530CE"/>
    <w:rsid w:val="0015346F"/>
    <w:rsid w:val="00155165"/>
    <w:rsid w:val="001556A7"/>
    <w:rsid w:val="00156B29"/>
    <w:rsid w:val="00156FED"/>
    <w:rsid w:val="00157030"/>
    <w:rsid w:val="0015776B"/>
    <w:rsid w:val="001629A0"/>
    <w:rsid w:val="00163A76"/>
    <w:rsid w:val="001710A6"/>
    <w:rsid w:val="001715B0"/>
    <w:rsid w:val="00175B08"/>
    <w:rsid w:val="00176D59"/>
    <w:rsid w:val="00176FD4"/>
    <w:rsid w:val="00180479"/>
    <w:rsid w:val="00181393"/>
    <w:rsid w:val="00182D53"/>
    <w:rsid w:val="001839A7"/>
    <w:rsid w:val="00186C18"/>
    <w:rsid w:val="00190CE6"/>
    <w:rsid w:val="00191FB9"/>
    <w:rsid w:val="00192425"/>
    <w:rsid w:val="00192CF5"/>
    <w:rsid w:val="001932B7"/>
    <w:rsid w:val="001935A1"/>
    <w:rsid w:val="00194763"/>
    <w:rsid w:val="00195D87"/>
    <w:rsid w:val="0019639C"/>
    <w:rsid w:val="00196B72"/>
    <w:rsid w:val="00196FDD"/>
    <w:rsid w:val="00197128"/>
    <w:rsid w:val="0019772C"/>
    <w:rsid w:val="001A0F88"/>
    <w:rsid w:val="001A470D"/>
    <w:rsid w:val="001A49CC"/>
    <w:rsid w:val="001B0E76"/>
    <w:rsid w:val="001B2952"/>
    <w:rsid w:val="001B2F0C"/>
    <w:rsid w:val="001B4059"/>
    <w:rsid w:val="001B492D"/>
    <w:rsid w:val="001B509E"/>
    <w:rsid w:val="001B5617"/>
    <w:rsid w:val="001B7D6F"/>
    <w:rsid w:val="001C110E"/>
    <w:rsid w:val="001C2600"/>
    <w:rsid w:val="001C5AB2"/>
    <w:rsid w:val="001C6AA0"/>
    <w:rsid w:val="001D0D92"/>
    <w:rsid w:val="001D1842"/>
    <w:rsid w:val="001D1EA6"/>
    <w:rsid w:val="001D4007"/>
    <w:rsid w:val="001D508D"/>
    <w:rsid w:val="001D5640"/>
    <w:rsid w:val="001D58B0"/>
    <w:rsid w:val="001D6150"/>
    <w:rsid w:val="001E05C5"/>
    <w:rsid w:val="001E1A95"/>
    <w:rsid w:val="001E2497"/>
    <w:rsid w:val="001E5A6D"/>
    <w:rsid w:val="001F2989"/>
    <w:rsid w:val="001F2D7F"/>
    <w:rsid w:val="001F4AFF"/>
    <w:rsid w:val="001F52AE"/>
    <w:rsid w:val="00200047"/>
    <w:rsid w:val="00201DEA"/>
    <w:rsid w:val="00201F9C"/>
    <w:rsid w:val="002027A5"/>
    <w:rsid w:val="00204DD5"/>
    <w:rsid w:val="002057CB"/>
    <w:rsid w:val="00207D7D"/>
    <w:rsid w:val="002105E1"/>
    <w:rsid w:val="00210653"/>
    <w:rsid w:val="0021077E"/>
    <w:rsid w:val="00210FF4"/>
    <w:rsid w:val="002114EF"/>
    <w:rsid w:val="00212964"/>
    <w:rsid w:val="00214193"/>
    <w:rsid w:val="00214893"/>
    <w:rsid w:val="002149CE"/>
    <w:rsid w:val="002161DF"/>
    <w:rsid w:val="00216353"/>
    <w:rsid w:val="00221844"/>
    <w:rsid w:val="00222D82"/>
    <w:rsid w:val="00223390"/>
    <w:rsid w:val="00223731"/>
    <w:rsid w:val="002258CF"/>
    <w:rsid w:val="002302D5"/>
    <w:rsid w:val="0023037E"/>
    <w:rsid w:val="002335DF"/>
    <w:rsid w:val="00233687"/>
    <w:rsid w:val="00234491"/>
    <w:rsid w:val="00235509"/>
    <w:rsid w:val="00235840"/>
    <w:rsid w:val="002373C0"/>
    <w:rsid w:val="0023792B"/>
    <w:rsid w:val="00240520"/>
    <w:rsid w:val="00242F78"/>
    <w:rsid w:val="00244CEB"/>
    <w:rsid w:val="0024645A"/>
    <w:rsid w:val="00247824"/>
    <w:rsid w:val="00251777"/>
    <w:rsid w:val="00251938"/>
    <w:rsid w:val="00251CE8"/>
    <w:rsid w:val="00252483"/>
    <w:rsid w:val="00253C25"/>
    <w:rsid w:val="00253EE8"/>
    <w:rsid w:val="00256E50"/>
    <w:rsid w:val="00260EE7"/>
    <w:rsid w:val="00261ED6"/>
    <w:rsid w:val="00265FDD"/>
    <w:rsid w:val="00266B3C"/>
    <w:rsid w:val="002678EC"/>
    <w:rsid w:val="00267A2D"/>
    <w:rsid w:val="002715A0"/>
    <w:rsid w:val="002720C7"/>
    <w:rsid w:val="002721F1"/>
    <w:rsid w:val="00272993"/>
    <w:rsid w:val="00272A55"/>
    <w:rsid w:val="00274DF0"/>
    <w:rsid w:val="00275410"/>
    <w:rsid w:val="0027592B"/>
    <w:rsid w:val="002805C1"/>
    <w:rsid w:val="002810F0"/>
    <w:rsid w:val="00281AD5"/>
    <w:rsid w:val="00282066"/>
    <w:rsid w:val="00286D37"/>
    <w:rsid w:val="00292C20"/>
    <w:rsid w:val="002948FF"/>
    <w:rsid w:val="002965A9"/>
    <w:rsid w:val="00297178"/>
    <w:rsid w:val="002A0370"/>
    <w:rsid w:val="002A1D86"/>
    <w:rsid w:val="002A614B"/>
    <w:rsid w:val="002B1DAA"/>
    <w:rsid w:val="002B2A01"/>
    <w:rsid w:val="002B4DB9"/>
    <w:rsid w:val="002B6B53"/>
    <w:rsid w:val="002B7E8B"/>
    <w:rsid w:val="002C2289"/>
    <w:rsid w:val="002C591E"/>
    <w:rsid w:val="002C78C7"/>
    <w:rsid w:val="002C7F7F"/>
    <w:rsid w:val="002D0943"/>
    <w:rsid w:val="002D4C06"/>
    <w:rsid w:val="002D5083"/>
    <w:rsid w:val="002D6327"/>
    <w:rsid w:val="002D684C"/>
    <w:rsid w:val="002D6876"/>
    <w:rsid w:val="002D6937"/>
    <w:rsid w:val="002D7518"/>
    <w:rsid w:val="002E1EB8"/>
    <w:rsid w:val="002E2ECA"/>
    <w:rsid w:val="002E4743"/>
    <w:rsid w:val="002E5881"/>
    <w:rsid w:val="002E66C8"/>
    <w:rsid w:val="002E6926"/>
    <w:rsid w:val="002E698A"/>
    <w:rsid w:val="002F00D0"/>
    <w:rsid w:val="002F3679"/>
    <w:rsid w:val="002F3DB2"/>
    <w:rsid w:val="002F4FD0"/>
    <w:rsid w:val="002F553F"/>
    <w:rsid w:val="002F55C8"/>
    <w:rsid w:val="002F60E3"/>
    <w:rsid w:val="003019AC"/>
    <w:rsid w:val="00303BE3"/>
    <w:rsid w:val="00310B1D"/>
    <w:rsid w:val="00310F6D"/>
    <w:rsid w:val="00313E8A"/>
    <w:rsid w:val="003164FB"/>
    <w:rsid w:val="0031661D"/>
    <w:rsid w:val="003172D4"/>
    <w:rsid w:val="0031749F"/>
    <w:rsid w:val="003218C1"/>
    <w:rsid w:val="00322519"/>
    <w:rsid w:val="00322C20"/>
    <w:rsid w:val="003236EE"/>
    <w:rsid w:val="00323D70"/>
    <w:rsid w:val="0032440A"/>
    <w:rsid w:val="00325C5A"/>
    <w:rsid w:val="00326999"/>
    <w:rsid w:val="00330A76"/>
    <w:rsid w:val="003327AB"/>
    <w:rsid w:val="003334DB"/>
    <w:rsid w:val="00333F3F"/>
    <w:rsid w:val="0033464D"/>
    <w:rsid w:val="0033465F"/>
    <w:rsid w:val="00335B5D"/>
    <w:rsid w:val="00335D50"/>
    <w:rsid w:val="00336D9C"/>
    <w:rsid w:val="003406B0"/>
    <w:rsid w:val="0034104D"/>
    <w:rsid w:val="00342B47"/>
    <w:rsid w:val="00342E13"/>
    <w:rsid w:val="00343482"/>
    <w:rsid w:val="00344592"/>
    <w:rsid w:val="00346570"/>
    <w:rsid w:val="0034720B"/>
    <w:rsid w:val="003476C5"/>
    <w:rsid w:val="00351290"/>
    <w:rsid w:val="00351B40"/>
    <w:rsid w:val="00360A5E"/>
    <w:rsid w:val="00361C88"/>
    <w:rsid w:val="00362172"/>
    <w:rsid w:val="003626F5"/>
    <w:rsid w:val="00364732"/>
    <w:rsid w:val="003714C9"/>
    <w:rsid w:val="0037167C"/>
    <w:rsid w:val="00372909"/>
    <w:rsid w:val="003741C7"/>
    <w:rsid w:val="0037507C"/>
    <w:rsid w:val="003814F0"/>
    <w:rsid w:val="0038155F"/>
    <w:rsid w:val="003825F6"/>
    <w:rsid w:val="00384A32"/>
    <w:rsid w:val="00386D46"/>
    <w:rsid w:val="0039099B"/>
    <w:rsid w:val="0039111D"/>
    <w:rsid w:val="003927BD"/>
    <w:rsid w:val="00394678"/>
    <w:rsid w:val="003A3C9B"/>
    <w:rsid w:val="003A4F22"/>
    <w:rsid w:val="003A6508"/>
    <w:rsid w:val="003B36E4"/>
    <w:rsid w:val="003B44F0"/>
    <w:rsid w:val="003B5613"/>
    <w:rsid w:val="003C16A8"/>
    <w:rsid w:val="003C2DFA"/>
    <w:rsid w:val="003C3AAC"/>
    <w:rsid w:val="003C6A29"/>
    <w:rsid w:val="003C7136"/>
    <w:rsid w:val="003D11F0"/>
    <w:rsid w:val="003D24D1"/>
    <w:rsid w:val="003D3B94"/>
    <w:rsid w:val="003D3F3E"/>
    <w:rsid w:val="003D3F92"/>
    <w:rsid w:val="003D4F2E"/>
    <w:rsid w:val="003D51B5"/>
    <w:rsid w:val="003D7D6B"/>
    <w:rsid w:val="003E08E0"/>
    <w:rsid w:val="003E11E2"/>
    <w:rsid w:val="003E145B"/>
    <w:rsid w:val="003E1BF7"/>
    <w:rsid w:val="003E3350"/>
    <w:rsid w:val="003E49E4"/>
    <w:rsid w:val="003E6305"/>
    <w:rsid w:val="003F0E5B"/>
    <w:rsid w:val="003F23DA"/>
    <w:rsid w:val="003F32A2"/>
    <w:rsid w:val="003F47FB"/>
    <w:rsid w:val="003F61A3"/>
    <w:rsid w:val="003F6763"/>
    <w:rsid w:val="00400916"/>
    <w:rsid w:val="004040BE"/>
    <w:rsid w:val="004045FC"/>
    <w:rsid w:val="00404A8C"/>
    <w:rsid w:val="00404DEA"/>
    <w:rsid w:val="00412635"/>
    <w:rsid w:val="00412B93"/>
    <w:rsid w:val="00415D61"/>
    <w:rsid w:val="00416589"/>
    <w:rsid w:val="00416717"/>
    <w:rsid w:val="00417270"/>
    <w:rsid w:val="00422925"/>
    <w:rsid w:val="0043175F"/>
    <w:rsid w:val="00431CF7"/>
    <w:rsid w:val="004325A9"/>
    <w:rsid w:val="00435AD2"/>
    <w:rsid w:val="00436D56"/>
    <w:rsid w:val="00437096"/>
    <w:rsid w:val="004374BF"/>
    <w:rsid w:val="00437918"/>
    <w:rsid w:val="00440742"/>
    <w:rsid w:val="00441F0D"/>
    <w:rsid w:val="004431EB"/>
    <w:rsid w:val="00444CDC"/>
    <w:rsid w:val="00445509"/>
    <w:rsid w:val="00445B17"/>
    <w:rsid w:val="0044623C"/>
    <w:rsid w:val="00451AC9"/>
    <w:rsid w:val="00451D75"/>
    <w:rsid w:val="00451F43"/>
    <w:rsid w:val="004527B9"/>
    <w:rsid w:val="00452C9B"/>
    <w:rsid w:val="00455355"/>
    <w:rsid w:val="00461632"/>
    <w:rsid w:val="0046397C"/>
    <w:rsid w:val="0046568C"/>
    <w:rsid w:val="00467DF9"/>
    <w:rsid w:val="00467F29"/>
    <w:rsid w:val="0047098B"/>
    <w:rsid w:val="00470FB1"/>
    <w:rsid w:val="00471A66"/>
    <w:rsid w:val="00474828"/>
    <w:rsid w:val="00476031"/>
    <w:rsid w:val="004775C5"/>
    <w:rsid w:val="00477A41"/>
    <w:rsid w:val="00480EF2"/>
    <w:rsid w:val="004810D6"/>
    <w:rsid w:val="00482E3E"/>
    <w:rsid w:val="004830E4"/>
    <w:rsid w:val="00485EA7"/>
    <w:rsid w:val="00490C26"/>
    <w:rsid w:val="004910CA"/>
    <w:rsid w:val="004940D2"/>
    <w:rsid w:val="004951CC"/>
    <w:rsid w:val="00495211"/>
    <w:rsid w:val="00495934"/>
    <w:rsid w:val="0049713F"/>
    <w:rsid w:val="00497D8F"/>
    <w:rsid w:val="00497E5D"/>
    <w:rsid w:val="004A4C51"/>
    <w:rsid w:val="004A74CB"/>
    <w:rsid w:val="004B2A60"/>
    <w:rsid w:val="004B4A2D"/>
    <w:rsid w:val="004B5B8A"/>
    <w:rsid w:val="004C2D4B"/>
    <w:rsid w:val="004C5087"/>
    <w:rsid w:val="004C5EA0"/>
    <w:rsid w:val="004C5F1B"/>
    <w:rsid w:val="004C7096"/>
    <w:rsid w:val="004D216B"/>
    <w:rsid w:val="004D46C4"/>
    <w:rsid w:val="004D6A75"/>
    <w:rsid w:val="004D6D96"/>
    <w:rsid w:val="004E01FC"/>
    <w:rsid w:val="004E173C"/>
    <w:rsid w:val="004E1846"/>
    <w:rsid w:val="004E40F3"/>
    <w:rsid w:val="004E56EB"/>
    <w:rsid w:val="004E7F43"/>
    <w:rsid w:val="004F0EBB"/>
    <w:rsid w:val="004F22C6"/>
    <w:rsid w:val="004F2816"/>
    <w:rsid w:val="004F4F67"/>
    <w:rsid w:val="004F5765"/>
    <w:rsid w:val="004F6486"/>
    <w:rsid w:val="004F6817"/>
    <w:rsid w:val="00500855"/>
    <w:rsid w:val="0050259C"/>
    <w:rsid w:val="0050375F"/>
    <w:rsid w:val="005054A6"/>
    <w:rsid w:val="00505D4B"/>
    <w:rsid w:val="005068CD"/>
    <w:rsid w:val="00507726"/>
    <w:rsid w:val="00510F94"/>
    <w:rsid w:val="00515FA4"/>
    <w:rsid w:val="005173A1"/>
    <w:rsid w:val="005176A9"/>
    <w:rsid w:val="00521A2F"/>
    <w:rsid w:val="00522B9C"/>
    <w:rsid w:val="00522D9D"/>
    <w:rsid w:val="00524287"/>
    <w:rsid w:val="0052564E"/>
    <w:rsid w:val="005261D6"/>
    <w:rsid w:val="00530BB3"/>
    <w:rsid w:val="00532FA3"/>
    <w:rsid w:val="00533626"/>
    <w:rsid w:val="00533E9D"/>
    <w:rsid w:val="005408C9"/>
    <w:rsid w:val="00541566"/>
    <w:rsid w:val="00542175"/>
    <w:rsid w:val="00542228"/>
    <w:rsid w:val="005428B3"/>
    <w:rsid w:val="00542C0E"/>
    <w:rsid w:val="0054527B"/>
    <w:rsid w:val="005500DF"/>
    <w:rsid w:val="005504CE"/>
    <w:rsid w:val="005508AA"/>
    <w:rsid w:val="005522DC"/>
    <w:rsid w:val="005529AB"/>
    <w:rsid w:val="005534F5"/>
    <w:rsid w:val="005539E8"/>
    <w:rsid w:val="00554DA3"/>
    <w:rsid w:val="00556AF7"/>
    <w:rsid w:val="005579DE"/>
    <w:rsid w:val="005610B6"/>
    <w:rsid w:val="00561C65"/>
    <w:rsid w:val="00562D9C"/>
    <w:rsid w:val="00565B17"/>
    <w:rsid w:val="00566051"/>
    <w:rsid w:val="005675EC"/>
    <w:rsid w:val="00567C19"/>
    <w:rsid w:val="005712B9"/>
    <w:rsid w:val="00573E3A"/>
    <w:rsid w:val="005745FE"/>
    <w:rsid w:val="00576631"/>
    <w:rsid w:val="0057784D"/>
    <w:rsid w:val="00577E07"/>
    <w:rsid w:val="005803E2"/>
    <w:rsid w:val="0058195A"/>
    <w:rsid w:val="0058342F"/>
    <w:rsid w:val="00584BB4"/>
    <w:rsid w:val="00587709"/>
    <w:rsid w:val="00587DE5"/>
    <w:rsid w:val="00590660"/>
    <w:rsid w:val="00594C53"/>
    <w:rsid w:val="00595928"/>
    <w:rsid w:val="005A04A8"/>
    <w:rsid w:val="005A10D2"/>
    <w:rsid w:val="005A14B8"/>
    <w:rsid w:val="005A2493"/>
    <w:rsid w:val="005A33D8"/>
    <w:rsid w:val="005A3AA1"/>
    <w:rsid w:val="005A4245"/>
    <w:rsid w:val="005A48B8"/>
    <w:rsid w:val="005A4D90"/>
    <w:rsid w:val="005A539F"/>
    <w:rsid w:val="005A7144"/>
    <w:rsid w:val="005A7934"/>
    <w:rsid w:val="005B183C"/>
    <w:rsid w:val="005B1CCB"/>
    <w:rsid w:val="005B3D2D"/>
    <w:rsid w:val="005B4D51"/>
    <w:rsid w:val="005B5326"/>
    <w:rsid w:val="005B5C2B"/>
    <w:rsid w:val="005B7567"/>
    <w:rsid w:val="005C003B"/>
    <w:rsid w:val="005C04F8"/>
    <w:rsid w:val="005C0CA2"/>
    <w:rsid w:val="005C23E2"/>
    <w:rsid w:val="005C3593"/>
    <w:rsid w:val="005C3C7E"/>
    <w:rsid w:val="005C63DC"/>
    <w:rsid w:val="005D275F"/>
    <w:rsid w:val="005D28C1"/>
    <w:rsid w:val="005D35DB"/>
    <w:rsid w:val="005D4333"/>
    <w:rsid w:val="005D5068"/>
    <w:rsid w:val="005D5115"/>
    <w:rsid w:val="005E06CA"/>
    <w:rsid w:val="005E15FE"/>
    <w:rsid w:val="005E1A07"/>
    <w:rsid w:val="005E23D8"/>
    <w:rsid w:val="005E2686"/>
    <w:rsid w:val="005E3789"/>
    <w:rsid w:val="005E430B"/>
    <w:rsid w:val="005E70AE"/>
    <w:rsid w:val="005F17C6"/>
    <w:rsid w:val="005F3C44"/>
    <w:rsid w:val="005F532B"/>
    <w:rsid w:val="005F7A27"/>
    <w:rsid w:val="006011B0"/>
    <w:rsid w:val="00604422"/>
    <w:rsid w:val="00611996"/>
    <w:rsid w:val="00611D19"/>
    <w:rsid w:val="0062267D"/>
    <w:rsid w:val="006238FB"/>
    <w:rsid w:val="00623B43"/>
    <w:rsid w:val="00624E4C"/>
    <w:rsid w:val="00625CD2"/>
    <w:rsid w:val="00632A18"/>
    <w:rsid w:val="00632F09"/>
    <w:rsid w:val="006336E2"/>
    <w:rsid w:val="00634595"/>
    <w:rsid w:val="0063703E"/>
    <w:rsid w:val="00640362"/>
    <w:rsid w:val="006413FC"/>
    <w:rsid w:val="0064227C"/>
    <w:rsid w:val="00642C7A"/>
    <w:rsid w:val="0064580E"/>
    <w:rsid w:val="00647E8C"/>
    <w:rsid w:val="00650BD4"/>
    <w:rsid w:val="00654A02"/>
    <w:rsid w:val="006553A6"/>
    <w:rsid w:val="00657568"/>
    <w:rsid w:val="00662A12"/>
    <w:rsid w:val="006632E2"/>
    <w:rsid w:val="00665C97"/>
    <w:rsid w:val="00667B5C"/>
    <w:rsid w:val="006711AF"/>
    <w:rsid w:val="006724F7"/>
    <w:rsid w:val="00672787"/>
    <w:rsid w:val="00673C48"/>
    <w:rsid w:val="006742B6"/>
    <w:rsid w:val="00675B91"/>
    <w:rsid w:val="0067609C"/>
    <w:rsid w:val="006769AD"/>
    <w:rsid w:val="00676B02"/>
    <w:rsid w:val="0068143B"/>
    <w:rsid w:val="00681CE6"/>
    <w:rsid w:val="00681F15"/>
    <w:rsid w:val="0068244F"/>
    <w:rsid w:val="00682640"/>
    <w:rsid w:val="00690462"/>
    <w:rsid w:val="0069275A"/>
    <w:rsid w:val="00692FCB"/>
    <w:rsid w:val="00693627"/>
    <w:rsid w:val="006947E0"/>
    <w:rsid w:val="00694EF4"/>
    <w:rsid w:val="00696C80"/>
    <w:rsid w:val="006A020E"/>
    <w:rsid w:val="006A64A2"/>
    <w:rsid w:val="006A70CF"/>
    <w:rsid w:val="006A7FEC"/>
    <w:rsid w:val="006B0616"/>
    <w:rsid w:val="006B1B47"/>
    <w:rsid w:val="006B1FC5"/>
    <w:rsid w:val="006B4EBB"/>
    <w:rsid w:val="006B51B0"/>
    <w:rsid w:val="006B5671"/>
    <w:rsid w:val="006B6AA0"/>
    <w:rsid w:val="006B7B46"/>
    <w:rsid w:val="006C10E0"/>
    <w:rsid w:val="006C1843"/>
    <w:rsid w:val="006C1F44"/>
    <w:rsid w:val="006C2A45"/>
    <w:rsid w:val="006C4BE9"/>
    <w:rsid w:val="006C5F74"/>
    <w:rsid w:val="006D0B32"/>
    <w:rsid w:val="006D22BC"/>
    <w:rsid w:val="006D2B91"/>
    <w:rsid w:val="006D4987"/>
    <w:rsid w:val="006D7F32"/>
    <w:rsid w:val="006D7FB5"/>
    <w:rsid w:val="006E086E"/>
    <w:rsid w:val="006E1027"/>
    <w:rsid w:val="006E4871"/>
    <w:rsid w:val="006E6DB7"/>
    <w:rsid w:val="006F2087"/>
    <w:rsid w:val="006F24FC"/>
    <w:rsid w:val="006F2A64"/>
    <w:rsid w:val="006F34E4"/>
    <w:rsid w:val="006F408D"/>
    <w:rsid w:val="006F4428"/>
    <w:rsid w:val="006F562C"/>
    <w:rsid w:val="006F62BA"/>
    <w:rsid w:val="0070044B"/>
    <w:rsid w:val="0070304A"/>
    <w:rsid w:val="007065A1"/>
    <w:rsid w:val="00706CBB"/>
    <w:rsid w:val="00710118"/>
    <w:rsid w:val="00712A7F"/>
    <w:rsid w:val="00714C0F"/>
    <w:rsid w:val="007151E0"/>
    <w:rsid w:val="00715443"/>
    <w:rsid w:val="00721809"/>
    <w:rsid w:val="007231D6"/>
    <w:rsid w:val="00724264"/>
    <w:rsid w:val="00727C7E"/>
    <w:rsid w:val="0073081A"/>
    <w:rsid w:val="00731844"/>
    <w:rsid w:val="00732908"/>
    <w:rsid w:val="00732EB6"/>
    <w:rsid w:val="0073423F"/>
    <w:rsid w:val="007344D0"/>
    <w:rsid w:val="007359C1"/>
    <w:rsid w:val="007365E0"/>
    <w:rsid w:val="00741FCD"/>
    <w:rsid w:val="00742F4E"/>
    <w:rsid w:val="00750068"/>
    <w:rsid w:val="00751DA6"/>
    <w:rsid w:val="00754406"/>
    <w:rsid w:val="00756523"/>
    <w:rsid w:val="00756C87"/>
    <w:rsid w:val="00756F04"/>
    <w:rsid w:val="00757589"/>
    <w:rsid w:val="00757943"/>
    <w:rsid w:val="007607D0"/>
    <w:rsid w:val="0076297F"/>
    <w:rsid w:val="007631A4"/>
    <w:rsid w:val="007633CA"/>
    <w:rsid w:val="007644D9"/>
    <w:rsid w:val="00766636"/>
    <w:rsid w:val="00766962"/>
    <w:rsid w:val="00766D9B"/>
    <w:rsid w:val="00770594"/>
    <w:rsid w:val="00770B4A"/>
    <w:rsid w:val="00770E17"/>
    <w:rsid w:val="00772314"/>
    <w:rsid w:val="00772D0E"/>
    <w:rsid w:val="00772D7C"/>
    <w:rsid w:val="00772E67"/>
    <w:rsid w:val="00773686"/>
    <w:rsid w:val="00773D94"/>
    <w:rsid w:val="00773D9F"/>
    <w:rsid w:val="00774137"/>
    <w:rsid w:val="0077653D"/>
    <w:rsid w:val="00777310"/>
    <w:rsid w:val="00777C07"/>
    <w:rsid w:val="0078005A"/>
    <w:rsid w:val="00783C33"/>
    <w:rsid w:val="00785585"/>
    <w:rsid w:val="0078797C"/>
    <w:rsid w:val="00787B02"/>
    <w:rsid w:val="00790094"/>
    <w:rsid w:val="007902AE"/>
    <w:rsid w:val="00791728"/>
    <w:rsid w:val="007921B2"/>
    <w:rsid w:val="007924A4"/>
    <w:rsid w:val="00794F32"/>
    <w:rsid w:val="007961E8"/>
    <w:rsid w:val="00796B77"/>
    <w:rsid w:val="007A0BC0"/>
    <w:rsid w:val="007A0C44"/>
    <w:rsid w:val="007A12A4"/>
    <w:rsid w:val="007A2525"/>
    <w:rsid w:val="007A2F4E"/>
    <w:rsid w:val="007A36E1"/>
    <w:rsid w:val="007A6212"/>
    <w:rsid w:val="007A6627"/>
    <w:rsid w:val="007A7DDD"/>
    <w:rsid w:val="007B0026"/>
    <w:rsid w:val="007B1EC5"/>
    <w:rsid w:val="007B324C"/>
    <w:rsid w:val="007B691C"/>
    <w:rsid w:val="007C21E7"/>
    <w:rsid w:val="007C2DE4"/>
    <w:rsid w:val="007C632C"/>
    <w:rsid w:val="007C67BC"/>
    <w:rsid w:val="007C69FD"/>
    <w:rsid w:val="007C6F59"/>
    <w:rsid w:val="007D43D8"/>
    <w:rsid w:val="007D6523"/>
    <w:rsid w:val="007E3D77"/>
    <w:rsid w:val="007E427A"/>
    <w:rsid w:val="007E72C3"/>
    <w:rsid w:val="007F0061"/>
    <w:rsid w:val="007F24AB"/>
    <w:rsid w:val="007F26CD"/>
    <w:rsid w:val="007F4206"/>
    <w:rsid w:val="007F6755"/>
    <w:rsid w:val="007F6926"/>
    <w:rsid w:val="00805829"/>
    <w:rsid w:val="00806A3F"/>
    <w:rsid w:val="00807E8E"/>
    <w:rsid w:val="008122AD"/>
    <w:rsid w:val="00813240"/>
    <w:rsid w:val="00813565"/>
    <w:rsid w:val="0081624C"/>
    <w:rsid w:val="00820131"/>
    <w:rsid w:val="00826DED"/>
    <w:rsid w:val="00826EDE"/>
    <w:rsid w:val="00826F0E"/>
    <w:rsid w:val="00830063"/>
    <w:rsid w:val="008304FE"/>
    <w:rsid w:val="00830FA4"/>
    <w:rsid w:val="0083198A"/>
    <w:rsid w:val="0083528B"/>
    <w:rsid w:val="00836C9B"/>
    <w:rsid w:val="008456C3"/>
    <w:rsid w:val="00850179"/>
    <w:rsid w:val="00850FA2"/>
    <w:rsid w:val="008517F8"/>
    <w:rsid w:val="0085229A"/>
    <w:rsid w:val="0085302A"/>
    <w:rsid w:val="00853042"/>
    <w:rsid w:val="00853860"/>
    <w:rsid w:val="00856935"/>
    <w:rsid w:val="00857D3C"/>
    <w:rsid w:val="0086063C"/>
    <w:rsid w:val="00860E07"/>
    <w:rsid w:val="008631CA"/>
    <w:rsid w:val="00865390"/>
    <w:rsid w:val="00866BC4"/>
    <w:rsid w:val="008719DB"/>
    <w:rsid w:val="00871F4E"/>
    <w:rsid w:val="008724AB"/>
    <w:rsid w:val="008729BC"/>
    <w:rsid w:val="00873D5B"/>
    <w:rsid w:val="00876F8C"/>
    <w:rsid w:val="00880E9E"/>
    <w:rsid w:val="00885398"/>
    <w:rsid w:val="00886F04"/>
    <w:rsid w:val="008902FF"/>
    <w:rsid w:val="00891560"/>
    <w:rsid w:val="00894139"/>
    <w:rsid w:val="008944B1"/>
    <w:rsid w:val="00894514"/>
    <w:rsid w:val="00896151"/>
    <w:rsid w:val="008A244C"/>
    <w:rsid w:val="008A2802"/>
    <w:rsid w:val="008A2BAC"/>
    <w:rsid w:val="008A2F89"/>
    <w:rsid w:val="008A38C7"/>
    <w:rsid w:val="008A47E3"/>
    <w:rsid w:val="008A5403"/>
    <w:rsid w:val="008A63E3"/>
    <w:rsid w:val="008B02F0"/>
    <w:rsid w:val="008B0884"/>
    <w:rsid w:val="008B0934"/>
    <w:rsid w:val="008B15F5"/>
    <w:rsid w:val="008B2EBD"/>
    <w:rsid w:val="008B32E1"/>
    <w:rsid w:val="008B56EC"/>
    <w:rsid w:val="008C2C22"/>
    <w:rsid w:val="008C445E"/>
    <w:rsid w:val="008C45A7"/>
    <w:rsid w:val="008C4B41"/>
    <w:rsid w:val="008C6D48"/>
    <w:rsid w:val="008C7142"/>
    <w:rsid w:val="008D11E6"/>
    <w:rsid w:val="008D3403"/>
    <w:rsid w:val="008D6307"/>
    <w:rsid w:val="008D7450"/>
    <w:rsid w:val="008E05CC"/>
    <w:rsid w:val="008E0C01"/>
    <w:rsid w:val="008E0C2C"/>
    <w:rsid w:val="008E1623"/>
    <w:rsid w:val="008E22F8"/>
    <w:rsid w:val="008E2B12"/>
    <w:rsid w:val="008E2F03"/>
    <w:rsid w:val="008E31DD"/>
    <w:rsid w:val="008E38B7"/>
    <w:rsid w:val="008E3B86"/>
    <w:rsid w:val="008E5DA0"/>
    <w:rsid w:val="008E644F"/>
    <w:rsid w:val="008E6649"/>
    <w:rsid w:val="008E73F1"/>
    <w:rsid w:val="008E7BEE"/>
    <w:rsid w:val="008F174F"/>
    <w:rsid w:val="008F1E84"/>
    <w:rsid w:val="008F55FF"/>
    <w:rsid w:val="008F6E36"/>
    <w:rsid w:val="008F73EB"/>
    <w:rsid w:val="008F7A73"/>
    <w:rsid w:val="008F7A8C"/>
    <w:rsid w:val="008F7B85"/>
    <w:rsid w:val="00902AFB"/>
    <w:rsid w:val="0090784F"/>
    <w:rsid w:val="00907851"/>
    <w:rsid w:val="009111BC"/>
    <w:rsid w:val="009111F4"/>
    <w:rsid w:val="0091133F"/>
    <w:rsid w:val="00914C0A"/>
    <w:rsid w:val="00915FB3"/>
    <w:rsid w:val="0092083A"/>
    <w:rsid w:val="009233F7"/>
    <w:rsid w:val="00923414"/>
    <w:rsid w:val="00925311"/>
    <w:rsid w:val="00925F05"/>
    <w:rsid w:val="00926A1C"/>
    <w:rsid w:val="00932A2D"/>
    <w:rsid w:val="0093323A"/>
    <w:rsid w:val="009339D3"/>
    <w:rsid w:val="00933E86"/>
    <w:rsid w:val="009340A5"/>
    <w:rsid w:val="00934787"/>
    <w:rsid w:val="009355B6"/>
    <w:rsid w:val="0093620E"/>
    <w:rsid w:val="009366B6"/>
    <w:rsid w:val="0094045C"/>
    <w:rsid w:val="0094095F"/>
    <w:rsid w:val="009410F2"/>
    <w:rsid w:val="00942E75"/>
    <w:rsid w:val="0094322A"/>
    <w:rsid w:val="00943CA4"/>
    <w:rsid w:val="00943D76"/>
    <w:rsid w:val="00944B4A"/>
    <w:rsid w:val="00947880"/>
    <w:rsid w:val="0095145E"/>
    <w:rsid w:val="00951D04"/>
    <w:rsid w:val="00952236"/>
    <w:rsid w:val="00954A94"/>
    <w:rsid w:val="00954D14"/>
    <w:rsid w:val="009553BB"/>
    <w:rsid w:val="00956672"/>
    <w:rsid w:val="0095674C"/>
    <w:rsid w:val="009569A5"/>
    <w:rsid w:val="00957208"/>
    <w:rsid w:val="00960CB4"/>
    <w:rsid w:val="00960F2D"/>
    <w:rsid w:val="00961141"/>
    <w:rsid w:val="0096426C"/>
    <w:rsid w:val="00964E81"/>
    <w:rsid w:val="00965F62"/>
    <w:rsid w:val="009711F0"/>
    <w:rsid w:val="00971B6C"/>
    <w:rsid w:val="00971C0F"/>
    <w:rsid w:val="009746F2"/>
    <w:rsid w:val="00980EDC"/>
    <w:rsid w:val="009819DC"/>
    <w:rsid w:val="00981A88"/>
    <w:rsid w:val="00983C62"/>
    <w:rsid w:val="009846E3"/>
    <w:rsid w:val="00984CF2"/>
    <w:rsid w:val="00985465"/>
    <w:rsid w:val="00986583"/>
    <w:rsid w:val="00986634"/>
    <w:rsid w:val="00987165"/>
    <w:rsid w:val="009950F8"/>
    <w:rsid w:val="00996398"/>
    <w:rsid w:val="00996E85"/>
    <w:rsid w:val="00997C7D"/>
    <w:rsid w:val="009A2B9C"/>
    <w:rsid w:val="009A4660"/>
    <w:rsid w:val="009A4CD9"/>
    <w:rsid w:val="009A57F0"/>
    <w:rsid w:val="009A6444"/>
    <w:rsid w:val="009A6ABA"/>
    <w:rsid w:val="009A7D5F"/>
    <w:rsid w:val="009B076C"/>
    <w:rsid w:val="009B1AAD"/>
    <w:rsid w:val="009B49B0"/>
    <w:rsid w:val="009B6D28"/>
    <w:rsid w:val="009C05DE"/>
    <w:rsid w:val="009C1BFE"/>
    <w:rsid w:val="009C2666"/>
    <w:rsid w:val="009C31CA"/>
    <w:rsid w:val="009C3D3A"/>
    <w:rsid w:val="009C4DD6"/>
    <w:rsid w:val="009C55EB"/>
    <w:rsid w:val="009C5C82"/>
    <w:rsid w:val="009C788F"/>
    <w:rsid w:val="009D0290"/>
    <w:rsid w:val="009D158D"/>
    <w:rsid w:val="009D22F1"/>
    <w:rsid w:val="009D4146"/>
    <w:rsid w:val="009D44D7"/>
    <w:rsid w:val="009D4A6A"/>
    <w:rsid w:val="009D54E9"/>
    <w:rsid w:val="009D7123"/>
    <w:rsid w:val="009E0B01"/>
    <w:rsid w:val="009E278B"/>
    <w:rsid w:val="009E3191"/>
    <w:rsid w:val="009E586A"/>
    <w:rsid w:val="009E71D5"/>
    <w:rsid w:val="009F2D93"/>
    <w:rsid w:val="009F5120"/>
    <w:rsid w:val="009F5A1C"/>
    <w:rsid w:val="009F6043"/>
    <w:rsid w:val="009F69B7"/>
    <w:rsid w:val="00A0274C"/>
    <w:rsid w:val="00A03E7C"/>
    <w:rsid w:val="00A0441A"/>
    <w:rsid w:val="00A06784"/>
    <w:rsid w:val="00A14A3F"/>
    <w:rsid w:val="00A15607"/>
    <w:rsid w:val="00A15642"/>
    <w:rsid w:val="00A156D9"/>
    <w:rsid w:val="00A1792F"/>
    <w:rsid w:val="00A20C08"/>
    <w:rsid w:val="00A22A60"/>
    <w:rsid w:val="00A23E45"/>
    <w:rsid w:val="00A25218"/>
    <w:rsid w:val="00A26FBA"/>
    <w:rsid w:val="00A26FC0"/>
    <w:rsid w:val="00A31768"/>
    <w:rsid w:val="00A31AEA"/>
    <w:rsid w:val="00A332AF"/>
    <w:rsid w:val="00A34323"/>
    <w:rsid w:val="00A36434"/>
    <w:rsid w:val="00A3671C"/>
    <w:rsid w:val="00A376E0"/>
    <w:rsid w:val="00A37C9F"/>
    <w:rsid w:val="00A40AEC"/>
    <w:rsid w:val="00A41B26"/>
    <w:rsid w:val="00A42B67"/>
    <w:rsid w:val="00A45D08"/>
    <w:rsid w:val="00A4711A"/>
    <w:rsid w:val="00A5108C"/>
    <w:rsid w:val="00A54E2F"/>
    <w:rsid w:val="00A56B6F"/>
    <w:rsid w:val="00A60B8B"/>
    <w:rsid w:val="00A65EAB"/>
    <w:rsid w:val="00A675B1"/>
    <w:rsid w:val="00A702B8"/>
    <w:rsid w:val="00A70ED5"/>
    <w:rsid w:val="00A70F0B"/>
    <w:rsid w:val="00A7255A"/>
    <w:rsid w:val="00A74C3A"/>
    <w:rsid w:val="00A774EA"/>
    <w:rsid w:val="00A80802"/>
    <w:rsid w:val="00A81C4B"/>
    <w:rsid w:val="00A83511"/>
    <w:rsid w:val="00A84E68"/>
    <w:rsid w:val="00A85890"/>
    <w:rsid w:val="00A86883"/>
    <w:rsid w:val="00A86D9C"/>
    <w:rsid w:val="00A876D0"/>
    <w:rsid w:val="00A94250"/>
    <w:rsid w:val="00A97543"/>
    <w:rsid w:val="00AA0D4E"/>
    <w:rsid w:val="00AA409F"/>
    <w:rsid w:val="00AA4C88"/>
    <w:rsid w:val="00AB016A"/>
    <w:rsid w:val="00AB2A64"/>
    <w:rsid w:val="00AB34F3"/>
    <w:rsid w:val="00AB427B"/>
    <w:rsid w:val="00AB6A3F"/>
    <w:rsid w:val="00AB6C72"/>
    <w:rsid w:val="00AB75C2"/>
    <w:rsid w:val="00AC24B8"/>
    <w:rsid w:val="00AC3560"/>
    <w:rsid w:val="00AC3C56"/>
    <w:rsid w:val="00AC43E4"/>
    <w:rsid w:val="00AC5248"/>
    <w:rsid w:val="00AC58ED"/>
    <w:rsid w:val="00AD0953"/>
    <w:rsid w:val="00AD26B6"/>
    <w:rsid w:val="00AD480C"/>
    <w:rsid w:val="00AD4FFC"/>
    <w:rsid w:val="00AD565D"/>
    <w:rsid w:val="00AD6626"/>
    <w:rsid w:val="00AD6741"/>
    <w:rsid w:val="00AE164E"/>
    <w:rsid w:val="00AE4896"/>
    <w:rsid w:val="00AE4A49"/>
    <w:rsid w:val="00AE6325"/>
    <w:rsid w:val="00AE7712"/>
    <w:rsid w:val="00AF030F"/>
    <w:rsid w:val="00AF4CE4"/>
    <w:rsid w:val="00AF5466"/>
    <w:rsid w:val="00AF749C"/>
    <w:rsid w:val="00AF7A13"/>
    <w:rsid w:val="00AF7B9F"/>
    <w:rsid w:val="00B0114D"/>
    <w:rsid w:val="00B02987"/>
    <w:rsid w:val="00B04AE9"/>
    <w:rsid w:val="00B05081"/>
    <w:rsid w:val="00B06879"/>
    <w:rsid w:val="00B10BBE"/>
    <w:rsid w:val="00B134CC"/>
    <w:rsid w:val="00B1626B"/>
    <w:rsid w:val="00B16403"/>
    <w:rsid w:val="00B1745D"/>
    <w:rsid w:val="00B175AB"/>
    <w:rsid w:val="00B2374A"/>
    <w:rsid w:val="00B23DF4"/>
    <w:rsid w:val="00B24E96"/>
    <w:rsid w:val="00B25214"/>
    <w:rsid w:val="00B257D1"/>
    <w:rsid w:val="00B26D0A"/>
    <w:rsid w:val="00B35E9F"/>
    <w:rsid w:val="00B35EB3"/>
    <w:rsid w:val="00B36595"/>
    <w:rsid w:val="00B3696D"/>
    <w:rsid w:val="00B369C9"/>
    <w:rsid w:val="00B4140E"/>
    <w:rsid w:val="00B43E8B"/>
    <w:rsid w:val="00B45018"/>
    <w:rsid w:val="00B461E3"/>
    <w:rsid w:val="00B50709"/>
    <w:rsid w:val="00B51CBB"/>
    <w:rsid w:val="00B539CC"/>
    <w:rsid w:val="00B53D5B"/>
    <w:rsid w:val="00B53E69"/>
    <w:rsid w:val="00B56118"/>
    <w:rsid w:val="00B6021B"/>
    <w:rsid w:val="00B6041A"/>
    <w:rsid w:val="00B6224F"/>
    <w:rsid w:val="00B62962"/>
    <w:rsid w:val="00B6317E"/>
    <w:rsid w:val="00B6318A"/>
    <w:rsid w:val="00B64F9F"/>
    <w:rsid w:val="00B67478"/>
    <w:rsid w:val="00B67678"/>
    <w:rsid w:val="00B71E6B"/>
    <w:rsid w:val="00B73871"/>
    <w:rsid w:val="00B7486B"/>
    <w:rsid w:val="00B74EAC"/>
    <w:rsid w:val="00B75073"/>
    <w:rsid w:val="00B75C0C"/>
    <w:rsid w:val="00B809B8"/>
    <w:rsid w:val="00B81D17"/>
    <w:rsid w:val="00B8321E"/>
    <w:rsid w:val="00B83858"/>
    <w:rsid w:val="00B83890"/>
    <w:rsid w:val="00B838DA"/>
    <w:rsid w:val="00B83A22"/>
    <w:rsid w:val="00B8449A"/>
    <w:rsid w:val="00B855A5"/>
    <w:rsid w:val="00B85EAA"/>
    <w:rsid w:val="00B860D3"/>
    <w:rsid w:val="00B8625C"/>
    <w:rsid w:val="00B86A43"/>
    <w:rsid w:val="00B87930"/>
    <w:rsid w:val="00B90292"/>
    <w:rsid w:val="00B90730"/>
    <w:rsid w:val="00B90755"/>
    <w:rsid w:val="00B94FFC"/>
    <w:rsid w:val="00BA0AB1"/>
    <w:rsid w:val="00BA1651"/>
    <w:rsid w:val="00BA18C2"/>
    <w:rsid w:val="00BA2C0A"/>
    <w:rsid w:val="00BA3339"/>
    <w:rsid w:val="00BA3872"/>
    <w:rsid w:val="00BA388C"/>
    <w:rsid w:val="00BA4E15"/>
    <w:rsid w:val="00BA7702"/>
    <w:rsid w:val="00BA7BE1"/>
    <w:rsid w:val="00BB17F8"/>
    <w:rsid w:val="00BB4557"/>
    <w:rsid w:val="00BB5A21"/>
    <w:rsid w:val="00BB5FD3"/>
    <w:rsid w:val="00BB6D56"/>
    <w:rsid w:val="00BC05DB"/>
    <w:rsid w:val="00BC06C0"/>
    <w:rsid w:val="00BC1FDA"/>
    <w:rsid w:val="00BC29B0"/>
    <w:rsid w:val="00BC3918"/>
    <w:rsid w:val="00BC3F9A"/>
    <w:rsid w:val="00BC41B0"/>
    <w:rsid w:val="00BC50A6"/>
    <w:rsid w:val="00BC5746"/>
    <w:rsid w:val="00BC620E"/>
    <w:rsid w:val="00BC6546"/>
    <w:rsid w:val="00BC7356"/>
    <w:rsid w:val="00BD2153"/>
    <w:rsid w:val="00BD2996"/>
    <w:rsid w:val="00BD2CB1"/>
    <w:rsid w:val="00BD50CD"/>
    <w:rsid w:val="00BD51A6"/>
    <w:rsid w:val="00BD64ED"/>
    <w:rsid w:val="00BD6E3E"/>
    <w:rsid w:val="00BE014C"/>
    <w:rsid w:val="00BE198F"/>
    <w:rsid w:val="00BE20B1"/>
    <w:rsid w:val="00BE58EC"/>
    <w:rsid w:val="00BE5D0C"/>
    <w:rsid w:val="00BE6567"/>
    <w:rsid w:val="00BE7930"/>
    <w:rsid w:val="00BF0730"/>
    <w:rsid w:val="00BF1338"/>
    <w:rsid w:val="00BF449B"/>
    <w:rsid w:val="00BF5375"/>
    <w:rsid w:val="00BF5D22"/>
    <w:rsid w:val="00BF6B2D"/>
    <w:rsid w:val="00BF6BBA"/>
    <w:rsid w:val="00BF77A6"/>
    <w:rsid w:val="00C00849"/>
    <w:rsid w:val="00C00D87"/>
    <w:rsid w:val="00C030B4"/>
    <w:rsid w:val="00C04EC9"/>
    <w:rsid w:val="00C07B44"/>
    <w:rsid w:val="00C1000B"/>
    <w:rsid w:val="00C10AA4"/>
    <w:rsid w:val="00C129AB"/>
    <w:rsid w:val="00C158A3"/>
    <w:rsid w:val="00C17484"/>
    <w:rsid w:val="00C212CB"/>
    <w:rsid w:val="00C22099"/>
    <w:rsid w:val="00C22C25"/>
    <w:rsid w:val="00C248DE"/>
    <w:rsid w:val="00C25A86"/>
    <w:rsid w:val="00C27239"/>
    <w:rsid w:val="00C31F0B"/>
    <w:rsid w:val="00C32CF1"/>
    <w:rsid w:val="00C3377F"/>
    <w:rsid w:val="00C362F1"/>
    <w:rsid w:val="00C3732F"/>
    <w:rsid w:val="00C378DF"/>
    <w:rsid w:val="00C37F40"/>
    <w:rsid w:val="00C40D0E"/>
    <w:rsid w:val="00C414C0"/>
    <w:rsid w:val="00C44463"/>
    <w:rsid w:val="00C458A4"/>
    <w:rsid w:val="00C45FEB"/>
    <w:rsid w:val="00C47531"/>
    <w:rsid w:val="00C4767C"/>
    <w:rsid w:val="00C523E7"/>
    <w:rsid w:val="00C54E5E"/>
    <w:rsid w:val="00C564E8"/>
    <w:rsid w:val="00C57184"/>
    <w:rsid w:val="00C618FB"/>
    <w:rsid w:val="00C65551"/>
    <w:rsid w:val="00C658C4"/>
    <w:rsid w:val="00C67BF5"/>
    <w:rsid w:val="00C707ED"/>
    <w:rsid w:val="00C72D9B"/>
    <w:rsid w:val="00C73FE2"/>
    <w:rsid w:val="00C7438E"/>
    <w:rsid w:val="00C76056"/>
    <w:rsid w:val="00C82D30"/>
    <w:rsid w:val="00C83781"/>
    <w:rsid w:val="00C83953"/>
    <w:rsid w:val="00C85419"/>
    <w:rsid w:val="00C87330"/>
    <w:rsid w:val="00C87346"/>
    <w:rsid w:val="00C91C77"/>
    <w:rsid w:val="00C929CA"/>
    <w:rsid w:val="00C94A1C"/>
    <w:rsid w:val="00CA30B4"/>
    <w:rsid w:val="00CA37CA"/>
    <w:rsid w:val="00CA6921"/>
    <w:rsid w:val="00CB00C5"/>
    <w:rsid w:val="00CB0131"/>
    <w:rsid w:val="00CB1B28"/>
    <w:rsid w:val="00CB5A87"/>
    <w:rsid w:val="00CB5D56"/>
    <w:rsid w:val="00CB684B"/>
    <w:rsid w:val="00CC0102"/>
    <w:rsid w:val="00CC0278"/>
    <w:rsid w:val="00CC40A3"/>
    <w:rsid w:val="00CC4CCF"/>
    <w:rsid w:val="00CC7FF7"/>
    <w:rsid w:val="00CD0420"/>
    <w:rsid w:val="00CD0889"/>
    <w:rsid w:val="00CD2B89"/>
    <w:rsid w:val="00CD3159"/>
    <w:rsid w:val="00CD61B2"/>
    <w:rsid w:val="00CD6A28"/>
    <w:rsid w:val="00CD7908"/>
    <w:rsid w:val="00CE12FB"/>
    <w:rsid w:val="00CE4D5A"/>
    <w:rsid w:val="00CE7422"/>
    <w:rsid w:val="00CF01E9"/>
    <w:rsid w:val="00CF15CF"/>
    <w:rsid w:val="00CF17EB"/>
    <w:rsid w:val="00CF1EF0"/>
    <w:rsid w:val="00CF2249"/>
    <w:rsid w:val="00CF4696"/>
    <w:rsid w:val="00CF6A98"/>
    <w:rsid w:val="00CF756F"/>
    <w:rsid w:val="00CF7A16"/>
    <w:rsid w:val="00D017BB"/>
    <w:rsid w:val="00D0342C"/>
    <w:rsid w:val="00D03D07"/>
    <w:rsid w:val="00D066FA"/>
    <w:rsid w:val="00D07049"/>
    <w:rsid w:val="00D0705F"/>
    <w:rsid w:val="00D109E1"/>
    <w:rsid w:val="00D11D61"/>
    <w:rsid w:val="00D11D74"/>
    <w:rsid w:val="00D126F2"/>
    <w:rsid w:val="00D13CC3"/>
    <w:rsid w:val="00D159E1"/>
    <w:rsid w:val="00D16A35"/>
    <w:rsid w:val="00D1763C"/>
    <w:rsid w:val="00D22810"/>
    <w:rsid w:val="00D22A7E"/>
    <w:rsid w:val="00D256E5"/>
    <w:rsid w:val="00D25C82"/>
    <w:rsid w:val="00D2663D"/>
    <w:rsid w:val="00D31740"/>
    <w:rsid w:val="00D337AB"/>
    <w:rsid w:val="00D337B3"/>
    <w:rsid w:val="00D34A00"/>
    <w:rsid w:val="00D37057"/>
    <w:rsid w:val="00D37BCC"/>
    <w:rsid w:val="00D37C57"/>
    <w:rsid w:val="00D37CB5"/>
    <w:rsid w:val="00D40FC2"/>
    <w:rsid w:val="00D41EF3"/>
    <w:rsid w:val="00D45BE0"/>
    <w:rsid w:val="00D52566"/>
    <w:rsid w:val="00D52634"/>
    <w:rsid w:val="00D54428"/>
    <w:rsid w:val="00D554CB"/>
    <w:rsid w:val="00D55D94"/>
    <w:rsid w:val="00D6389E"/>
    <w:rsid w:val="00D652B3"/>
    <w:rsid w:val="00D65BFF"/>
    <w:rsid w:val="00D66B78"/>
    <w:rsid w:val="00D701AB"/>
    <w:rsid w:val="00D70582"/>
    <w:rsid w:val="00D70A99"/>
    <w:rsid w:val="00D71E4B"/>
    <w:rsid w:val="00D73E6C"/>
    <w:rsid w:val="00D75C9E"/>
    <w:rsid w:val="00D809C9"/>
    <w:rsid w:val="00D8262D"/>
    <w:rsid w:val="00D83661"/>
    <w:rsid w:val="00D85444"/>
    <w:rsid w:val="00D86E93"/>
    <w:rsid w:val="00D876D4"/>
    <w:rsid w:val="00D910BA"/>
    <w:rsid w:val="00D913E1"/>
    <w:rsid w:val="00D919F8"/>
    <w:rsid w:val="00D91B8B"/>
    <w:rsid w:val="00D91D0A"/>
    <w:rsid w:val="00D951C9"/>
    <w:rsid w:val="00D964B5"/>
    <w:rsid w:val="00D96D56"/>
    <w:rsid w:val="00D9736C"/>
    <w:rsid w:val="00D97382"/>
    <w:rsid w:val="00D97B01"/>
    <w:rsid w:val="00D97B89"/>
    <w:rsid w:val="00DA0902"/>
    <w:rsid w:val="00DA0C7E"/>
    <w:rsid w:val="00DA4158"/>
    <w:rsid w:val="00DA4330"/>
    <w:rsid w:val="00DA5852"/>
    <w:rsid w:val="00DA6A24"/>
    <w:rsid w:val="00DB025E"/>
    <w:rsid w:val="00DB09F5"/>
    <w:rsid w:val="00DB0A7B"/>
    <w:rsid w:val="00DB7792"/>
    <w:rsid w:val="00DB7B60"/>
    <w:rsid w:val="00DC064E"/>
    <w:rsid w:val="00DC0A48"/>
    <w:rsid w:val="00DC0F41"/>
    <w:rsid w:val="00DC1C26"/>
    <w:rsid w:val="00DC3151"/>
    <w:rsid w:val="00DC5EA1"/>
    <w:rsid w:val="00DC7B9D"/>
    <w:rsid w:val="00DD0BE6"/>
    <w:rsid w:val="00DD1770"/>
    <w:rsid w:val="00DD2844"/>
    <w:rsid w:val="00DD2F69"/>
    <w:rsid w:val="00DD38CC"/>
    <w:rsid w:val="00DD62E3"/>
    <w:rsid w:val="00DD746F"/>
    <w:rsid w:val="00DE179B"/>
    <w:rsid w:val="00DE4029"/>
    <w:rsid w:val="00DF2574"/>
    <w:rsid w:val="00DF2A91"/>
    <w:rsid w:val="00DF44F6"/>
    <w:rsid w:val="00DF5209"/>
    <w:rsid w:val="00DF56C7"/>
    <w:rsid w:val="00E00D66"/>
    <w:rsid w:val="00E027B3"/>
    <w:rsid w:val="00E03107"/>
    <w:rsid w:val="00E037A4"/>
    <w:rsid w:val="00E04D9D"/>
    <w:rsid w:val="00E04DDA"/>
    <w:rsid w:val="00E05ACF"/>
    <w:rsid w:val="00E07046"/>
    <w:rsid w:val="00E105E7"/>
    <w:rsid w:val="00E11727"/>
    <w:rsid w:val="00E1200B"/>
    <w:rsid w:val="00E12D59"/>
    <w:rsid w:val="00E1595D"/>
    <w:rsid w:val="00E174C0"/>
    <w:rsid w:val="00E17983"/>
    <w:rsid w:val="00E21513"/>
    <w:rsid w:val="00E23BD7"/>
    <w:rsid w:val="00E23C9B"/>
    <w:rsid w:val="00E24C61"/>
    <w:rsid w:val="00E25F31"/>
    <w:rsid w:val="00E26149"/>
    <w:rsid w:val="00E26F16"/>
    <w:rsid w:val="00E2709B"/>
    <w:rsid w:val="00E276FD"/>
    <w:rsid w:val="00E3183B"/>
    <w:rsid w:val="00E31C65"/>
    <w:rsid w:val="00E3224C"/>
    <w:rsid w:val="00E3364D"/>
    <w:rsid w:val="00E34613"/>
    <w:rsid w:val="00E4175B"/>
    <w:rsid w:val="00E418F4"/>
    <w:rsid w:val="00E4231B"/>
    <w:rsid w:val="00E42D95"/>
    <w:rsid w:val="00E434B5"/>
    <w:rsid w:val="00E4455C"/>
    <w:rsid w:val="00E447B9"/>
    <w:rsid w:val="00E50458"/>
    <w:rsid w:val="00E50E5F"/>
    <w:rsid w:val="00E51925"/>
    <w:rsid w:val="00E53028"/>
    <w:rsid w:val="00E55DF1"/>
    <w:rsid w:val="00E56652"/>
    <w:rsid w:val="00E56AD5"/>
    <w:rsid w:val="00E63BBB"/>
    <w:rsid w:val="00E6586D"/>
    <w:rsid w:val="00E6598E"/>
    <w:rsid w:val="00E66703"/>
    <w:rsid w:val="00E66737"/>
    <w:rsid w:val="00E66C09"/>
    <w:rsid w:val="00E67FC9"/>
    <w:rsid w:val="00E70BDE"/>
    <w:rsid w:val="00E722BF"/>
    <w:rsid w:val="00E7242D"/>
    <w:rsid w:val="00E75B80"/>
    <w:rsid w:val="00E75D61"/>
    <w:rsid w:val="00E766C0"/>
    <w:rsid w:val="00E812F0"/>
    <w:rsid w:val="00E81A66"/>
    <w:rsid w:val="00E8242F"/>
    <w:rsid w:val="00E8404E"/>
    <w:rsid w:val="00E84CA4"/>
    <w:rsid w:val="00E85031"/>
    <w:rsid w:val="00E859B8"/>
    <w:rsid w:val="00E86512"/>
    <w:rsid w:val="00E86933"/>
    <w:rsid w:val="00E87F0B"/>
    <w:rsid w:val="00E916F5"/>
    <w:rsid w:val="00E9464A"/>
    <w:rsid w:val="00E95EB5"/>
    <w:rsid w:val="00E96279"/>
    <w:rsid w:val="00EA527F"/>
    <w:rsid w:val="00EA53E9"/>
    <w:rsid w:val="00EA71A1"/>
    <w:rsid w:val="00EB1030"/>
    <w:rsid w:val="00EB25ED"/>
    <w:rsid w:val="00EB2BFF"/>
    <w:rsid w:val="00EB3647"/>
    <w:rsid w:val="00EB64A4"/>
    <w:rsid w:val="00EC3179"/>
    <w:rsid w:val="00EC351B"/>
    <w:rsid w:val="00EC4546"/>
    <w:rsid w:val="00EC4F7E"/>
    <w:rsid w:val="00EC4FFD"/>
    <w:rsid w:val="00EC50FA"/>
    <w:rsid w:val="00EC5E4E"/>
    <w:rsid w:val="00EC679D"/>
    <w:rsid w:val="00EC67AF"/>
    <w:rsid w:val="00EC7090"/>
    <w:rsid w:val="00ED0084"/>
    <w:rsid w:val="00ED3C17"/>
    <w:rsid w:val="00ED3D0B"/>
    <w:rsid w:val="00ED3E68"/>
    <w:rsid w:val="00ED3FB9"/>
    <w:rsid w:val="00ED4DEE"/>
    <w:rsid w:val="00ED50E5"/>
    <w:rsid w:val="00ED6480"/>
    <w:rsid w:val="00EE00B3"/>
    <w:rsid w:val="00EE19A9"/>
    <w:rsid w:val="00EE2133"/>
    <w:rsid w:val="00EE2AEA"/>
    <w:rsid w:val="00EE2D70"/>
    <w:rsid w:val="00EE49A7"/>
    <w:rsid w:val="00EF0598"/>
    <w:rsid w:val="00EF06E4"/>
    <w:rsid w:val="00EF082D"/>
    <w:rsid w:val="00EF1A61"/>
    <w:rsid w:val="00EF20F5"/>
    <w:rsid w:val="00EF2AAD"/>
    <w:rsid w:val="00EF2E8E"/>
    <w:rsid w:val="00EF31D2"/>
    <w:rsid w:val="00EF3330"/>
    <w:rsid w:val="00EF4931"/>
    <w:rsid w:val="00EF495C"/>
    <w:rsid w:val="00EF6039"/>
    <w:rsid w:val="00EF6107"/>
    <w:rsid w:val="00F01396"/>
    <w:rsid w:val="00F0255E"/>
    <w:rsid w:val="00F029D7"/>
    <w:rsid w:val="00F03F0C"/>
    <w:rsid w:val="00F04850"/>
    <w:rsid w:val="00F10919"/>
    <w:rsid w:val="00F10BDE"/>
    <w:rsid w:val="00F11001"/>
    <w:rsid w:val="00F144F4"/>
    <w:rsid w:val="00F1496B"/>
    <w:rsid w:val="00F14E06"/>
    <w:rsid w:val="00F15546"/>
    <w:rsid w:val="00F2042D"/>
    <w:rsid w:val="00F25015"/>
    <w:rsid w:val="00F25C46"/>
    <w:rsid w:val="00F2651C"/>
    <w:rsid w:val="00F26AEB"/>
    <w:rsid w:val="00F33037"/>
    <w:rsid w:val="00F33542"/>
    <w:rsid w:val="00F3380A"/>
    <w:rsid w:val="00F344A2"/>
    <w:rsid w:val="00F350BE"/>
    <w:rsid w:val="00F355B9"/>
    <w:rsid w:val="00F368B2"/>
    <w:rsid w:val="00F37523"/>
    <w:rsid w:val="00F40050"/>
    <w:rsid w:val="00F407DC"/>
    <w:rsid w:val="00F41609"/>
    <w:rsid w:val="00F43E86"/>
    <w:rsid w:val="00F44EA5"/>
    <w:rsid w:val="00F44FBF"/>
    <w:rsid w:val="00F45A39"/>
    <w:rsid w:val="00F4777E"/>
    <w:rsid w:val="00F514B2"/>
    <w:rsid w:val="00F5257C"/>
    <w:rsid w:val="00F528B2"/>
    <w:rsid w:val="00F54F8D"/>
    <w:rsid w:val="00F55A10"/>
    <w:rsid w:val="00F5637A"/>
    <w:rsid w:val="00F57D41"/>
    <w:rsid w:val="00F600E0"/>
    <w:rsid w:val="00F61EAA"/>
    <w:rsid w:val="00F63473"/>
    <w:rsid w:val="00F66DA5"/>
    <w:rsid w:val="00F6790E"/>
    <w:rsid w:val="00F70562"/>
    <w:rsid w:val="00F70CFF"/>
    <w:rsid w:val="00F7210F"/>
    <w:rsid w:val="00F73923"/>
    <w:rsid w:val="00F74EDE"/>
    <w:rsid w:val="00F74F8F"/>
    <w:rsid w:val="00F767F1"/>
    <w:rsid w:val="00F76F0B"/>
    <w:rsid w:val="00F7733C"/>
    <w:rsid w:val="00F77599"/>
    <w:rsid w:val="00F800C1"/>
    <w:rsid w:val="00F811F1"/>
    <w:rsid w:val="00F814E4"/>
    <w:rsid w:val="00F82178"/>
    <w:rsid w:val="00F82251"/>
    <w:rsid w:val="00F8352C"/>
    <w:rsid w:val="00F83E84"/>
    <w:rsid w:val="00F847C3"/>
    <w:rsid w:val="00F848DC"/>
    <w:rsid w:val="00F871E0"/>
    <w:rsid w:val="00F90C42"/>
    <w:rsid w:val="00F91536"/>
    <w:rsid w:val="00F925F0"/>
    <w:rsid w:val="00F93693"/>
    <w:rsid w:val="00F94E65"/>
    <w:rsid w:val="00F95E9C"/>
    <w:rsid w:val="00F978B9"/>
    <w:rsid w:val="00FA3DBC"/>
    <w:rsid w:val="00FA4955"/>
    <w:rsid w:val="00FA4F89"/>
    <w:rsid w:val="00FA76C6"/>
    <w:rsid w:val="00FA7ACF"/>
    <w:rsid w:val="00FB1A15"/>
    <w:rsid w:val="00FB2C73"/>
    <w:rsid w:val="00FB4E93"/>
    <w:rsid w:val="00FC0203"/>
    <w:rsid w:val="00FC02CA"/>
    <w:rsid w:val="00FC23FF"/>
    <w:rsid w:val="00FC2443"/>
    <w:rsid w:val="00FD0C10"/>
    <w:rsid w:val="00FD1689"/>
    <w:rsid w:val="00FD1A17"/>
    <w:rsid w:val="00FD369D"/>
    <w:rsid w:val="00FD46C8"/>
    <w:rsid w:val="00FD6AA5"/>
    <w:rsid w:val="00FD6BB8"/>
    <w:rsid w:val="00FE02F2"/>
    <w:rsid w:val="00FE094C"/>
    <w:rsid w:val="00FE0BC0"/>
    <w:rsid w:val="00FE4DF2"/>
    <w:rsid w:val="00FE5B58"/>
    <w:rsid w:val="00FE70AD"/>
    <w:rsid w:val="00FE7DCA"/>
    <w:rsid w:val="00FF06B0"/>
    <w:rsid w:val="00FF1AE2"/>
    <w:rsid w:val="00FF2C5D"/>
    <w:rsid w:val="00FF3090"/>
    <w:rsid w:val="00FF3A93"/>
    <w:rsid w:val="00FF481B"/>
    <w:rsid w:val="00FF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01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09F5"/>
    <w:pPr>
      <w:spacing w:after="0" w:line="240" w:lineRule="auto"/>
    </w:pPr>
    <w:rPr>
      <w:sz w:val="20"/>
      <w:szCs w:val="20"/>
    </w:rPr>
  </w:style>
  <w:style w:type="character" w:customStyle="1" w:styleId="FootnoteTextChar">
    <w:name w:val="Footnote Text Char"/>
    <w:basedOn w:val="DefaultParagraphFont"/>
    <w:link w:val="FootnoteText"/>
    <w:uiPriority w:val="99"/>
    <w:rsid w:val="00DB09F5"/>
    <w:rPr>
      <w:sz w:val="20"/>
      <w:szCs w:val="20"/>
    </w:rPr>
  </w:style>
  <w:style w:type="character" w:styleId="FootnoteReference">
    <w:name w:val="footnote reference"/>
    <w:basedOn w:val="DefaultParagraphFont"/>
    <w:uiPriority w:val="99"/>
    <w:unhideWhenUsed/>
    <w:rsid w:val="00DB09F5"/>
    <w:rPr>
      <w:vertAlign w:val="superscript"/>
    </w:rPr>
  </w:style>
  <w:style w:type="paragraph" w:styleId="Header">
    <w:name w:val="header"/>
    <w:basedOn w:val="Normal"/>
    <w:link w:val="HeaderChar"/>
    <w:uiPriority w:val="99"/>
    <w:unhideWhenUsed/>
    <w:rsid w:val="00DB0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9F5"/>
  </w:style>
  <w:style w:type="paragraph" w:styleId="Footer">
    <w:name w:val="footer"/>
    <w:basedOn w:val="Normal"/>
    <w:link w:val="FooterChar"/>
    <w:uiPriority w:val="99"/>
    <w:unhideWhenUsed/>
    <w:rsid w:val="00DB0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9F5"/>
  </w:style>
  <w:style w:type="paragraph" w:styleId="EndnoteText">
    <w:name w:val="endnote text"/>
    <w:basedOn w:val="Normal"/>
    <w:link w:val="EndnoteTextChar"/>
    <w:uiPriority w:val="99"/>
    <w:semiHidden/>
    <w:unhideWhenUsed/>
    <w:rsid w:val="00C444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4463"/>
    <w:rPr>
      <w:sz w:val="20"/>
      <w:szCs w:val="20"/>
    </w:rPr>
  </w:style>
  <w:style w:type="character" w:styleId="EndnoteReference">
    <w:name w:val="endnote reference"/>
    <w:basedOn w:val="DefaultParagraphFont"/>
    <w:uiPriority w:val="99"/>
    <w:semiHidden/>
    <w:unhideWhenUsed/>
    <w:rsid w:val="00C44463"/>
    <w:rPr>
      <w:vertAlign w:val="superscript"/>
    </w:rPr>
  </w:style>
  <w:style w:type="character" w:customStyle="1" w:styleId="apple-converted-space">
    <w:name w:val="apple-converted-space"/>
    <w:basedOn w:val="DefaultParagraphFont"/>
    <w:rsid w:val="005B7567"/>
  </w:style>
  <w:style w:type="paragraph" w:styleId="BalloonText">
    <w:name w:val="Balloon Text"/>
    <w:basedOn w:val="Normal"/>
    <w:link w:val="BalloonTextChar"/>
    <w:uiPriority w:val="99"/>
    <w:semiHidden/>
    <w:unhideWhenUsed/>
    <w:rsid w:val="00F4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609"/>
    <w:rPr>
      <w:rFonts w:ascii="Tahoma" w:hAnsi="Tahoma" w:cs="Tahoma"/>
      <w:sz w:val="16"/>
      <w:szCs w:val="16"/>
    </w:rPr>
  </w:style>
  <w:style w:type="character" w:styleId="Hyperlink">
    <w:name w:val="Hyperlink"/>
    <w:basedOn w:val="DefaultParagraphFont"/>
    <w:uiPriority w:val="99"/>
    <w:rsid w:val="002F00D0"/>
    <w:rPr>
      <w:rFonts w:cs="Times New Roman"/>
      <w:color w:val="0000FF"/>
      <w:u w:val="single"/>
    </w:rPr>
  </w:style>
  <w:style w:type="character" w:styleId="CommentReference">
    <w:name w:val="annotation reference"/>
    <w:basedOn w:val="DefaultParagraphFont"/>
    <w:uiPriority w:val="99"/>
    <w:semiHidden/>
    <w:unhideWhenUsed/>
    <w:rsid w:val="008E644F"/>
    <w:rPr>
      <w:sz w:val="18"/>
      <w:szCs w:val="18"/>
    </w:rPr>
  </w:style>
  <w:style w:type="paragraph" w:styleId="CommentText">
    <w:name w:val="annotation text"/>
    <w:basedOn w:val="Normal"/>
    <w:link w:val="CommentTextChar"/>
    <w:uiPriority w:val="99"/>
    <w:semiHidden/>
    <w:unhideWhenUsed/>
    <w:rsid w:val="008E644F"/>
    <w:pPr>
      <w:spacing w:line="240" w:lineRule="auto"/>
    </w:pPr>
    <w:rPr>
      <w:sz w:val="24"/>
      <w:szCs w:val="24"/>
    </w:rPr>
  </w:style>
  <w:style w:type="character" w:customStyle="1" w:styleId="CommentTextChar">
    <w:name w:val="Comment Text Char"/>
    <w:basedOn w:val="DefaultParagraphFont"/>
    <w:link w:val="CommentText"/>
    <w:uiPriority w:val="99"/>
    <w:semiHidden/>
    <w:rsid w:val="008E644F"/>
    <w:rPr>
      <w:sz w:val="24"/>
      <w:szCs w:val="24"/>
    </w:rPr>
  </w:style>
  <w:style w:type="paragraph" w:styleId="CommentSubject">
    <w:name w:val="annotation subject"/>
    <w:basedOn w:val="CommentText"/>
    <w:next w:val="CommentText"/>
    <w:link w:val="CommentSubjectChar"/>
    <w:uiPriority w:val="99"/>
    <w:semiHidden/>
    <w:unhideWhenUsed/>
    <w:rsid w:val="008E644F"/>
    <w:rPr>
      <w:b/>
      <w:bCs/>
      <w:sz w:val="20"/>
      <w:szCs w:val="20"/>
    </w:rPr>
  </w:style>
  <w:style w:type="character" w:customStyle="1" w:styleId="CommentSubjectChar">
    <w:name w:val="Comment Subject Char"/>
    <w:basedOn w:val="CommentTextChar"/>
    <w:link w:val="CommentSubject"/>
    <w:uiPriority w:val="99"/>
    <w:semiHidden/>
    <w:rsid w:val="008E644F"/>
    <w:rPr>
      <w:b/>
      <w:bCs/>
      <w:sz w:val="20"/>
      <w:szCs w:val="20"/>
    </w:rPr>
  </w:style>
  <w:style w:type="paragraph" w:styleId="Revision">
    <w:name w:val="Revision"/>
    <w:hidden/>
    <w:uiPriority w:val="99"/>
    <w:semiHidden/>
    <w:rsid w:val="008E644F"/>
    <w:pPr>
      <w:spacing w:after="0" w:line="240" w:lineRule="auto"/>
    </w:pPr>
  </w:style>
  <w:style w:type="paragraph" w:styleId="ListParagraph">
    <w:name w:val="List Paragraph"/>
    <w:basedOn w:val="Normal"/>
    <w:uiPriority w:val="34"/>
    <w:qFormat/>
    <w:rsid w:val="00B257D1"/>
    <w:pPr>
      <w:ind w:left="720"/>
      <w:contextualSpacing/>
    </w:pPr>
  </w:style>
  <w:style w:type="table" w:styleId="TableGrid">
    <w:name w:val="Table Grid"/>
    <w:basedOn w:val="TableNormal"/>
    <w:uiPriority w:val="59"/>
    <w:rsid w:val="004C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5D8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09F5"/>
    <w:pPr>
      <w:spacing w:after="0" w:line="240" w:lineRule="auto"/>
    </w:pPr>
    <w:rPr>
      <w:sz w:val="20"/>
      <w:szCs w:val="20"/>
    </w:rPr>
  </w:style>
  <w:style w:type="character" w:customStyle="1" w:styleId="FootnoteTextChar">
    <w:name w:val="Footnote Text Char"/>
    <w:basedOn w:val="DefaultParagraphFont"/>
    <w:link w:val="FootnoteText"/>
    <w:uiPriority w:val="99"/>
    <w:rsid w:val="00DB09F5"/>
    <w:rPr>
      <w:sz w:val="20"/>
      <w:szCs w:val="20"/>
    </w:rPr>
  </w:style>
  <w:style w:type="character" w:styleId="FootnoteReference">
    <w:name w:val="footnote reference"/>
    <w:basedOn w:val="DefaultParagraphFont"/>
    <w:uiPriority w:val="99"/>
    <w:unhideWhenUsed/>
    <w:rsid w:val="00DB09F5"/>
    <w:rPr>
      <w:vertAlign w:val="superscript"/>
    </w:rPr>
  </w:style>
  <w:style w:type="paragraph" w:styleId="Header">
    <w:name w:val="header"/>
    <w:basedOn w:val="Normal"/>
    <w:link w:val="HeaderChar"/>
    <w:uiPriority w:val="99"/>
    <w:unhideWhenUsed/>
    <w:rsid w:val="00DB0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9F5"/>
  </w:style>
  <w:style w:type="paragraph" w:styleId="Footer">
    <w:name w:val="footer"/>
    <w:basedOn w:val="Normal"/>
    <w:link w:val="FooterChar"/>
    <w:uiPriority w:val="99"/>
    <w:unhideWhenUsed/>
    <w:rsid w:val="00DB0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9F5"/>
  </w:style>
  <w:style w:type="paragraph" w:styleId="EndnoteText">
    <w:name w:val="endnote text"/>
    <w:basedOn w:val="Normal"/>
    <w:link w:val="EndnoteTextChar"/>
    <w:uiPriority w:val="99"/>
    <w:semiHidden/>
    <w:unhideWhenUsed/>
    <w:rsid w:val="00C444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4463"/>
    <w:rPr>
      <w:sz w:val="20"/>
      <w:szCs w:val="20"/>
    </w:rPr>
  </w:style>
  <w:style w:type="character" w:styleId="EndnoteReference">
    <w:name w:val="endnote reference"/>
    <w:basedOn w:val="DefaultParagraphFont"/>
    <w:uiPriority w:val="99"/>
    <w:semiHidden/>
    <w:unhideWhenUsed/>
    <w:rsid w:val="00C44463"/>
    <w:rPr>
      <w:vertAlign w:val="superscript"/>
    </w:rPr>
  </w:style>
  <w:style w:type="character" w:customStyle="1" w:styleId="apple-converted-space">
    <w:name w:val="apple-converted-space"/>
    <w:basedOn w:val="DefaultParagraphFont"/>
    <w:rsid w:val="005B7567"/>
  </w:style>
  <w:style w:type="paragraph" w:styleId="BalloonText">
    <w:name w:val="Balloon Text"/>
    <w:basedOn w:val="Normal"/>
    <w:link w:val="BalloonTextChar"/>
    <w:uiPriority w:val="99"/>
    <w:semiHidden/>
    <w:unhideWhenUsed/>
    <w:rsid w:val="00F4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609"/>
    <w:rPr>
      <w:rFonts w:ascii="Tahoma" w:hAnsi="Tahoma" w:cs="Tahoma"/>
      <w:sz w:val="16"/>
      <w:szCs w:val="16"/>
    </w:rPr>
  </w:style>
  <w:style w:type="character" w:styleId="Hyperlink">
    <w:name w:val="Hyperlink"/>
    <w:basedOn w:val="DefaultParagraphFont"/>
    <w:uiPriority w:val="99"/>
    <w:rsid w:val="002F00D0"/>
    <w:rPr>
      <w:rFonts w:cs="Times New Roman"/>
      <w:color w:val="0000FF"/>
      <w:u w:val="single"/>
    </w:rPr>
  </w:style>
  <w:style w:type="character" w:styleId="CommentReference">
    <w:name w:val="annotation reference"/>
    <w:basedOn w:val="DefaultParagraphFont"/>
    <w:uiPriority w:val="99"/>
    <w:semiHidden/>
    <w:unhideWhenUsed/>
    <w:rsid w:val="008E644F"/>
    <w:rPr>
      <w:sz w:val="18"/>
      <w:szCs w:val="18"/>
    </w:rPr>
  </w:style>
  <w:style w:type="paragraph" w:styleId="CommentText">
    <w:name w:val="annotation text"/>
    <w:basedOn w:val="Normal"/>
    <w:link w:val="CommentTextChar"/>
    <w:uiPriority w:val="99"/>
    <w:semiHidden/>
    <w:unhideWhenUsed/>
    <w:rsid w:val="008E644F"/>
    <w:pPr>
      <w:spacing w:line="240" w:lineRule="auto"/>
    </w:pPr>
    <w:rPr>
      <w:sz w:val="24"/>
      <w:szCs w:val="24"/>
    </w:rPr>
  </w:style>
  <w:style w:type="character" w:customStyle="1" w:styleId="CommentTextChar">
    <w:name w:val="Comment Text Char"/>
    <w:basedOn w:val="DefaultParagraphFont"/>
    <w:link w:val="CommentText"/>
    <w:uiPriority w:val="99"/>
    <w:semiHidden/>
    <w:rsid w:val="008E644F"/>
    <w:rPr>
      <w:sz w:val="24"/>
      <w:szCs w:val="24"/>
    </w:rPr>
  </w:style>
  <w:style w:type="paragraph" w:styleId="CommentSubject">
    <w:name w:val="annotation subject"/>
    <w:basedOn w:val="CommentText"/>
    <w:next w:val="CommentText"/>
    <w:link w:val="CommentSubjectChar"/>
    <w:uiPriority w:val="99"/>
    <w:semiHidden/>
    <w:unhideWhenUsed/>
    <w:rsid w:val="008E644F"/>
    <w:rPr>
      <w:b/>
      <w:bCs/>
      <w:sz w:val="20"/>
      <w:szCs w:val="20"/>
    </w:rPr>
  </w:style>
  <w:style w:type="character" w:customStyle="1" w:styleId="CommentSubjectChar">
    <w:name w:val="Comment Subject Char"/>
    <w:basedOn w:val="CommentTextChar"/>
    <w:link w:val="CommentSubject"/>
    <w:uiPriority w:val="99"/>
    <w:semiHidden/>
    <w:rsid w:val="008E644F"/>
    <w:rPr>
      <w:b/>
      <w:bCs/>
      <w:sz w:val="20"/>
      <w:szCs w:val="20"/>
    </w:rPr>
  </w:style>
  <w:style w:type="paragraph" w:styleId="Revision">
    <w:name w:val="Revision"/>
    <w:hidden/>
    <w:uiPriority w:val="99"/>
    <w:semiHidden/>
    <w:rsid w:val="008E644F"/>
    <w:pPr>
      <w:spacing w:after="0" w:line="240" w:lineRule="auto"/>
    </w:pPr>
  </w:style>
  <w:style w:type="paragraph" w:styleId="ListParagraph">
    <w:name w:val="List Paragraph"/>
    <w:basedOn w:val="Normal"/>
    <w:uiPriority w:val="34"/>
    <w:qFormat/>
    <w:rsid w:val="00B257D1"/>
    <w:pPr>
      <w:ind w:left="720"/>
      <w:contextualSpacing/>
    </w:pPr>
  </w:style>
  <w:style w:type="table" w:styleId="TableGrid">
    <w:name w:val="Table Grid"/>
    <w:basedOn w:val="TableNormal"/>
    <w:uiPriority w:val="59"/>
    <w:rsid w:val="004C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5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7743">
      <w:bodyDiv w:val="1"/>
      <w:marLeft w:val="0"/>
      <w:marRight w:val="0"/>
      <w:marTop w:val="0"/>
      <w:marBottom w:val="0"/>
      <w:divBdr>
        <w:top w:val="none" w:sz="0" w:space="0" w:color="auto"/>
        <w:left w:val="none" w:sz="0" w:space="0" w:color="auto"/>
        <w:bottom w:val="none" w:sz="0" w:space="0" w:color="auto"/>
        <w:right w:val="none" w:sz="0" w:space="0" w:color="auto"/>
      </w:divBdr>
    </w:div>
    <w:div w:id="266891704">
      <w:bodyDiv w:val="1"/>
      <w:marLeft w:val="0"/>
      <w:marRight w:val="0"/>
      <w:marTop w:val="0"/>
      <w:marBottom w:val="0"/>
      <w:divBdr>
        <w:top w:val="none" w:sz="0" w:space="0" w:color="auto"/>
        <w:left w:val="none" w:sz="0" w:space="0" w:color="auto"/>
        <w:bottom w:val="none" w:sz="0" w:space="0" w:color="auto"/>
        <w:right w:val="none" w:sz="0" w:space="0" w:color="auto"/>
      </w:divBdr>
    </w:div>
    <w:div w:id="270280632">
      <w:bodyDiv w:val="1"/>
      <w:marLeft w:val="0"/>
      <w:marRight w:val="0"/>
      <w:marTop w:val="0"/>
      <w:marBottom w:val="0"/>
      <w:divBdr>
        <w:top w:val="none" w:sz="0" w:space="0" w:color="auto"/>
        <w:left w:val="none" w:sz="0" w:space="0" w:color="auto"/>
        <w:bottom w:val="none" w:sz="0" w:space="0" w:color="auto"/>
        <w:right w:val="none" w:sz="0" w:space="0" w:color="auto"/>
      </w:divBdr>
    </w:div>
    <w:div w:id="633829728">
      <w:bodyDiv w:val="1"/>
      <w:marLeft w:val="0"/>
      <w:marRight w:val="0"/>
      <w:marTop w:val="0"/>
      <w:marBottom w:val="0"/>
      <w:divBdr>
        <w:top w:val="none" w:sz="0" w:space="0" w:color="auto"/>
        <w:left w:val="none" w:sz="0" w:space="0" w:color="auto"/>
        <w:bottom w:val="none" w:sz="0" w:space="0" w:color="auto"/>
        <w:right w:val="none" w:sz="0" w:space="0" w:color="auto"/>
      </w:divBdr>
    </w:div>
    <w:div w:id="996759567">
      <w:bodyDiv w:val="1"/>
      <w:marLeft w:val="0"/>
      <w:marRight w:val="0"/>
      <w:marTop w:val="0"/>
      <w:marBottom w:val="0"/>
      <w:divBdr>
        <w:top w:val="none" w:sz="0" w:space="0" w:color="auto"/>
        <w:left w:val="none" w:sz="0" w:space="0" w:color="auto"/>
        <w:bottom w:val="none" w:sz="0" w:space="0" w:color="auto"/>
        <w:right w:val="none" w:sz="0" w:space="0" w:color="auto"/>
      </w:divBdr>
    </w:div>
    <w:div w:id="1205217915">
      <w:bodyDiv w:val="1"/>
      <w:marLeft w:val="0"/>
      <w:marRight w:val="0"/>
      <w:marTop w:val="0"/>
      <w:marBottom w:val="0"/>
      <w:divBdr>
        <w:top w:val="none" w:sz="0" w:space="0" w:color="auto"/>
        <w:left w:val="none" w:sz="0" w:space="0" w:color="auto"/>
        <w:bottom w:val="none" w:sz="0" w:space="0" w:color="auto"/>
        <w:right w:val="none" w:sz="0" w:space="0" w:color="auto"/>
      </w:divBdr>
    </w:div>
    <w:div w:id="1205825287">
      <w:bodyDiv w:val="1"/>
      <w:marLeft w:val="0"/>
      <w:marRight w:val="0"/>
      <w:marTop w:val="0"/>
      <w:marBottom w:val="0"/>
      <w:divBdr>
        <w:top w:val="none" w:sz="0" w:space="0" w:color="auto"/>
        <w:left w:val="none" w:sz="0" w:space="0" w:color="auto"/>
        <w:bottom w:val="none" w:sz="0" w:space="0" w:color="auto"/>
        <w:right w:val="none" w:sz="0" w:space="0" w:color="auto"/>
      </w:divBdr>
    </w:div>
    <w:div w:id="1509826255">
      <w:bodyDiv w:val="1"/>
      <w:marLeft w:val="0"/>
      <w:marRight w:val="0"/>
      <w:marTop w:val="0"/>
      <w:marBottom w:val="0"/>
      <w:divBdr>
        <w:top w:val="none" w:sz="0" w:space="0" w:color="auto"/>
        <w:left w:val="none" w:sz="0" w:space="0" w:color="auto"/>
        <w:bottom w:val="none" w:sz="0" w:space="0" w:color="auto"/>
        <w:right w:val="none" w:sz="0" w:space="0" w:color="auto"/>
      </w:divBdr>
    </w:div>
    <w:div w:id="1518806029">
      <w:bodyDiv w:val="1"/>
      <w:marLeft w:val="0"/>
      <w:marRight w:val="0"/>
      <w:marTop w:val="0"/>
      <w:marBottom w:val="0"/>
      <w:divBdr>
        <w:top w:val="none" w:sz="0" w:space="0" w:color="auto"/>
        <w:left w:val="none" w:sz="0" w:space="0" w:color="auto"/>
        <w:bottom w:val="none" w:sz="0" w:space="0" w:color="auto"/>
        <w:right w:val="none" w:sz="0" w:space="0" w:color="auto"/>
      </w:divBdr>
    </w:div>
    <w:div w:id="1614248041">
      <w:bodyDiv w:val="1"/>
      <w:marLeft w:val="0"/>
      <w:marRight w:val="0"/>
      <w:marTop w:val="0"/>
      <w:marBottom w:val="0"/>
      <w:divBdr>
        <w:top w:val="none" w:sz="0" w:space="0" w:color="auto"/>
        <w:left w:val="none" w:sz="0" w:space="0" w:color="auto"/>
        <w:bottom w:val="none" w:sz="0" w:space="0" w:color="auto"/>
        <w:right w:val="none" w:sz="0" w:space="0" w:color="auto"/>
      </w:divBdr>
    </w:div>
    <w:div w:id="1639334429">
      <w:bodyDiv w:val="1"/>
      <w:marLeft w:val="0"/>
      <w:marRight w:val="0"/>
      <w:marTop w:val="0"/>
      <w:marBottom w:val="0"/>
      <w:divBdr>
        <w:top w:val="none" w:sz="0" w:space="0" w:color="auto"/>
        <w:left w:val="none" w:sz="0" w:space="0" w:color="auto"/>
        <w:bottom w:val="none" w:sz="0" w:space="0" w:color="auto"/>
        <w:right w:val="none" w:sz="0" w:space="0" w:color="auto"/>
      </w:divBdr>
    </w:div>
    <w:div w:id="1691368133">
      <w:bodyDiv w:val="1"/>
      <w:marLeft w:val="0"/>
      <w:marRight w:val="0"/>
      <w:marTop w:val="0"/>
      <w:marBottom w:val="0"/>
      <w:divBdr>
        <w:top w:val="none" w:sz="0" w:space="0" w:color="auto"/>
        <w:left w:val="none" w:sz="0" w:space="0" w:color="auto"/>
        <w:bottom w:val="none" w:sz="0" w:space="0" w:color="auto"/>
        <w:right w:val="none" w:sz="0" w:space="0" w:color="auto"/>
      </w:divBdr>
    </w:div>
    <w:div w:id="1727410172">
      <w:bodyDiv w:val="1"/>
      <w:marLeft w:val="0"/>
      <w:marRight w:val="0"/>
      <w:marTop w:val="0"/>
      <w:marBottom w:val="0"/>
      <w:divBdr>
        <w:top w:val="none" w:sz="0" w:space="0" w:color="auto"/>
        <w:left w:val="none" w:sz="0" w:space="0" w:color="auto"/>
        <w:bottom w:val="none" w:sz="0" w:space="0" w:color="auto"/>
        <w:right w:val="none" w:sz="0" w:space="0" w:color="auto"/>
      </w:divBdr>
    </w:div>
    <w:div w:id="1743285417">
      <w:bodyDiv w:val="1"/>
      <w:marLeft w:val="0"/>
      <w:marRight w:val="0"/>
      <w:marTop w:val="0"/>
      <w:marBottom w:val="0"/>
      <w:divBdr>
        <w:top w:val="none" w:sz="0" w:space="0" w:color="auto"/>
        <w:left w:val="none" w:sz="0" w:space="0" w:color="auto"/>
        <w:bottom w:val="none" w:sz="0" w:space="0" w:color="auto"/>
        <w:right w:val="none" w:sz="0" w:space="0" w:color="auto"/>
      </w:divBdr>
    </w:div>
    <w:div w:id="1947729954">
      <w:bodyDiv w:val="1"/>
      <w:marLeft w:val="0"/>
      <w:marRight w:val="0"/>
      <w:marTop w:val="0"/>
      <w:marBottom w:val="0"/>
      <w:divBdr>
        <w:top w:val="none" w:sz="0" w:space="0" w:color="auto"/>
        <w:left w:val="none" w:sz="0" w:space="0" w:color="auto"/>
        <w:bottom w:val="none" w:sz="0" w:space="0" w:color="auto"/>
        <w:right w:val="none" w:sz="0" w:space="0" w:color="auto"/>
      </w:divBdr>
    </w:div>
    <w:div w:id="21187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talyav\Documents\04042017%20EandS%20Revision%20Federal%20Flow%20of%20Funds%20Data.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atalya:Downloads:03132017%20EandS%20Revision%20Federal%20Flow%20of%20Fund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atalya:Downloads:03212017%20EandS%20Revision%20Federal%20Flow%20of%20Funds%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talyav\Documents\04042017%20EandS%20Revision%20Federal%20Flow%20of%20Funds%20Data.xlsx"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7287485528956"/>
          <c:y val="0.0341085271317829"/>
          <c:w val="0.854174642311125"/>
          <c:h val="0.894979690038745"/>
        </c:manualLayout>
      </c:layout>
      <c:lineChart>
        <c:grouping val="standard"/>
        <c:varyColors val="0"/>
        <c:ser>
          <c:idx val="0"/>
          <c:order val="0"/>
          <c:tx>
            <c:strRef>
              <c:f>Sheet1!$A$2</c:f>
              <c:strCache>
                <c:ptCount val="1"/>
                <c:pt idx="0">
                  <c:v>All debt securities outstanding</c:v>
                </c:pt>
              </c:strCache>
            </c:strRef>
          </c:tx>
          <c:spPr>
            <a:ln w="28575" cap="rnd">
              <a:solidFill>
                <a:schemeClr val="accent1"/>
              </a:solidFill>
              <a:round/>
            </a:ln>
            <a:effectLst/>
          </c:spPr>
          <c:marker>
            <c:symbol val="none"/>
          </c:marker>
          <c:cat>
            <c:numRef>
              <c:f>Sheet1!$B$49:$BE$49</c:f>
              <c:numCache>
                <c:formatCode>General</c:formatCode>
                <c:ptCount val="56"/>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pt idx="37">
                  <c:v>1992.0</c:v>
                </c:pt>
                <c:pt idx="38">
                  <c:v>1993.0</c:v>
                </c:pt>
                <c:pt idx="39">
                  <c:v>1994.0</c:v>
                </c:pt>
                <c:pt idx="40">
                  <c:v>1995.0</c:v>
                </c:pt>
                <c:pt idx="41">
                  <c:v>1996.0</c:v>
                </c:pt>
                <c:pt idx="42">
                  <c:v>1997.0</c:v>
                </c:pt>
                <c:pt idx="43">
                  <c:v>1998.0</c:v>
                </c:pt>
                <c:pt idx="44">
                  <c:v>1999.0</c:v>
                </c:pt>
                <c:pt idx="45">
                  <c:v>2000.0</c:v>
                </c:pt>
                <c:pt idx="46">
                  <c:v>2001.0</c:v>
                </c:pt>
                <c:pt idx="47">
                  <c:v>2002.0</c:v>
                </c:pt>
                <c:pt idx="48">
                  <c:v>2003.0</c:v>
                </c:pt>
                <c:pt idx="49">
                  <c:v>2004.0</c:v>
                </c:pt>
                <c:pt idx="50">
                  <c:v>2005.0</c:v>
                </c:pt>
                <c:pt idx="51">
                  <c:v>2006.0</c:v>
                </c:pt>
                <c:pt idx="52">
                  <c:v>2007.0</c:v>
                </c:pt>
                <c:pt idx="53">
                  <c:v>2008.0</c:v>
                </c:pt>
                <c:pt idx="54">
                  <c:v>2009.0</c:v>
                </c:pt>
                <c:pt idx="55">
                  <c:v>2010.0</c:v>
                </c:pt>
              </c:numCache>
            </c:numRef>
          </c:cat>
          <c:val>
            <c:numRef>
              <c:f>Sheet1!$B$2:$BE$2</c:f>
              <c:numCache>
                <c:formatCode>General</c:formatCode>
                <c:ptCount val="56"/>
                <c:pt idx="0">
                  <c:v>8.200000000000001</c:v>
                </c:pt>
                <c:pt idx="1">
                  <c:v>4.4</c:v>
                </c:pt>
                <c:pt idx="2">
                  <c:v>12.0</c:v>
                </c:pt>
                <c:pt idx="3">
                  <c:v>20.7</c:v>
                </c:pt>
                <c:pt idx="4">
                  <c:v>19.5</c:v>
                </c:pt>
                <c:pt idx="5">
                  <c:v>13.0</c:v>
                </c:pt>
                <c:pt idx="6">
                  <c:v>19.6</c:v>
                </c:pt>
                <c:pt idx="7">
                  <c:v>20.5</c:v>
                </c:pt>
                <c:pt idx="8">
                  <c:v>17.9</c:v>
                </c:pt>
                <c:pt idx="9">
                  <c:v>22.5</c:v>
                </c:pt>
                <c:pt idx="10">
                  <c:v>18.4</c:v>
                </c:pt>
                <c:pt idx="11">
                  <c:v>32.5</c:v>
                </c:pt>
                <c:pt idx="12">
                  <c:v>41.40000000000001</c:v>
                </c:pt>
                <c:pt idx="13">
                  <c:v>43.5</c:v>
                </c:pt>
                <c:pt idx="14">
                  <c:v>44.5</c:v>
                </c:pt>
                <c:pt idx="15">
                  <c:v>59.2</c:v>
                </c:pt>
                <c:pt idx="16">
                  <c:v>71.5</c:v>
                </c:pt>
                <c:pt idx="17">
                  <c:v>59.9</c:v>
                </c:pt>
                <c:pt idx="18">
                  <c:v>66.9</c:v>
                </c:pt>
                <c:pt idx="19">
                  <c:v>95.2</c:v>
                </c:pt>
                <c:pt idx="20">
                  <c:v>155.1</c:v>
                </c:pt>
                <c:pt idx="21">
                  <c:v>155.9</c:v>
                </c:pt>
                <c:pt idx="22">
                  <c:v>171.0</c:v>
                </c:pt>
                <c:pt idx="23">
                  <c:v>196.9</c:v>
                </c:pt>
                <c:pt idx="24">
                  <c:v>192.6</c:v>
                </c:pt>
                <c:pt idx="25">
                  <c:v>221.0</c:v>
                </c:pt>
                <c:pt idx="26">
                  <c:v>273.5</c:v>
                </c:pt>
                <c:pt idx="27">
                  <c:v>360.1</c:v>
                </c:pt>
                <c:pt idx="28">
                  <c:v>408.0</c:v>
                </c:pt>
                <c:pt idx="29">
                  <c:v>506.4</c:v>
                </c:pt>
                <c:pt idx="30">
                  <c:v>769.5</c:v>
                </c:pt>
                <c:pt idx="31">
                  <c:v>733.3</c:v>
                </c:pt>
                <c:pt idx="32">
                  <c:v>630.9</c:v>
                </c:pt>
                <c:pt idx="33">
                  <c:v>601.7</c:v>
                </c:pt>
                <c:pt idx="34">
                  <c:v>565.6</c:v>
                </c:pt>
                <c:pt idx="35">
                  <c:v>650.2</c:v>
                </c:pt>
                <c:pt idx="36">
                  <c:v>677.7</c:v>
                </c:pt>
                <c:pt idx="37">
                  <c:v>703.8</c:v>
                </c:pt>
                <c:pt idx="38">
                  <c:v>906.1</c:v>
                </c:pt>
                <c:pt idx="39">
                  <c:v>706.4</c:v>
                </c:pt>
                <c:pt idx="40">
                  <c:v>690.0</c:v>
                </c:pt>
                <c:pt idx="41">
                  <c:v>823.7</c:v>
                </c:pt>
                <c:pt idx="42">
                  <c:v>835.2</c:v>
                </c:pt>
                <c:pt idx="43">
                  <c:v>1221.5</c:v>
                </c:pt>
                <c:pt idx="44">
                  <c:v>1215.9</c:v>
                </c:pt>
                <c:pt idx="45">
                  <c:v>747.5</c:v>
                </c:pt>
                <c:pt idx="46">
                  <c:v>1198.3</c:v>
                </c:pt>
                <c:pt idx="47">
                  <c:v>1402.9</c:v>
                </c:pt>
                <c:pt idx="48">
                  <c:v>1638.8</c:v>
                </c:pt>
                <c:pt idx="49">
                  <c:v>1554.6</c:v>
                </c:pt>
                <c:pt idx="50">
                  <c:v>1691.8</c:v>
                </c:pt>
                <c:pt idx="51">
                  <c:v>2250.6</c:v>
                </c:pt>
                <c:pt idx="52">
                  <c:v>2438.2</c:v>
                </c:pt>
                <c:pt idx="53">
                  <c:v>1682.5</c:v>
                </c:pt>
                <c:pt idx="54">
                  <c:v>1027.7</c:v>
                </c:pt>
                <c:pt idx="55">
                  <c:v>1447.7</c:v>
                </c:pt>
              </c:numCache>
            </c:numRef>
          </c:val>
          <c:smooth val="0"/>
          <c:extLst xmlns:c16r2="http://schemas.microsoft.com/office/drawing/2015/06/chart">
            <c:ext xmlns:c16="http://schemas.microsoft.com/office/drawing/2014/chart" uri="{C3380CC4-5D6E-409C-BE32-E72D297353CC}">
              <c16:uniqueId val="{00000000-BECD-4F38-B037-7B5D97DB64BA}"/>
            </c:ext>
          </c:extLst>
        </c:ser>
        <c:dLbls>
          <c:showLegendKey val="0"/>
          <c:showVal val="0"/>
          <c:showCatName val="0"/>
          <c:showSerName val="0"/>
          <c:showPercent val="0"/>
          <c:showBubbleSize val="0"/>
        </c:dLbls>
        <c:marker val="1"/>
        <c:smooth val="0"/>
        <c:axId val="-2115269112"/>
        <c:axId val="-2115265624"/>
      </c:lineChart>
      <c:lineChart>
        <c:grouping val="standard"/>
        <c:varyColors val="0"/>
        <c:ser>
          <c:idx val="1"/>
          <c:order val="1"/>
          <c:tx>
            <c:strRef>
              <c:f>Sheet1!$A$50</c:f>
              <c:strCache>
                <c:ptCount val="1"/>
                <c:pt idx="0">
                  <c:v>Average annual Flow of Funds rate</c:v>
                </c:pt>
              </c:strCache>
            </c:strRef>
          </c:tx>
          <c:spPr>
            <a:ln w="28575" cap="rnd">
              <a:solidFill>
                <a:schemeClr val="accent2"/>
              </a:solidFill>
              <a:prstDash val="sysDot"/>
              <a:round/>
            </a:ln>
            <a:effectLst/>
          </c:spPr>
          <c:marker>
            <c:symbol val="none"/>
          </c:marker>
          <c:val>
            <c:numRef>
              <c:f>Sheet1!$B$50:$BE$50</c:f>
              <c:numCache>
                <c:formatCode>_(* #,##0.00_);_(* \(#,##0.00\);_(* "-"??_);_(@_)</c:formatCode>
                <c:ptCount val="56"/>
                <c:pt idx="0">
                  <c:v>1.785</c:v>
                </c:pt>
                <c:pt idx="1">
                  <c:v>2.728333333333334</c:v>
                </c:pt>
                <c:pt idx="2">
                  <c:v>3.105</c:v>
                </c:pt>
                <c:pt idx="3">
                  <c:v>1.5725</c:v>
                </c:pt>
                <c:pt idx="4">
                  <c:v>3.305</c:v>
                </c:pt>
                <c:pt idx="5">
                  <c:v>3.215833333333333</c:v>
                </c:pt>
                <c:pt idx="6">
                  <c:v>1.955</c:v>
                </c:pt>
                <c:pt idx="7">
                  <c:v>2.708333333333334</c:v>
                </c:pt>
                <c:pt idx="8">
                  <c:v>3.178333333333333</c:v>
                </c:pt>
                <c:pt idx="9">
                  <c:v>3.496666666666667</c:v>
                </c:pt>
                <c:pt idx="10">
                  <c:v>4.0725</c:v>
                </c:pt>
                <c:pt idx="11">
                  <c:v>5.110833333333333</c:v>
                </c:pt>
                <c:pt idx="12">
                  <c:v>4.220000000000001</c:v>
                </c:pt>
                <c:pt idx="13">
                  <c:v>5.656666666666666</c:v>
                </c:pt>
                <c:pt idx="14">
                  <c:v>8.204166666666665</c:v>
                </c:pt>
                <c:pt idx="15">
                  <c:v>7.180833333333333</c:v>
                </c:pt>
                <c:pt idx="16">
                  <c:v>4.660833333333334</c:v>
                </c:pt>
                <c:pt idx="17">
                  <c:v>4.43083333333334</c:v>
                </c:pt>
                <c:pt idx="18">
                  <c:v>8.727500000000001</c:v>
                </c:pt>
                <c:pt idx="19">
                  <c:v>10.5025</c:v>
                </c:pt>
                <c:pt idx="20">
                  <c:v>5.824166666666649</c:v>
                </c:pt>
                <c:pt idx="21">
                  <c:v>5.044999999999995</c:v>
                </c:pt>
                <c:pt idx="22">
                  <c:v>5.537500000000001</c:v>
                </c:pt>
                <c:pt idx="23">
                  <c:v>7.93083333333334</c:v>
                </c:pt>
                <c:pt idx="24">
                  <c:v>11.19416666666667</c:v>
                </c:pt>
                <c:pt idx="25">
                  <c:v>13.35583333333334</c:v>
                </c:pt>
                <c:pt idx="26">
                  <c:v>16.37833333333321</c:v>
                </c:pt>
                <c:pt idx="27">
                  <c:v>12.25833333333333</c:v>
                </c:pt>
                <c:pt idx="28">
                  <c:v>9.08666666666667</c:v>
                </c:pt>
                <c:pt idx="29">
                  <c:v>10.225</c:v>
                </c:pt>
                <c:pt idx="30">
                  <c:v>8.100833333333332</c:v>
                </c:pt>
                <c:pt idx="31">
                  <c:v>6.805000000000001</c:v>
                </c:pt>
                <c:pt idx="32">
                  <c:v>6.657499999999988</c:v>
                </c:pt>
                <c:pt idx="33">
                  <c:v>7.568333333333333</c:v>
                </c:pt>
                <c:pt idx="34">
                  <c:v>9.216666666666666</c:v>
                </c:pt>
                <c:pt idx="35">
                  <c:v>8.09916666666667</c:v>
                </c:pt>
                <c:pt idx="36">
                  <c:v>5.687499999999995</c:v>
                </c:pt>
                <c:pt idx="37">
                  <c:v>3.521666666666667</c:v>
                </c:pt>
                <c:pt idx="38">
                  <c:v>3.0225</c:v>
                </c:pt>
                <c:pt idx="39">
                  <c:v>4.201666666666667</c:v>
                </c:pt>
                <c:pt idx="40">
                  <c:v>5.836666666666666</c:v>
                </c:pt>
                <c:pt idx="41">
                  <c:v>5.298333333333333</c:v>
                </c:pt>
                <c:pt idx="42">
                  <c:v>5.46</c:v>
                </c:pt>
                <c:pt idx="43">
                  <c:v>5.353333333333333</c:v>
                </c:pt>
                <c:pt idx="44">
                  <c:v>4.97</c:v>
                </c:pt>
                <c:pt idx="45">
                  <c:v>6.235833333333333</c:v>
                </c:pt>
                <c:pt idx="46">
                  <c:v>3.8875</c:v>
                </c:pt>
                <c:pt idx="47">
                  <c:v>1.666666666666667</c:v>
                </c:pt>
                <c:pt idx="48">
                  <c:v>1.1275</c:v>
                </c:pt>
                <c:pt idx="49">
                  <c:v>1.349166666666666</c:v>
                </c:pt>
                <c:pt idx="50">
                  <c:v>3.213333333333334</c:v>
                </c:pt>
                <c:pt idx="51">
                  <c:v>4.964166666666665</c:v>
                </c:pt>
                <c:pt idx="52">
                  <c:v>5.019166666666666</c:v>
                </c:pt>
                <c:pt idx="53">
                  <c:v>1.927499999999999</c:v>
                </c:pt>
                <c:pt idx="54">
                  <c:v>0.16</c:v>
                </c:pt>
                <c:pt idx="55">
                  <c:v>0.175</c:v>
                </c:pt>
              </c:numCache>
            </c:numRef>
          </c:val>
          <c:smooth val="0"/>
          <c:extLst xmlns:c16r2="http://schemas.microsoft.com/office/drawing/2015/06/chart">
            <c:ext xmlns:c16="http://schemas.microsoft.com/office/drawing/2014/chart" uri="{C3380CC4-5D6E-409C-BE32-E72D297353CC}">
              <c16:uniqueId val="{00000001-BECD-4F38-B037-7B5D97DB64BA}"/>
            </c:ext>
          </c:extLst>
        </c:ser>
        <c:dLbls>
          <c:showLegendKey val="0"/>
          <c:showVal val="0"/>
          <c:showCatName val="0"/>
          <c:showSerName val="0"/>
          <c:showPercent val="0"/>
          <c:showBubbleSize val="0"/>
        </c:dLbls>
        <c:marker val="1"/>
        <c:smooth val="0"/>
        <c:axId val="2146801240"/>
        <c:axId val="-2115262200"/>
      </c:lineChart>
      <c:catAx>
        <c:axId val="-2115269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265624"/>
        <c:crosses val="autoZero"/>
        <c:auto val="1"/>
        <c:lblAlgn val="ctr"/>
        <c:lblOffset val="100"/>
        <c:tickLblSkip val="5"/>
        <c:tickMarkSkip val="5"/>
        <c:noMultiLvlLbl val="0"/>
      </c:catAx>
      <c:valAx>
        <c:axId val="-2115265624"/>
        <c:scaling>
          <c:orientation val="minMax"/>
        </c:scaling>
        <c:delete val="0"/>
        <c:axPos val="l"/>
        <c:numFmt formatCode="#,##0" sourceLinked="0"/>
        <c:majorTickMark val="out"/>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269112"/>
        <c:crosses val="autoZero"/>
        <c:crossBetween val="between"/>
      </c:valAx>
      <c:valAx>
        <c:axId val="-2115262200"/>
        <c:scaling>
          <c:orientation val="minMax"/>
        </c:scaling>
        <c:delete val="0"/>
        <c:axPos val="r"/>
        <c:numFmt formatCode="_(* #,##0_);_(* \(#,##0\);_(* &quot;-&quot;_);_(@_)" sourceLinked="0"/>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6801240"/>
        <c:crosses val="max"/>
        <c:crossBetween val="between"/>
      </c:valAx>
      <c:catAx>
        <c:axId val="2146801240"/>
        <c:scaling>
          <c:orientation val="minMax"/>
        </c:scaling>
        <c:delete val="1"/>
        <c:axPos val="b"/>
        <c:majorTickMark val="out"/>
        <c:minorTickMark val="none"/>
        <c:tickLblPos val="nextTo"/>
        <c:crossAx val="-2115262200"/>
        <c:crosses val="autoZero"/>
        <c:auto val="1"/>
        <c:lblAlgn val="ctr"/>
        <c:lblOffset val="100"/>
        <c:noMultiLvlLbl val="0"/>
      </c:catAx>
      <c:spPr>
        <a:noFill/>
        <a:ln>
          <a:noFill/>
        </a:ln>
        <a:effectLst/>
      </c:spPr>
    </c:plotArea>
    <c:legend>
      <c:legendPos val="b"/>
      <c:layout>
        <c:manualLayout>
          <c:xMode val="edge"/>
          <c:yMode val="edge"/>
          <c:x val="0.0808448162729659"/>
          <c:y val="0.0226006124234471"/>
          <c:w val="0.372458442694663"/>
          <c:h val="0.1480124359455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3021289005541"/>
          <c:y val="0.0553191489361702"/>
          <c:w val="0.888605278506853"/>
          <c:h val="0.827091305076227"/>
        </c:manualLayout>
      </c:layout>
      <c:areaChart>
        <c:grouping val="stacked"/>
        <c:varyColors val="0"/>
        <c:ser>
          <c:idx val="2"/>
          <c:order val="0"/>
          <c:tx>
            <c:strRef>
              <c:f>Sheet1!$A$5</c:f>
              <c:strCache>
                <c:ptCount val="1"/>
                <c:pt idx="0">
                  <c:v>Agency- and GSE-backed securities</c:v>
                </c:pt>
              </c:strCache>
            </c:strRef>
          </c:tx>
          <c:spPr>
            <a:solidFill>
              <a:schemeClr val="accent3"/>
            </a:solidFill>
            <a:ln>
              <a:noFill/>
            </a:ln>
            <a:effectLst/>
          </c:spPr>
          <c:cat>
            <c:numRef>
              <c:f>Sheet1!$B$1:$BE$1</c:f>
              <c:numCache>
                <c:formatCode>General</c:formatCode>
                <c:ptCount val="56"/>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pt idx="37">
                  <c:v>1992.0</c:v>
                </c:pt>
                <c:pt idx="38">
                  <c:v>1993.0</c:v>
                </c:pt>
                <c:pt idx="39">
                  <c:v>1994.0</c:v>
                </c:pt>
                <c:pt idx="40">
                  <c:v>1995.0</c:v>
                </c:pt>
                <c:pt idx="41">
                  <c:v>1996.0</c:v>
                </c:pt>
                <c:pt idx="42">
                  <c:v>1997.0</c:v>
                </c:pt>
                <c:pt idx="43">
                  <c:v>1998.0</c:v>
                </c:pt>
                <c:pt idx="44">
                  <c:v>1999.0</c:v>
                </c:pt>
                <c:pt idx="45">
                  <c:v>2000.0</c:v>
                </c:pt>
                <c:pt idx="46">
                  <c:v>2001.0</c:v>
                </c:pt>
                <c:pt idx="47">
                  <c:v>2002.0</c:v>
                </c:pt>
                <c:pt idx="48">
                  <c:v>2003.0</c:v>
                </c:pt>
                <c:pt idx="49">
                  <c:v>2004.0</c:v>
                </c:pt>
                <c:pt idx="50">
                  <c:v>2005.0</c:v>
                </c:pt>
                <c:pt idx="51">
                  <c:v>2006.0</c:v>
                </c:pt>
                <c:pt idx="52">
                  <c:v>2007.0</c:v>
                </c:pt>
                <c:pt idx="53">
                  <c:v>2008.0</c:v>
                </c:pt>
                <c:pt idx="54">
                  <c:v>2009.0</c:v>
                </c:pt>
                <c:pt idx="55">
                  <c:v>2010.0</c:v>
                </c:pt>
              </c:numCache>
            </c:numRef>
          </c:cat>
          <c:val>
            <c:numRef>
              <c:f>Sheet1!$B$5:$BE$5</c:f>
              <c:numCache>
                <c:formatCode>General</c:formatCode>
                <c:ptCount val="56"/>
                <c:pt idx="0">
                  <c:v>0.3</c:v>
                </c:pt>
                <c:pt idx="1">
                  <c:v>0.2</c:v>
                </c:pt>
                <c:pt idx="2">
                  <c:v>1.7</c:v>
                </c:pt>
                <c:pt idx="3">
                  <c:v>0.0</c:v>
                </c:pt>
                <c:pt idx="4">
                  <c:v>1.6</c:v>
                </c:pt>
                <c:pt idx="5">
                  <c:v>0.5</c:v>
                </c:pt>
                <c:pt idx="6">
                  <c:v>1.0</c:v>
                </c:pt>
                <c:pt idx="7">
                  <c:v>2.2</c:v>
                </c:pt>
                <c:pt idx="8">
                  <c:v>1.5</c:v>
                </c:pt>
                <c:pt idx="9">
                  <c:v>1.4</c:v>
                </c:pt>
                <c:pt idx="10">
                  <c:v>2.6</c:v>
                </c:pt>
                <c:pt idx="11">
                  <c:v>6.9</c:v>
                </c:pt>
                <c:pt idx="12">
                  <c:v>4.3</c:v>
                </c:pt>
                <c:pt idx="13">
                  <c:v>6.9</c:v>
                </c:pt>
                <c:pt idx="14">
                  <c:v>7.4</c:v>
                </c:pt>
                <c:pt idx="15">
                  <c:v>8.8</c:v>
                </c:pt>
                <c:pt idx="16">
                  <c:v>4.9</c:v>
                </c:pt>
                <c:pt idx="17">
                  <c:v>9.3</c:v>
                </c:pt>
                <c:pt idx="18">
                  <c:v>20.4</c:v>
                </c:pt>
                <c:pt idx="19">
                  <c:v>21.0</c:v>
                </c:pt>
                <c:pt idx="20">
                  <c:v>9.0</c:v>
                </c:pt>
                <c:pt idx="21">
                  <c:v>14.6</c:v>
                </c:pt>
                <c:pt idx="22">
                  <c:v>22.3</c:v>
                </c:pt>
                <c:pt idx="23">
                  <c:v>35.3</c:v>
                </c:pt>
                <c:pt idx="24">
                  <c:v>46.0</c:v>
                </c:pt>
                <c:pt idx="25">
                  <c:v>43.1</c:v>
                </c:pt>
                <c:pt idx="26">
                  <c:v>45.2</c:v>
                </c:pt>
                <c:pt idx="27">
                  <c:v>63.7</c:v>
                </c:pt>
                <c:pt idx="28">
                  <c:v>67.7</c:v>
                </c:pt>
                <c:pt idx="29">
                  <c:v>74.9</c:v>
                </c:pt>
                <c:pt idx="30">
                  <c:v>99.4</c:v>
                </c:pt>
                <c:pt idx="31">
                  <c:v>179.3</c:v>
                </c:pt>
                <c:pt idx="32">
                  <c:v>169.5</c:v>
                </c:pt>
                <c:pt idx="33">
                  <c:v>138.2</c:v>
                </c:pt>
                <c:pt idx="34">
                  <c:v>151.1</c:v>
                </c:pt>
                <c:pt idx="35">
                  <c:v>175.6</c:v>
                </c:pt>
                <c:pt idx="36">
                  <c:v>132.0</c:v>
                </c:pt>
                <c:pt idx="37">
                  <c:v>156.5</c:v>
                </c:pt>
                <c:pt idx="38">
                  <c:v>173.1</c:v>
                </c:pt>
                <c:pt idx="39">
                  <c:v>292.3</c:v>
                </c:pt>
                <c:pt idx="40">
                  <c:v>205.8</c:v>
                </c:pt>
                <c:pt idx="41">
                  <c:v>229.8</c:v>
                </c:pt>
                <c:pt idx="42">
                  <c:v>213.6</c:v>
                </c:pt>
                <c:pt idx="43">
                  <c:v>473.6</c:v>
                </c:pt>
                <c:pt idx="44">
                  <c:v>593.1</c:v>
                </c:pt>
                <c:pt idx="45">
                  <c:v>433.9</c:v>
                </c:pt>
                <c:pt idx="46">
                  <c:v>642.1</c:v>
                </c:pt>
                <c:pt idx="47">
                  <c:v>547.2</c:v>
                </c:pt>
                <c:pt idx="48">
                  <c:v>583.8</c:v>
                </c:pt>
                <c:pt idx="49">
                  <c:v>115.2</c:v>
                </c:pt>
                <c:pt idx="50">
                  <c:v>80.0</c:v>
                </c:pt>
                <c:pt idx="51">
                  <c:v>327.9</c:v>
                </c:pt>
                <c:pt idx="52">
                  <c:v>905.3</c:v>
                </c:pt>
                <c:pt idx="53">
                  <c:v>768.9</c:v>
                </c:pt>
                <c:pt idx="54">
                  <c:v>-59.9</c:v>
                </c:pt>
                <c:pt idx="55">
                  <c:v>-46.2</c:v>
                </c:pt>
              </c:numCache>
            </c:numRef>
          </c:val>
          <c:extLst xmlns:c16r2="http://schemas.microsoft.com/office/drawing/2015/06/chart">
            <c:ext xmlns:c16="http://schemas.microsoft.com/office/drawing/2014/chart" uri="{C3380CC4-5D6E-409C-BE32-E72D297353CC}">
              <c16:uniqueId val="{00000000-AEA2-4768-A26B-55DD049E5A1C}"/>
            </c:ext>
          </c:extLst>
        </c:ser>
        <c:ser>
          <c:idx val="3"/>
          <c:order val="1"/>
          <c:tx>
            <c:strRef>
              <c:f>Sheet1!$A$6</c:f>
              <c:strCache>
                <c:ptCount val="1"/>
                <c:pt idx="0">
                  <c:v>Municipal securities  </c:v>
                </c:pt>
              </c:strCache>
            </c:strRef>
          </c:tx>
          <c:spPr>
            <a:solidFill>
              <a:schemeClr val="accent4"/>
            </a:solidFill>
            <a:ln>
              <a:noFill/>
            </a:ln>
            <a:effectLst/>
          </c:spPr>
          <c:cat>
            <c:numRef>
              <c:f>Sheet1!$B$1:$BE$1</c:f>
              <c:numCache>
                <c:formatCode>General</c:formatCode>
                <c:ptCount val="56"/>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pt idx="37">
                  <c:v>1992.0</c:v>
                </c:pt>
                <c:pt idx="38">
                  <c:v>1993.0</c:v>
                </c:pt>
                <c:pt idx="39">
                  <c:v>1994.0</c:v>
                </c:pt>
                <c:pt idx="40">
                  <c:v>1995.0</c:v>
                </c:pt>
                <c:pt idx="41">
                  <c:v>1996.0</c:v>
                </c:pt>
                <c:pt idx="42">
                  <c:v>1997.0</c:v>
                </c:pt>
                <c:pt idx="43">
                  <c:v>1998.0</c:v>
                </c:pt>
                <c:pt idx="44">
                  <c:v>1999.0</c:v>
                </c:pt>
                <c:pt idx="45">
                  <c:v>2000.0</c:v>
                </c:pt>
                <c:pt idx="46">
                  <c:v>2001.0</c:v>
                </c:pt>
                <c:pt idx="47">
                  <c:v>2002.0</c:v>
                </c:pt>
                <c:pt idx="48">
                  <c:v>2003.0</c:v>
                </c:pt>
                <c:pt idx="49">
                  <c:v>2004.0</c:v>
                </c:pt>
                <c:pt idx="50">
                  <c:v>2005.0</c:v>
                </c:pt>
                <c:pt idx="51">
                  <c:v>2006.0</c:v>
                </c:pt>
                <c:pt idx="52">
                  <c:v>2007.0</c:v>
                </c:pt>
                <c:pt idx="53">
                  <c:v>2008.0</c:v>
                </c:pt>
                <c:pt idx="54">
                  <c:v>2009.0</c:v>
                </c:pt>
                <c:pt idx="55">
                  <c:v>2010.0</c:v>
                </c:pt>
              </c:numCache>
            </c:numRef>
          </c:cat>
          <c:val>
            <c:numRef>
              <c:f>Sheet1!$B$6:$BE$6</c:f>
              <c:numCache>
                <c:formatCode>General</c:formatCode>
                <c:ptCount val="56"/>
                <c:pt idx="0">
                  <c:v>5.0</c:v>
                </c:pt>
                <c:pt idx="1">
                  <c:v>4.2</c:v>
                </c:pt>
                <c:pt idx="2">
                  <c:v>4.5</c:v>
                </c:pt>
                <c:pt idx="3">
                  <c:v>5.5</c:v>
                </c:pt>
                <c:pt idx="4">
                  <c:v>5.8</c:v>
                </c:pt>
                <c:pt idx="5">
                  <c:v>5.3</c:v>
                </c:pt>
                <c:pt idx="6">
                  <c:v>5.4</c:v>
                </c:pt>
                <c:pt idx="7">
                  <c:v>5.5</c:v>
                </c:pt>
                <c:pt idx="8">
                  <c:v>5.2</c:v>
                </c:pt>
                <c:pt idx="9">
                  <c:v>6.1</c:v>
                </c:pt>
                <c:pt idx="10">
                  <c:v>7.2</c:v>
                </c:pt>
                <c:pt idx="11">
                  <c:v>6.2</c:v>
                </c:pt>
                <c:pt idx="12">
                  <c:v>7.2</c:v>
                </c:pt>
                <c:pt idx="13">
                  <c:v>8.4</c:v>
                </c:pt>
                <c:pt idx="14">
                  <c:v>11.4</c:v>
                </c:pt>
                <c:pt idx="15">
                  <c:v>12.0</c:v>
                </c:pt>
                <c:pt idx="16">
                  <c:v>16.2</c:v>
                </c:pt>
                <c:pt idx="17">
                  <c:v>14.2</c:v>
                </c:pt>
                <c:pt idx="18">
                  <c:v>16.0</c:v>
                </c:pt>
                <c:pt idx="19">
                  <c:v>15.3</c:v>
                </c:pt>
                <c:pt idx="20">
                  <c:v>15.0</c:v>
                </c:pt>
                <c:pt idx="21">
                  <c:v>20.9</c:v>
                </c:pt>
                <c:pt idx="22">
                  <c:v>29.7</c:v>
                </c:pt>
                <c:pt idx="23">
                  <c:v>51.3</c:v>
                </c:pt>
                <c:pt idx="24">
                  <c:v>39.3</c:v>
                </c:pt>
                <c:pt idx="25">
                  <c:v>35.3</c:v>
                </c:pt>
                <c:pt idx="26">
                  <c:v>44.2</c:v>
                </c:pt>
                <c:pt idx="27">
                  <c:v>64.4</c:v>
                </c:pt>
                <c:pt idx="28">
                  <c:v>67.1</c:v>
                </c:pt>
                <c:pt idx="29">
                  <c:v>75.5</c:v>
                </c:pt>
                <c:pt idx="30">
                  <c:v>208.2</c:v>
                </c:pt>
                <c:pt idx="31">
                  <c:v>59.9</c:v>
                </c:pt>
                <c:pt idx="32">
                  <c:v>91.6</c:v>
                </c:pt>
                <c:pt idx="33">
                  <c:v>55.4</c:v>
                </c:pt>
                <c:pt idx="34">
                  <c:v>49.8</c:v>
                </c:pt>
                <c:pt idx="35">
                  <c:v>48.8</c:v>
                </c:pt>
                <c:pt idx="36">
                  <c:v>93.5</c:v>
                </c:pt>
                <c:pt idx="37">
                  <c:v>23.3</c:v>
                </c:pt>
                <c:pt idx="38">
                  <c:v>66.3</c:v>
                </c:pt>
                <c:pt idx="39">
                  <c:v>-35.9</c:v>
                </c:pt>
                <c:pt idx="40">
                  <c:v>-57.6</c:v>
                </c:pt>
                <c:pt idx="41">
                  <c:v>-6.5</c:v>
                </c:pt>
                <c:pt idx="42">
                  <c:v>56.9</c:v>
                </c:pt>
                <c:pt idx="43">
                  <c:v>84.2</c:v>
                </c:pt>
                <c:pt idx="44">
                  <c:v>54.4</c:v>
                </c:pt>
                <c:pt idx="45">
                  <c:v>23.6</c:v>
                </c:pt>
                <c:pt idx="46">
                  <c:v>122.7</c:v>
                </c:pt>
                <c:pt idx="47">
                  <c:v>159.4</c:v>
                </c:pt>
                <c:pt idx="48">
                  <c:v>137.6</c:v>
                </c:pt>
                <c:pt idx="49">
                  <c:v>203.7</c:v>
                </c:pt>
                <c:pt idx="50">
                  <c:v>193.6</c:v>
                </c:pt>
                <c:pt idx="51">
                  <c:v>168.3</c:v>
                </c:pt>
                <c:pt idx="52">
                  <c:v>235.9</c:v>
                </c:pt>
                <c:pt idx="53">
                  <c:v>95.3</c:v>
                </c:pt>
                <c:pt idx="54">
                  <c:v>154.5</c:v>
                </c:pt>
                <c:pt idx="55">
                  <c:v>97.7</c:v>
                </c:pt>
              </c:numCache>
            </c:numRef>
          </c:val>
          <c:extLst xmlns:c16r2="http://schemas.microsoft.com/office/drawing/2015/06/chart">
            <c:ext xmlns:c16="http://schemas.microsoft.com/office/drawing/2014/chart" uri="{C3380CC4-5D6E-409C-BE32-E72D297353CC}">
              <c16:uniqueId val="{00000001-AEA2-4768-A26B-55DD049E5A1C}"/>
            </c:ext>
          </c:extLst>
        </c:ser>
        <c:ser>
          <c:idx val="4"/>
          <c:order val="2"/>
          <c:tx>
            <c:strRef>
              <c:f>Sheet1!$A$7</c:f>
              <c:strCache>
                <c:ptCount val="1"/>
                <c:pt idx="0">
                  <c:v>Corporate and foreign bonds</c:v>
                </c:pt>
              </c:strCache>
            </c:strRef>
          </c:tx>
          <c:spPr>
            <a:solidFill>
              <a:schemeClr val="accent5"/>
            </a:solidFill>
            <a:ln>
              <a:noFill/>
            </a:ln>
            <a:effectLst/>
          </c:spPr>
          <c:cat>
            <c:numRef>
              <c:f>Sheet1!$B$1:$BE$1</c:f>
              <c:numCache>
                <c:formatCode>General</c:formatCode>
                <c:ptCount val="56"/>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pt idx="37">
                  <c:v>1992.0</c:v>
                </c:pt>
                <c:pt idx="38">
                  <c:v>1993.0</c:v>
                </c:pt>
                <c:pt idx="39">
                  <c:v>1994.0</c:v>
                </c:pt>
                <c:pt idx="40">
                  <c:v>1995.0</c:v>
                </c:pt>
                <c:pt idx="41">
                  <c:v>1996.0</c:v>
                </c:pt>
                <c:pt idx="42">
                  <c:v>1997.0</c:v>
                </c:pt>
                <c:pt idx="43">
                  <c:v>1998.0</c:v>
                </c:pt>
                <c:pt idx="44">
                  <c:v>1999.0</c:v>
                </c:pt>
                <c:pt idx="45">
                  <c:v>2000.0</c:v>
                </c:pt>
                <c:pt idx="46">
                  <c:v>2001.0</c:v>
                </c:pt>
                <c:pt idx="47">
                  <c:v>2002.0</c:v>
                </c:pt>
                <c:pt idx="48">
                  <c:v>2003.0</c:v>
                </c:pt>
                <c:pt idx="49">
                  <c:v>2004.0</c:v>
                </c:pt>
                <c:pt idx="50">
                  <c:v>2005.0</c:v>
                </c:pt>
                <c:pt idx="51">
                  <c:v>2006.0</c:v>
                </c:pt>
                <c:pt idx="52">
                  <c:v>2007.0</c:v>
                </c:pt>
                <c:pt idx="53">
                  <c:v>2008.0</c:v>
                </c:pt>
                <c:pt idx="54">
                  <c:v>2009.0</c:v>
                </c:pt>
                <c:pt idx="55">
                  <c:v>2010.0</c:v>
                </c:pt>
              </c:numCache>
            </c:numRef>
          </c:cat>
          <c:val>
            <c:numRef>
              <c:f>Sheet1!$B$7:$BE$7</c:f>
              <c:numCache>
                <c:formatCode>General</c:formatCode>
                <c:ptCount val="56"/>
                <c:pt idx="0">
                  <c:v>3.2</c:v>
                </c:pt>
                <c:pt idx="1">
                  <c:v>5.1</c:v>
                </c:pt>
                <c:pt idx="2">
                  <c:v>7.7</c:v>
                </c:pt>
                <c:pt idx="3">
                  <c:v>6.4</c:v>
                </c:pt>
                <c:pt idx="4">
                  <c:v>4.5</c:v>
                </c:pt>
                <c:pt idx="5">
                  <c:v>7.2</c:v>
                </c:pt>
                <c:pt idx="6">
                  <c:v>5.6</c:v>
                </c:pt>
                <c:pt idx="7">
                  <c:v>5.4</c:v>
                </c:pt>
                <c:pt idx="8">
                  <c:v>6.3</c:v>
                </c:pt>
                <c:pt idx="9">
                  <c:v>7.6</c:v>
                </c:pt>
                <c:pt idx="10">
                  <c:v>6.5</c:v>
                </c:pt>
                <c:pt idx="11">
                  <c:v>12.5</c:v>
                </c:pt>
                <c:pt idx="12">
                  <c:v>16.8</c:v>
                </c:pt>
                <c:pt idx="13">
                  <c:v>14.6</c:v>
                </c:pt>
                <c:pt idx="14">
                  <c:v>14.0</c:v>
                </c:pt>
                <c:pt idx="15">
                  <c:v>23.2</c:v>
                </c:pt>
                <c:pt idx="16">
                  <c:v>24.5</c:v>
                </c:pt>
                <c:pt idx="17">
                  <c:v>20.6</c:v>
                </c:pt>
                <c:pt idx="18">
                  <c:v>15.5</c:v>
                </c:pt>
                <c:pt idx="19">
                  <c:v>29.0</c:v>
                </c:pt>
                <c:pt idx="20">
                  <c:v>42.5</c:v>
                </c:pt>
                <c:pt idx="21">
                  <c:v>38.3</c:v>
                </c:pt>
                <c:pt idx="22">
                  <c:v>40.2</c:v>
                </c:pt>
                <c:pt idx="23">
                  <c:v>31.7</c:v>
                </c:pt>
                <c:pt idx="24">
                  <c:v>24.6</c:v>
                </c:pt>
                <c:pt idx="25">
                  <c:v>36.4</c:v>
                </c:pt>
                <c:pt idx="26">
                  <c:v>36.9</c:v>
                </c:pt>
                <c:pt idx="27">
                  <c:v>52.1</c:v>
                </c:pt>
                <c:pt idx="28">
                  <c:v>46.5</c:v>
                </c:pt>
                <c:pt idx="29">
                  <c:v>88.2</c:v>
                </c:pt>
                <c:pt idx="30">
                  <c:v>143.4</c:v>
                </c:pt>
                <c:pt idx="31">
                  <c:v>222.5</c:v>
                </c:pt>
                <c:pt idx="32">
                  <c:v>164.7</c:v>
                </c:pt>
                <c:pt idx="33">
                  <c:v>162.2</c:v>
                </c:pt>
                <c:pt idx="34">
                  <c:v>119.5</c:v>
                </c:pt>
                <c:pt idx="35">
                  <c:v>123.0</c:v>
                </c:pt>
                <c:pt idx="36">
                  <c:v>165.7</c:v>
                </c:pt>
                <c:pt idx="37">
                  <c:v>167.4</c:v>
                </c:pt>
                <c:pt idx="38">
                  <c:v>386.5</c:v>
                </c:pt>
                <c:pt idx="39">
                  <c:v>221.0</c:v>
                </c:pt>
                <c:pt idx="40">
                  <c:v>303.8</c:v>
                </c:pt>
                <c:pt idx="41">
                  <c:v>296.2</c:v>
                </c:pt>
                <c:pt idx="42">
                  <c:v>317.1</c:v>
                </c:pt>
                <c:pt idx="43">
                  <c:v>484.0</c:v>
                </c:pt>
                <c:pt idx="44">
                  <c:v>368.4</c:v>
                </c:pt>
                <c:pt idx="45">
                  <c:v>352.4</c:v>
                </c:pt>
                <c:pt idx="46">
                  <c:v>569.4</c:v>
                </c:pt>
                <c:pt idx="47">
                  <c:v>513.8</c:v>
                </c:pt>
                <c:pt idx="48">
                  <c:v>576.2</c:v>
                </c:pt>
                <c:pt idx="49">
                  <c:v>726.1</c:v>
                </c:pt>
                <c:pt idx="50">
                  <c:v>865.8</c:v>
                </c:pt>
                <c:pt idx="51">
                  <c:v>1253.6</c:v>
                </c:pt>
                <c:pt idx="52">
                  <c:v>1228.9</c:v>
                </c:pt>
                <c:pt idx="53">
                  <c:v>-231.7</c:v>
                </c:pt>
                <c:pt idx="54">
                  <c:v>-48.7</c:v>
                </c:pt>
                <c:pt idx="55">
                  <c:v>-103.5</c:v>
                </c:pt>
              </c:numCache>
            </c:numRef>
          </c:val>
          <c:extLst xmlns:c16r2="http://schemas.microsoft.com/office/drawing/2015/06/chart">
            <c:ext xmlns:c16="http://schemas.microsoft.com/office/drawing/2014/chart" uri="{C3380CC4-5D6E-409C-BE32-E72D297353CC}">
              <c16:uniqueId val="{00000002-AEA2-4768-A26B-55DD049E5A1C}"/>
            </c:ext>
          </c:extLst>
        </c:ser>
        <c:ser>
          <c:idx val="0"/>
          <c:order val="3"/>
          <c:tx>
            <c:strRef>
              <c:f>Sheet1!$A$3</c:f>
              <c:strCache>
                <c:ptCount val="1"/>
                <c:pt idx="0">
                  <c:v>Open market paper </c:v>
                </c:pt>
              </c:strCache>
            </c:strRef>
          </c:tx>
          <c:spPr>
            <a:solidFill>
              <a:schemeClr val="accent1"/>
            </a:solidFill>
            <a:ln>
              <a:noFill/>
            </a:ln>
            <a:effectLst/>
          </c:spPr>
          <c:cat>
            <c:numRef>
              <c:f>Sheet1!$B$1:$BE$1</c:f>
              <c:numCache>
                <c:formatCode>General</c:formatCode>
                <c:ptCount val="56"/>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pt idx="37">
                  <c:v>1992.0</c:v>
                </c:pt>
                <c:pt idx="38">
                  <c:v>1993.0</c:v>
                </c:pt>
                <c:pt idx="39">
                  <c:v>1994.0</c:v>
                </c:pt>
                <c:pt idx="40">
                  <c:v>1995.0</c:v>
                </c:pt>
                <c:pt idx="41">
                  <c:v>1996.0</c:v>
                </c:pt>
                <c:pt idx="42">
                  <c:v>1997.0</c:v>
                </c:pt>
                <c:pt idx="43">
                  <c:v>1998.0</c:v>
                </c:pt>
                <c:pt idx="44">
                  <c:v>1999.0</c:v>
                </c:pt>
                <c:pt idx="45">
                  <c:v>2000.0</c:v>
                </c:pt>
                <c:pt idx="46">
                  <c:v>2001.0</c:v>
                </c:pt>
                <c:pt idx="47">
                  <c:v>2002.0</c:v>
                </c:pt>
                <c:pt idx="48">
                  <c:v>2003.0</c:v>
                </c:pt>
                <c:pt idx="49">
                  <c:v>2004.0</c:v>
                </c:pt>
                <c:pt idx="50">
                  <c:v>2005.0</c:v>
                </c:pt>
                <c:pt idx="51">
                  <c:v>2006.0</c:v>
                </c:pt>
                <c:pt idx="52">
                  <c:v>2007.0</c:v>
                </c:pt>
                <c:pt idx="53">
                  <c:v>2008.0</c:v>
                </c:pt>
                <c:pt idx="54">
                  <c:v>2009.0</c:v>
                </c:pt>
                <c:pt idx="55">
                  <c:v>2010.0</c:v>
                </c:pt>
              </c:numCache>
            </c:numRef>
          </c:cat>
          <c:val>
            <c:numRef>
              <c:f>Sheet1!$B$3:$BE$3</c:f>
              <c:numCache>
                <c:formatCode>General</c:formatCode>
                <c:ptCount val="56"/>
                <c:pt idx="0">
                  <c:v>-0.2</c:v>
                </c:pt>
                <c:pt idx="1">
                  <c:v>0.5</c:v>
                </c:pt>
                <c:pt idx="2">
                  <c:v>0.8</c:v>
                </c:pt>
                <c:pt idx="3">
                  <c:v>0.0</c:v>
                </c:pt>
                <c:pt idx="4">
                  <c:v>0.3</c:v>
                </c:pt>
                <c:pt idx="5">
                  <c:v>2.2</c:v>
                </c:pt>
                <c:pt idx="6">
                  <c:v>0.9</c:v>
                </c:pt>
                <c:pt idx="7">
                  <c:v>1.3</c:v>
                </c:pt>
                <c:pt idx="8">
                  <c:v>1.0</c:v>
                </c:pt>
                <c:pt idx="9">
                  <c:v>2.2</c:v>
                </c:pt>
                <c:pt idx="10">
                  <c:v>0.9</c:v>
                </c:pt>
                <c:pt idx="11">
                  <c:v>4.6</c:v>
                </c:pt>
                <c:pt idx="12">
                  <c:v>4.2</c:v>
                </c:pt>
                <c:pt idx="13">
                  <c:v>4.2</c:v>
                </c:pt>
                <c:pt idx="14">
                  <c:v>12.5</c:v>
                </c:pt>
                <c:pt idx="15">
                  <c:v>2.1</c:v>
                </c:pt>
                <c:pt idx="16">
                  <c:v>-0.1</c:v>
                </c:pt>
                <c:pt idx="17">
                  <c:v>1.6</c:v>
                </c:pt>
                <c:pt idx="18">
                  <c:v>8.4</c:v>
                </c:pt>
                <c:pt idx="19">
                  <c:v>17.8</c:v>
                </c:pt>
                <c:pt idx="20">
                  <c:v>-1.2</c:v>
                </c:pt>
                <c:pt idx="21">
                  <c:v>8.200000000000001</c:v>
                </c:pt>
                <c:pt idx="22">
                  <c:v>15.0</c:v>
                </c:pt>
                <c:pt idx="23">
                  <c:v>17.7</c:v>
                </c:pt>
                <c:pt idx="24">
                  <c:v>37.5</c:v>
                </c:pt>
                <c:pt idx="25">
                  <c:v>19.3</c:v>
                </c:pt>
                <c:pt idx="26">
                  <c:v>51.3</c:v>
                </c:pt>
                <c:pt idx="27">
                  <c:v>5.7</c:v>
                </c:pt>
                <c:pt idx="28">
                  <c:v>26.9</c:v>
                </c:pt>
                <c:pt idx="29">
                  <c:v>51.9</c:v>
                </c:pt>
                <c:pt idx="30">
                  <c:v>52.8</c:v>
                </c:pt>
                <c:pt idx="31">
                  <c:v>26.4</c:v>
                </c:pt>
                <c:pt idx="32">
                  <c:v>32.3</c:v>
                </c:pt>
                <c:pt idx="33">
                  <c:v>75.4</c:v>
                </c:pt>
                <c:pt idx="34">
                  <c:v>65.9</c:v>
                </c:pt>
                <c:pt idx="35">
                  <c:v>30.7</c:v>
                </c:pt>
                <c:pt idx="36">
                  <c:v>-44.0</c:v>
                </c:pt>
                <c:pt idx="37">
                  <c:v>13.1</c:v>
                </c:pt>
                <c:pt idx="38">
                  <c:v>-5.1</c:v>
                </c:pt>
                <c:pt idx="39">
                  <c:v>35.7</c:v>
                </c:pt>
                <c:pt idx="40">
                  <c:v>74.3</c:v>
                </c:pt>
                <c:pt idx="41">
                  <c:v>102.6</c:v>
                </c:pt>
                <c:pt idx="42">
                  <c:v>184.1</c:v>
                </c:pt>
                <c:pt idx="43">
                  <c:v>193.1</c:v>
                </c:pt>
                <c:pt idx="44">
                  <c:v>229.9</c:v>
                </c:pt>
                <c:pt idx="45">
                  <c:v>211.6</c:v>
                </c:pt>
                <c:pt idx="46">
                  <c:v>-191.6</c:v>
                </c:pt>
                <c:pt idx="47">
                  <c:v>-99.1</c:v>
                </c:pt>
                <c:pt idx="48">
                  <c:v>-82.0</c:v>
                </c:pt>
                <c:pt idx="49">
                  <c:v>106.2</c:v>
                </c:pt>
                <c:pt idx="50">
                  <c:v>245.1</c:v>
                </c:pt>
                <c:pt idx="51">
                  <c:v>317.1</c:v>
                </c:pt>
                <c:pt idx="52">
                  <c:v>-169.4</c:v>
                </c:pt>
                <c:pt idx="53">
                  <c:v>-189.0</c:v>
                </c:pt>
                <c:pt idx="54">
                  <c:v>-461.9</c:v>
                </c:pt>
                <c:pt idx="55">
                  <c:v>-79.9</c:v>
                </c:pt>
              </c:numCache>
            </c:numRef>
          </c:val>
          <c:extLst xmlns:c16r2="http://schemas.microsoft.com/office/drawing/2015/06/chart">
            <c:ext xmlns:c16="http://schemas.microsoft.com/office/drawing/2014/chart" uri="{C3380CC4-5D6E-409C-BE32-E72D297353CC}">
              <c16:uniqueId val="{00000003-AEA2-4768-A26B-55DD049E5A1C}"/>
            </c:ext>
          </c:extLst>
        </c:ser>
        <c:ser>
          <c:idx val="1"/>
          <c:order val="4"/>
          <c:tx>
            <c:strRef>
              <c:f>Sheet1!$A$4</c:f>
              <c:strCache>
                <c:ptCount val="1"/>
                <c:pt idx="0">
                  <c:v>Treasury securities  </c:v>
                </c:pt>
              </c:strCache>
            </c:strRef>
          </c:tx>
          <c:spPr>
            <a:solidFill>
              <a:schemeClr val="accent2"/>
            </a:solidFill>
            <a:ln>
              <a:noFill/>
            </a:ln>
            <a:effectLst/>
          </c:spPr>
          <c:cat>
            <c:numRef>
              <c:f>Sheet1!$B$1:$BE$1</c:f>
              <c:numCache>
                <c:formatCode>General</c:formatCode>
                <c:ptCount val="56"/>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pt idx="37">
                  <c:v>1992.0</c:v>
                </c:pt>
                <c:pt idx="38">
                  <c:v>1993.0</c:v>
                </c:pt>
                <c:pt idx="39">
                  <c:v>1994.0</c:v>
                </c:pt>
                <c:pt idx="40">
                  <c:v>1995.0</c:v>
                </c:pt>
                <c:pt idx="41">
                  <c:v>1996.0</c:v>
                </c:pt>
                <c:pt idx="42">
                  <c:v>1997.0</c:v>
                </c:pt>
                <c:pt idx="43">
                  <c:v>1998.0</c:v>
                </c:pt>
                <c:pt idx="44">
                  <c:v>1999.0</c:v>
                </c:pt>
                <c:pt idx="45">
                  <c:v>2000.0</c:v>
                </c:pt>
                <c:pt idx="46">
                  <c:v>2001.0</c:v>
                </c:pt>
                <c:pt idx="47">
                  <c:v>2002.0</c:v>
                </c:pt>
                <c:pt idx="48">
                  <c:v>2003.0</c:v>
                </c:pt>
                <c:pt idx="49">
                  <c:v>2004.0</c:v>
                </c:pt>
                <c:pt idx="50">
                  <c:v>2005.0</c:v>
                </c:pt>
                <c:pt idx="51">
                  <c:v>2006.0</c:v>
                </c:pt>
                <c:pt idx="52">
                  <c:v>2007.0</c:v>
                </c:pt>
                <c:pt idx="53">
                  <c:v>2008.0</c:v>
                </c:pt>
                <c:pt idx="54">
                  <c:v>2009.0</c:v>
                </c:pt>
                <c:pt idx="55">
                  <c:v>2010.0</c:v>
                </c:pt>
              </c:numCache>
            </c:numRef>
          </c:cat>
          <c:val>
            <c:numRef>
              <c:f>Sheet1!$B$4:$BE$4</c:f>
              <c:numCache>
                <c:formatCode>General</c:formatCode>
                <c:ptCount val="56"/>
                <c:pt idx="0">
                  <c:v>-0.1</c:v>
                </c:pt>
                <c:pt idx="1">
                  <c:v>-5.6</c:v>
                </c:pt>
                <c:pt idx="2">
                  <c:v>-2.7</c:v>
                </c:pt>
                <c:pt idx="3">
                  <c:v>8.8</c:v>
                </c:pt>
                <c:pt idx="4">
                  <c:v>7.3</c:v>
                </c:pt>
                <c:pt idx="5">
                  <c:v>-2.2</c:v>
                </c:pt>
                <c:pt idx="6">
                  <c:v>6.7</c:v>
                </c:pt>
                <c:pt idx="7">
                  <c:v>6.1</c:v>
                </c:pt>
                <c:pt idx="8">
                  <c:v>3.9</c:v>
                </c:pt>
                <c:pt idx="9">
                  <c:v>5.2</c:v>
                </c:pt>
                <c:pt idx="10">
                  <c:v>1.2</c:v>
                </c:pt>
                <c:pt idx="11">
                  <c:v>2.3</c:v>
                </c:pt>
                <c:pt idx="12">
                  <c:v>8.9</c:v>
                </c:pt>
                <c:pt idx="13">
                  <c:v>9.4</c:v>
                </c:pt>
                <c:pt idx="14">
                  <c:v>-0.8</c:v>
                </c:pt>
                <c:pt idx="15">
                  <c:v>13.1</c:v>
                </c:pt>
                <c:pt idx="16">
                  <c:v>26.0</c:v>
                </c:pt>
                <c:pt idx="17">
                  <c:v>14.2</c:v>
                </c:pt>
                <c:pt idx="18">
                  <c:v>6.6</c:v>
                </c:pt>
                <c:pt idx="19">
                  <c:v>12.1</c:v>
                </c:pt>
                <c:pt idx="20">
                  <c:v>89.8</c:v>
                </c:pt>
                <c:pt idx="21">
                  <c:v>73.9</c:v>
                </c:pt>
                <c:pt idx="22">
                  <c:v>63.8</c:v>
                </c:pt>
                <c:pt idx="23">
                  <c:v>60.9</c:v>
                </c:pt>
                <c:pt idx="24">
                  <c:v>45.2</c:v>
                </c:pt>
                <c:pt idx="25">
                  <c:v>86.9</c:v>
                </c:pt>
                <c:pt idx="26">
                  <c:v>95.9</c:v>
                </c:pt>
                <c:pt idx="27">
                  <c:v>174.2</c:v>
                </c:pt>
                <c:pt idx="28">
                  <c:v>199.9</c:v>
                </c:pt>
                <c:pt idx="29">
                  <c:v>215.8</c:v>
                </c:pt>
                <c:pt idx="30">
                  <c:v>265.7</c:v>
                </c:pt>
                <c:pt idx="31">
                  <c:v>245.2</c:v>
                </c:pt>
                <c:pt idx="32">
                  <c:v>172.6</c:v>
                </c:pt>
                <c:pt idx="33">
                  <c:v>170.5</c:v>
                </c:pt>
                <c:pt idx="34">
                  <c:v>179.3</c:v>
                </c:pt>
                <c:pt idx="35">
                  <c:v>272.1</c:v>
                </c:pt>
                <c:pt idx="36">
                  <c:v>330.4</c:v>
                </c:pt>
                <c:pt idx="37">
                  <c:v>343.5</c:v>
                </c:pt>
                <c:pt idx="38">
                  <c:v>285.3999999999999</c:v>
                </c:pt>
                <c:pt idx="39">
                  <c:v>193.3</c:v>
                </c:pt>
                <c:pt idx="40">
                  <c:v>163.8</c:v>
                </c:pt>
                <c:pt idx="41">
                  <c:v>201.6</c:v>
                </c:pt>
                <c:pt idx="42">
                  <c:v>63.5</c:v>
                </c:pt>
                <c:pt idx="43">
                  <c:v>-13.4</c:v>
                </c:pt>
                <c:pt idx="44">
                  <c:v>-29.9</c:v>
                </c:pt>
                <c:pt idx="45">
                  <c:v>-274.0</c:v>
                </c:pt>
                <c:pt idx="46">
                  <c:v>55.8</c:v>
                </c:pt>
                <c:pt idx="47">
                  <c:v>281.6</c:v>
                </c:pt>
                <c:pt idx="48">
                  <c:v>423.1</c:v>
                </c:pt>
                <c:pt idx="49">
                  <c:v>403.5</c:v>
                </c:pt>
                <c:pt idx="50">
                  <c:v>307.3</c:v>
                </c:pt>
                <c:pt idx="51">
                  <c:v>183.7</c:v>
                </c:pt>
                <c:pt idx="52">
                  <c:v>237.5</c:v>
                </c:pt>
                <c:pt idx="53">
                  <c:v>1239.0</c:v>
                </c:pt>
                <c:pt idx="54">
                  <c:v>1443.7</c:v>
                </c:pt>
                <c:pt idx="55">
                  <c:v>1579.6</c:v>
                </c:pt>
              </c:numCache>
            </c:numRef>
          </c:val>
          <c:extLst xmlns:c16r2="http://schemas.microsoft.com/office/drawing/2015/06/chart">
            <c:ext xmlns:c16="http://schemas.microsoft.com/office/drawing/2014/chart" uri="{C3380CC4-5D6E-409C-BE32-E72D297353CC}">
              <c16:uniqueId val="{00000004-AEA2-4768-A26B-55DD049E5A1C}"/>
            </c:ext>
          </c:extLst>
        </c:ser>
        <c:dLbls>
          <c:showLegendKey val="0"/>
          <c:showVal val="0"/>
          <c:showCatName val="0"/>
          <c:showSerName val="0"/>
          <c:showPercent val="0"/>
          <c:showBubbleSize val="0"/>
        </c:dLbls>
        <c:axId val="-2118283656"/>
        <c:axId val="-2118280040"/>
      </c:areaChart>
      <c:catAx>
        <c:axId val="-21182836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280040"/>
        <c:crosses val="autoZero"/>
        <c:auto val="1"/>
        <c:lblAlgn val="ctr"/>
        <c:lblOffset val="100"/>
        <c:noMultiLvlLbl val="0"/>
      </c:catAx>
      <c:valAx>
        <c:axId val="-2118280040"/>
        <c:scaling>
          <c:orientation val="minMax"/>
          <c:max val="2500.0"/>
          <c:min val="0.0"/>
        </c:scaling>
        <c:delete val="0"/>
        <c:axPos val="l"/>
        <c:numFmt formatCode="#,##0" sourceLinked="0"/>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283656"/>
        <c:crosses val="autoZero"/>
        <c:crossBetween val="midCat"/>
      </c:valAx>
      <c:spPr>
        <a:noFill/>
        <a:ln>
          <a:noFill/>
        </a:ln>
        <a:effectLst/>
      </c:spPr>
    </c:plotArea>
    <c:legend>
      <c:legendPos val="b"/>
      <c:layout>
        <c:manualLayout>
          <c:xMode val="edge"/>
          <c:yMode val="edge"/>
          <c:x val="0.0404037255759697"/>
          <c:y val="0.0438874183280281"/>
          <c:w val="0.412248104403616"/>
          <c:h val="0.2281635114759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79184601924759"/>
          <c:y val="0.0239455761790711"/>
          <c:w val="0.929859317585302"/>
          <c:h val="0.932893594052721"/>
        </c:manualLayout>
      </c:layout>
      <c:areaChart>
        <c:grouping val="stacked"/>
        <c:varyColors val="0"/>
        <c:ser>
          <c:idx val="2"/>
          <c:order val="0"/>
          <c:tx>
            <c:strRef>
              <c:f>Sheet1!$A$5</c:f>
              <c:strCache>
                <c:ptCount val="1"/>
                <c:pt idx="0">
                  <c:v>Agency- and GSE-backed securities</c:v>
                </c:pt>
              </c:strCache>
            </c:strRef>
          </c:tx>
          <c:spPr>
            <a:solidFill>
              <a:schemeClr val="accent3"/>
            </a:solidFill>
            <a:ln>
              <a:noFill/>
            </a:ln>
            <a:effectLst/>
          </c:spPr>
          <c:cat>
            <c:numRef>
              <c:f>Sheet1!$B$1:$AL$1</c:f>
              <c:numCache>
                <c:formatCode>General</c:formatCode>
                <c:ptCount val="37"/>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numCache>
            </c:numRef>
          </c:cat>
          <c:val>
            <c:numRef>
              <c:f>Sheet1!$B$5:$AL$5</c:f>
              <c:numCache>
                <c:formatCode>General</c:formatCode>
                <c:ptCount val="37"/>
                <c:pt idx="0">
                  <c:v>0.3</c:v>
                </c:pt>
                <c:pt idx="1">
                  <c:v>0.2</c:v>
                </c:pt>
                <c:pt idx="2">
                  <c:v>1.7</c:v>
                </c:pt>
                <c:pt idx="3">
                  <c:v>0.0</c:v>
                </c:pt>
                <c:pt idx="4">
                  <c:v>1.6</c:v>
                </c:pt>
                <c:pt idx="5">
                  <c:v>0.5</c:v>
                </c:pt>
                <c:pt idx="6">
                  <c:v>1.0</c:v>
                </c:pt>
                <c:pt idx="7">
                  <c:v>2.2</c:v>
                </c:pt>
                <c:pt idx="8">
                  <c:v>1.5</c:v>
                </c:pt>
                <c:pt idx="9">
                  <c:v>1.4</c:v>
                </c:pt>
                <c:pt idx="10">
                  <c:v>2.6</c:v>
                </c:pt>
                <c:pt idx="11">
                  <c:v>6.9</c:v>
                </c:pt>
                <c:pt idx="12">
                  <c:v>4.3</c:v>
                </c:pt>
                <c:pt idx="13">
                  <c:v>6.9</c:v>
                </c:pt>
                <c:pt idx="14">
                  <c:v>7.4</c:v>
                </c:pt>
                <c:pt idx="15">
                  <c:v>8.8</c:v>
                </c:pt>
                <c:pt idx="16">
                  <c:v>4.9</c:v>
                </c:pt>
                <c:pt idx="17">
                  <c:v>9.3</c:v>
                </c:pt>
                <c:pt idx="18">
                  <c:v>20.4</c:v>
                </c:pt>
                <c:pt idx="19">
                  <c:v>21.0</c:v>
                </c:pt>
                <c:pt idx="20">
                  <c:v>9.0</c:v>
                </c:pt>
                <c:pt idx="21">
                  <c:v>14.6</c:v>
                </c:pt>
                <c:pt idx="22">
                  <c:v>22.3</c:v>
                </c:pt>
                <c:pt idx="23">
                  <c:v>35.3</c:v>
                </c:pt>
                <c:pt idx="24">
                  <c:v>46.0</c:v>
                </c:pt>
                <c:pt idx="25">
                  <c:v>43.1</c:v>
                </c:pt>
                <c:pt idx="26">
                  <c:v>45.2</c:v>
                </c:pt>
                <c:pt idx="27">
                  <c:v>63.7</c:v>
                </c:pt>
                <c:pt idx="28">
                  <c:v>67.7</c:v>
                </c:pt>
                <c:pt idx="29">
                  <c:v>74.9</c:v>
                </c:pt>
                <c:pt idx="30">
                  <c:v>99.4</c:v>
                </c:pt>
                <c:pt idx="31">
                  <c:v>179.3</c:v>
                </c:pt>
                <c:pt idx="32">
                  <c:v>169.5</c:v>
                </c:pt>
                <c:pt idx="33">
                  <c:v>138.2</c:v>
                </c:pt>
                <c:pt idx="34">
                  <c:v>151.1</c:v>
                </c:pt>
                <c:pt idx="35">
                  <c:v>175.6</c:v>
                </c:pt>
                <c:pt idx="36">
                  <c:v>132.0</c:v>
                </c:pt>
              </c:numCache>
            </c:numRef>
          </c:val>
          <c:extLst xmlns:c16r2="http://schemas.microsoft.com/office/drawing/2015/06/chart">
            <c:ext xmlns:c16="http://schemas.microsoft.com/office/drawing/2014/chart" uri="{C3380CC4-5D6E-409C-BE32-E72D297353CC}">
              <c16:uniqueId val="{00000000-D9C8-4413-B296-2D71E459BBEE}"/>
            </c:ext>
          </c:extLst>
        </c:ser>
        <c:ser>
          <c:idx val="3"/>
          <c:order val="1"/>
          <c:tx>
            <c:strRef>
              <c:f>Sheet1!$A$6</c:f>
              <c:strCache>
                <c:ptCount val="1"/>
                <c:pt idx="0">
                  <c:v>Municipal securities  </c:v>
                </c:pt>
              </c:strCache>
            </c:strRef>
          </c:tx>
          <c:spPr>
            <a:solidFill>
              <a:schemeClr val="accent4"/>
            </a:solidFill>
            <a:ln>
              <a:noFill/>
            </a:ln>
            <a:effectLst/>
          </c:spPr>
          <c:cat>
            <c:numRef>
              <c:f>Sheet1!$B$1:$AL$1</c:f>
              <c:numCache>
                <c:formatCode>General</c:formatCode>
                <c:ptCount val="37"/>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numCache>
            </c:numRef>
          </c:cat>
          <c:val>
            <c:numRef>
              <c:f>Sheet1!$B$6:$AL$6</c:f>
              <c:numCache>
                <c:formatCode>General</c:formatCode>
                <c:ptCount val="37"/>
                <c:pt idx="0">
                  <c:v>5.0</c:v>
                </c:pt>
                <c:pt idx="1">
                  <c:v>4.2</c:v>
                </c:pt>
                <c:pt idx="2">
                  <c:v>4.5</c:v>
                </c:pt>
                <c:pt idx="3">
                  <c:v>5.5</c:v>
                </c:pt>
                <c:pt idx="4">
                  <c:v>5.8</c:v>
                </c:pt>
                <c:pt idx="5">
                  <c:v>5.3</c:v>
                </c:pt>
                <c:pt idx="6">
                  <c:v>5.4</c:v>
                </c:pt>
                <c:pt idx="7">
                  <c:v>5.5</c:v>
                </c:pt>
                <c:pt idx="8">
                  <c:v>5.2</c:v>
                </c:pt>
                <c:pt idx="9">
                  <c:v>6.1</c:v>
                </c:pt>
                <c:pt idx="10">
                  <c:v>7.2</c:v>
                </c:pt>
                <c:pt idx="11">
                  <c:v>6.2</c:v>
                </c:pt>
                <c:pt idx="12">
                  <c:v>7.2</c:v>
                </c:pt>
                <c:pt idx="13">
                  <c:v>8.4</c:v>
                </c:pt>
                <c:pt idx="14">
                  <c:v>11.4</c:v>
                </c:pt>
                <c:pt idx="15">
                  <c:v>12.0</c:v>
                </c:pt>
                <c:pt idx="16">
                  <c:v>16.2</c:v>
                </c:pt>
                <c:pt idx="17">
                  <c:v>14.2</c:v>
                </c:pt>
                <c:pt idx="18">
                  <c:v>16.0</c:v>
                </c:pt>
                <c:pt idx="19">
                  <c:v>15.3</c:v>
                </c:pt>
                <c:pt idx="20">
                  <c:v>15.0</c:v>
                </c:pt>
                <c:pt idx="21">
                  <c:v>20.9</c:v>
                </c:pt>
                <c:pt idx="22">
                  <c:v>29.7</c:v>
                </c:pt>
                <c:pt idx="23">
                  <c:v>51.3</c:v>
                </c:pt>
                <c:pt idx="24">
                  <c:v>39.3</c:v>
                </c:pt>
                <c:pt idx="25">
                  <c:v>35.3</c:v>
                </c:pt>
                <c:pt idx="26">
                  <c:v>44.2</c:v>
                </c:pt>
                <c:pt idx="27">
                  <c:v>64.4</c:v>
                </c:pt>
                <c:pt idx="28">
                  <c:v>67.1</c:v>
                </c:pt>
                <c:pt idx="29">
                  <c:v>75.5</c:v>
                </c:pt>
                <c:pt idx="30">
                  <c:v>208.2</c:v>
                </c:pt>
                <c:pt idx="31">
                  <c:v>59.9</c:v>
                </c:pt>
                <c:pt idx="32">
                  <c:v>91.6</c:v>
                </c:pt>
                <c:pt idx="33">
                  <c:v>55.4</c:v>
                </c:pt>
                <c:pt idx="34">
                  <c:v>49.8</c:v>
                </c:pt>
                <c:pt idx="35">
                  <c:v>48.8</c:v>
                </c:pt>
                <c:pt idx="36">
                  <c:v>93.5</c:v>
                </c:pt>
              </c:numCache>
            </c:numRef>
          </c:val>
          <c:extLst xmlns:c16r2="http://schemas.microsoft.com/office/drawing/2015/06/chart">
            <c:ext xmlns:c16="http://schemas.microsoft.com/office/drawing/2014/chart" uri="{C3380CC4-5D6E-409C-BE32-E72D297353CC}">
              <c16:uniqueId val="{00000001-D9C8-4413-B296-2D71E459BBEE}"/>
            </c:ext>
          </c:extLst>
        </c:ser>
        <c:ser>
          <c:idx val="4"/>
          <c:order val="2"/>
          <c:tx>
            <c:strRef>
              <c:f>Sheet1!$A$7</c:f>
              <c:strCache>
                <c:ptCount val="1"/>
                <c:pt idx="0">
                  <c:v>Corporate and foreign bonds</c:v>
                </c:pt>
              </c:strCache>
            </c:strRef>
          </c:tx>
          <c:spPr>
            <a:solidFill>
              <a:schemeClr val="accent5"/>
            </a:solidFill>
            <a:ln>
              <a:noFill/>
            </a:ln>
            <a:effectLst/>
          </c:spPr>
          <c:cat>
            <c:numRef>
              <c:f>Sheet1!$B$1:$AL$1</c:f>
              <c:numCache>
                <c:formatCode>General</c:formatCode>
                <c:ptCount val="37"/>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numCache>
            </c:numRef>
          </c:cat>
          <c:val>
            <c:numRef>
              <c:f>Sheet1!$B$7:$AL$7</c:f>
              <c:numCache>
                <c:formatCode>General</c:formatCode>
                <c:ptCount val="37"/>
                <c:pt idx="0">
                  <c:v>3.2</c:v>
                </c:pt>
                <c:pt idx="1">
                  <c:v>5.1</c:v>
                </c:pt>
                <c:pt idx="2">
                  <c:v>7.7</c:v>
                </c:pt>
                <c:pt idx="3">
                  <c:v>6.4</c:v>
                </c:pt>
                <c:pt idx="4">
                  <c:v>4.5</c:v>
                </c:pt>
                <c:pt idx="5">
                  <c:v>7.2</c:v>
                </c:pt>
                <c:pt idx="6">
                  <c:v>5.6</c:v>
                </c:pt>
                <c:pt idx="7">
                  <c:v>5.4</c:v>
                </c:pt>
                <c:pt idx="8">
                  <c:v>6.3</c:v>
                </c:pt>
                <c:pt idx="9">
                  <c:v>7.6</c:v>
                </c:pt>
                <c:pt idx="10">
                  <c:v>6.5</c:v>
                </c:pt>
                <c:pt idx="11">
                  <c:v>12.5</c:v>
                </c:pt>
                <c:pt idx="12">
                  <c:v>16.8</c:v>
                </c:pt>
                <c:pt idx="13">
                  <c:v>14.6</c:v>
                </c:pt>
                <c:pt idx="14">
                  <c:v>14.0</c:v>
                </c:pt>
                <c:pt idx="15">
                  <c:v>23.2</c:v>
                </c:pt>
                <c:pt idx="16">
                  <c:v>24.5</c:v>
                </c:pt>
                <c:pt idx="17">
                  <c:v>20.6</c:v>
                </c:pt>
                <c:pt idx="18">
                  <c:v>15.5</c:v>
                </c:pt>
                <c:pt idx="19">
                  <c:v>29.0</c:v>
                </c:pt>
                <c:pt idx="20">
                  <c:v>42.5</c:v>
                </c:pt>
                <c:pt idx="21">
                  <c:v>38.3</c:v>
                </c:pt>
                <c:pt idx="22">
                  <c:v>40.2</c:v>
                </c:pt>
                <c:pt idx="23">
                  <c:v>31.7</c:v>
                </c:pt>
                <c:pt idx="24">
                  <c:v>24.6</c:v>
                </c:pt>
                <c:pt idx="25">
                  <c:v>36.4</c:v>
                </c:pt>
                <c:pt idx="26">
                  <c:v>36.9</c:v>
                </c:pt>
                <c:pt idx="27">
                  <c:v>52.1</c:v>
                </c:pt>
                <c:pt idx="28">
                  <c:v>46.5</c:v>
                </c:pt>
                <c:pt idx="29">
                  <c:v>88.2</c:v>
                </c:pt>
                <c:pt idx="30">
                  <c:v>143.4</c:v>
                </c:pt>
                <c:pt idx="31">
                  <c:v>222.5</c:v>
                </c:pt>
                <c:pt idx="32">
                  <c:v>164.7</c:v>
                </c:pt>
                <c:pt idx="33">
                  <c:v>162.2</c:v>
                </c:pt>
                <c:pt idx="34">
                  <c:v>119.5</c:v>
                </c:pt>
                <c:pt idx="35">
                  <c:v>123.0</c:v>
                </c:pt>
                <c:pt idx="36">
                  <c:v>165.7</c:v>
                </c:pt>
              </c:numCache>
            </c:numRef>
          </c:val>
          <c:extLst xmlns:c16r2="http://schemas.microsoft.com/office/drawing/2015/06/chart">
            <c:ext xmlns:c16="http://schemas.microsoft.com/office/drawing/2014/chart" uri="{C3380CC4-5D6E-409C-BE32-E72D297353CC}">
              <c16:uniqueId val="{00000002-D9C8-4413-B296-2D71E459BBEE}"/>
            </c:ext>
          </c:extLst>
        </c:ser>
        <c:ser>
          <c:idx val="0"/>
          <c:order val="3"/>
          <c:tx>
            <c:strRef>
              <c:f>Sheet1!$A$3</c:f>
              <c:strCache>
                <c:ptCount val="1"/>
                <c:pt idx="0">
                  <c:v>Open market paper </c:v>
                </c:pt>
              </c:strCache>
            </c:strRef>
          </c:tx>
          <c:spPr>
            <a:solidFill>
              <a:schemeClr val="accent1"/>
            </a:solidFill>
            <a:ln>
              <a:noFill/>
            </a:ln>
            <a:effectLst/>
          </c:spPr>
          <c:cat>
            <c:numRef>
              <c:f>Sheet1!$B$1:$AL$1</c:f>
              <c:numCache>
                <c:formatCode>General</c:formatCode>
                <c:ptCount val="37"/>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numCache>
            </c:numRef>
          </c:cat>
          <c:val>
            <c:numRef>
              <c:f>Sheet1!$B$3:$AL$3</c:f>
              <c:numCache>
                <c:formatCode>General</c:formatCode>
                <c:ptCount val="37"/>
                <c:pt idx="0">
                  <c:v>-0.2</c:v>
                </c:pt>
                <c:pt idx="1">
                  <c:v>0.5</c:v>
                </c:pt>
                <c:pt idx="2">
                  <c:v>0.8</c:v>
                </c:pt>
                <c:pt idx="3">
                  <c:v>0.0</c:v>
                </c:pt>
                <c:pt idx="4">
                  <c:v>0.3</c:v>
                </c:pt>
                <c:pt idx="5">
                  <c:v>2.2</c:v>
                </c:pt>
                <c:pt idx="6">
                  <c:v>0.9</c:v>
                </c:pt>
                <c:pt idx="7">
                  <c:v>1.3</c:v>
                </c:pt>
                <c:pt idx="8">
                  <c:v>1.0</c:v>
                </c:pt>
                <c:pt idx="9">
                  <c:v>2.2</c:v>
                </c:pt>
                <c:pt idx="10">
                  <c:v>0.9</c:v>
                </c:pt>
                <c:pt idx="11">
                  <c:v>4.6</c:v>
                </c:pt>
                <c:pt idx="12">
                  <c:v>4.2</c:v>
                </c:pt>
                <c:pt idx="13">
                  <c:v>4.2</c:v>
                </c:pt>
                <c:pt idx="14">
                  <c:v>12.5</c:v>
                </c:pt>
                <c:pt idx="15">
                  <c:v>2.1</c:v>
                </c:pt>
                <c:pt idx="16">
                  <c:v>-0.1</c:v>
                </c:pt>
                <c:pt idx="17">
                  <c:v>1.6</c:v>
                </c:pt>
                <c:pt idx="18">
                  <c:v>8.4</c:v>
                </c:pt>
                <c:pt idx="19">
                  <c:v>17.8</c:v>
                </c:pt>
                <c:pt idx="20">
                  <c:v>-1.2</c:v>
                </c:pt>
                <c:pt idx="21">
                  <c:v>8.200000000000001</c:v>
                </c:pt>
                <c:pt idx="22">
                  <c:v>15.0</c:v>
                </c:pt>
                <c:pt idx="23">
                  <c:v>17.7</c:v>
                </c:pt>
                <c:pt idx="24">
                  <c:v>37.5</c:v>
                </c:pt>
                <c:pt idx="25">
                  <c:v>19.3</c:v>
                </c:pt>
                <c:pt idx="26">
                  <c:v>51.3</c:v>
                </c:pt>
                <c:pt idx="27">
                  <c:v>5.7</c:v>
                </c:pt>
                <c:pt idx="28">
                  <c:v>26.9</c:v>
                </c:pt>
                <c:pt idx="29">
                  <c:v>51.9</c:v>
                </c:pt>
                <c:pt idx="30">
                  <c:v>52.8</c:v>
                </c:pt>
                <c:pt idx="31">
                  <c:v>26.4</c:v>
                </c:pt>
                <c:pt idx="32">
                  <c:v>32.3</c:v>
                </c:pt>
                <c:pt idx="33">
                  <c:v>75.4</c:v>
                </c:pt>
                <c:pt idx="34">
                  <c:v>65.9</c:v>
                </c:pt>
                <c:pt idx="35">
                  <c:v>30.7</c:v>
                </c:pt>
                <c:pt idx="36">
                  <c:v>-44.0</c:v>
                </c:pt>
              </c:numCache>
            </c:numRef>
          </c:val>
          <c:extLst xmlns:c16r2="http://schemas.microsoft.com/office/drawing/2015/06/chart">
            <c:ext xmlns:c16="http://schemas.microsoft.com/office/drawing/2014/chart" uri="{C3380CC4-5D6E-409C-BE32-E72D297353CC}">
              <c16:uniqueId val="{00000003-D9C8-4413-B296-2D71E459BBEE}"/>
            </c:ext>
          </c:extLst>
        </c:ser>
        <c:ser>
          <c:idx val="1"/>
          <c:order val="4"/>
          <c:tx>
            <c:strRef>
              <c:f>Sheet1!$A$4</c:f>
              <c:strCache>
                <c:ptCount val="1"/>
                <c:pt idx="0">
                  <c:v>Treasury securities  </c:v>
                </c:pt>
              </c:strCache>
            </c:strRef>
          </c:tx>
          <c:spPr>
            <a:solidFill>
              <a:schemeClr val="accent2"/>
            </a:solidFill>
            <a:ln>
              <a:noFill/>
            </a:ln>
            <a:effectLst/>
          </c:spPr>
          <c:cat>
            <c:numRef>
              <c:f>Sheet1!$B$1:$AL$1</c:f>
              <c:numCache>
                <c:formatCode>General</c:formatCode>
                <c:ptCount val="37"/>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numCache>
            </c:numRef>
          </c:cat>
          <c:val>
            <c:numRef>
              <c:f>Sheet1!$B$4:$AL$4</c:f>
              <c:numCache>
                <c:formatCode>General</c:formatCode>
                <c:ptCount val="37"/>
                <c:pt idx="0">
                  <c:v>-0.1</c:v>
                </c:pt>
                <c:pt idx="1">
                  <c:v>-5.6</c:v>
                </c:pt>
                <c:pt idx="2">
                  <c:v>-2.7</c:v>
                </c:pt>
                <c:pt idx="3">
                  <c:v>8.8</c:v>
                </c:pt>
                <c:pt idx="4">
                  <c:v>7.3</c:v>
                </c:pt>
                <c:pt idx="5">
                  <c:v>-2.2</c:v>
                </c:pt>
                <c:pt idx="6">
                  <c:v>6.7</c:v>
                </c:pt>
                <c:pt idx="7">
                  <c:v>6.1</c:v>
                </c:pt>
                <c:pt idx="8">
                  <c:v>3.9</c:v>
                </c:pt>
                <c:pt idx="9">
                  <c:v>5.2</c:v>
                </c:pt>
                <c:pt idx="10">
                  <c:v>1.2</c:v>
                </c:pt>
                <c:pt idx="11">
                  <c:v>2.3</c:v>
                </c:pt>
                <c:pt idx="12">
                  <c:v>8.9</c:v>
                </c:pt>
                <c:pt idx="13">
                  <c:v>9.4</c:v>
                </c:pt>
                <c:pt idx="14">
                  <c:v>-0.8</c:v>
                </c:pt>
                <c:pt idx="15">
                  <c:v>13.1</c:v>
                </c:pt>
                <c:pt idx="16">
                  <c:v>26.0</c:v>
                </c:pt>
                <c:pt idx="17">
                  <c:v>14.2</c:v>
                </c:pt>
                <c:pt idx="18">
                  <c:v>6.6</c:v>
                </c:pt>
                <c:pt idx="19">
                  <c:v>12.1</c:v>
                </c:pt>
                <c:pt idx="20">
                  <c:v>89.8</c:v>
                </c:pt>
                <c:pt idx="21">
                  <c:v>73.9</c:v>
                </c:pt>
                <c:pt idx="22">
                  <c:v>63.8</c:v>
                </c:pt>
                <c:pt idx="23">
                  <c:v>60.9</c:v>
                </c:pt>
                <c:pt idx="24">
                  <c:v>45.2</c:v>
                </c:pt>
                <c:pt idx="25">
                  <c:v>86.9</c:v>
                </c:pt>
                <c:pt idx="26">
                  <c:v>95.9</c:v>
                </c:pt>
                <c:pt idx="27">
                  <c:v>174.2</c:v>
                </c:pt>
                <c:pt idx="28">
                  <c:v>199.9</c:v>
                </c:pt>
                <c:pt idx="29">
                  <c:v>215.8</c:v>
                </c:pt>
                <c:pt idx="30">
                  <c:v>265.7</c:v>
                </c:pt>
                <c:pt idx="31">
                  <c:v>245.2</c:v>
                </c:pt>
                <c:pt idx="32">
                  <c:v>172.6</c:v>
                </c:pt>
                <c:pt idx="33">
                  <c:v>170.5</c:v>
                </c:pt>
                <c:pt idx="34">
                  <c:v>179.3</c:v>
                </c:pt>
                <c:pt idx="35">
                  <c:v>272.1</c:v>
                </c:pt>
                <c:pt idx="36">
                  <c:v>330.4</c:v>
                </c:pt>
              </c:numCache>
            </c:numRef>
          </c:val>
          <c:extLst xmlns:c16r2="http://schemas.microsoft.com/office/drawing/2015/06/chart">
            <c:ext xmlns:c16="http://schemas.microsoft.com/office/drawing/2014/chart" uri="{C3380CC4-5D6E-409C-BE32-E72D297353CC}">
              <c16:uniqueId val="{00000004-D9C8-4413-B296-2D71E459BBEE}"/>
            </c:ext>
          </c:extLst>
        </c:ser>
        <c:dLbls>
          <c:showLegendKey val="0"/>
          <c:showVal val="0"/>
          <c:showCatName val="0"/>
          <c:showSerName val="0"/>
          <c:showPercent val="0"/>
          <c:showBubbleSize val="0"/>
        </c:dLbls>
        <c:axId val="-2115276888"/>
        <c:axId val="-2115596872"/>
      </c:areaChart>
      <c:catAx>
        <c:axId val="-2115276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596872"/>
        <c:crosses val="autoZero"/>
        <c:auto val="1"/>
        <c:lblAlgn val="ctr"/>
        <c:lblOffset val="100"/>
        <c:tickLblSkip val="2"/>
        <c:noMultiLvlLbl val="0"/>
      </c:catAx>
      <c:valAx>
        <c:axId val="-2115596872"/>
        <c:scaling>
          <c:orientation val="minMax"/>
          <c:max val="800.0"/>
          <c:min val="0.0"/>
        </c:scaling>
        <c:delete val="0"/>
        <c:axPos val="l"/>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276888"/>
        <c:crosses val="autoZero"/>
        <c:crossBetween val="midCat"/>
      </c:valAx>
      <c:spPr>
        <a:noFill/>
        <a:ln w="25400">
          <a:noFill/>
        </a:ln>
        <a:effectLst/>
      </c:spPr>
    </c:plotArea>
    <c:legend>
      <c:legendPos val="b"/>
      <c:layout>
        <c:manualLayout>
          <c:xMode val="edge"/>
          <c:yMode val="edge"/>
          <c:x val="0.0601438101487314"/>
          <c:y val="0.0284458192725909"/>
          <c:w val="0.352119604841061"/>
          <c:h val="0.2012595300587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1778301215165"/>
          <c:y val="0.022265371673124"/>
          <c:w val="0.927535716832425"/>
          <c:h val="0.956496460092788"/>
        </c:manualLayout>
      </c:layout>
      <c:lineChart>
        <c:grouping val="standard"/>
        <c:varyColors val="0"/>
        <c:ser>
          <c:idx val="0"/>
          <c:order val="0"/>
          <c:tx>
            <c:strRef>
              <c:f>Sheet1!$A$20</c:f>
              <c:strCache>
                <c:ptCount val="1"/>
                <c:pt idx="0">
                  <c:v>Foreigners' purchase of domestic bonds</c:v>
                </c:pt>
              </c:strCache>
            </c:strRef>
          </c:tx>
          <c:spPr>
            <a:ln w="28575" cap="rnd">
              <a:solidFill>
                <a:schemeClr val="accent1"/>
              </a:solidFill>
              <a:round/>
            </a:ln>
            <a:effectLst/>
          </c:spPr>
          <c:marker>
            <c:symbol val="none"/>
          </c:marker>
          <c:cat>
            <c:numRef>
              <c:f>Sheet1!$B$18:$BE$18</c:f>
              <c:numCache>
                <c:formatCode>General</c:formatCode>
                <c:ptCount val="56"/>
                <c:pt idx="0">
                  <c:v>1955.0</c:v>
                </c:pt>
                <c:pt idx="1">
                  <c:v>1956.0</c:v>
                </c:pt>
                <c:pt idx="2">
                  <c:v>1957.0</c:v>
                </c:pt>
                <c:pt idx="3">
                  <c:v>1958.0</c:v>
                </c:pt>
                <c:pt idx="4">
                  <c:v>1959.0</c:v>
                </c:pt>
                <c:pt idx="5">
                  <c:v>1960.0</c:v>
                </c:pt>
                <c:pt idx="6">
                  <c:v>1961.0</c:v>
                </c:pt>
                <c:pt idx="7">
                  <c:v>1962.0</c:v>
                </c:pt>
                <c:pt idx="8">
                  <c:v>1963.0</c:v>
                </c:pt>
                <c:pt idx="9">
                  <c:v>1964.0</c:v>
                </c:pt>
                <c:pt idx="10">
                  <c:v>1965.0</c:v>
                </c:pt>
                <c:pt idx="11">
                  <c:v>1966.0</c:v>
                </c:pt>
                <c:pt idx="12">
                  <c:v>1967.0</c:v>
                </c:pt>
                <c:pt idx="13">
                  <c:v>1968.0</c:v>
                </c:pt>
                <c:pt idx="14">
                  <c:v>1969.0</c:v>
                </c:pt>
                <c:pt idx="15">
                  <c:v>1970.0</c:v>
                </c:pt>
                <c:pt idx="16">
                  <c:v>1971.0</c:v>
                </c:pt>
                <c:pt idx="17">
                  <c:v>1972.0</c:v>
                </c:pt>
                <c:pt idx="18">
                  <c:v>1973.0</c:v>
                </c:pt>
                <c:pt idx="19">
                  <c:v>1974.0</c:v>
                </c:pt>
                <c:pt idx="20">
                  <c:v>1975.0</c:v>
                </c:pt>
                <c:pt idx="21">
                  <c:v>1976.0</c:v>
                </c:pt>
                <c:pt idx="22">
                  <c:v>1977.0</c:v>
                </c:pt>
                <c:pt idx="23">
                  <c:v>1978.0</c:v>
                </c:pt>
                <c:pt idx="24">
                  <c:v>1979.0</c:v>
                </c:pt>
                <c:pt idx="25">
                  <c:v>1980.0</c:v>
                </c:pt>
                <c:pt idx="26">
                  <c:v>1981.0</c:v>
                </c:pt>
                <c:pt idx="27">
                  <c:v>1982.0</c:v>
                </c:pt>
                <c:pt idx="28">
                  <c:v>1983.0</c:v>
                </c:pt>
                <c:pt idx="29">
                  <c:v>1984.0</c:v>
                </c:pt>
                <c:pt idx="30">
                  <c:v>1985.0</c:v>
                </c:pt>
                <c:pt idx="31">
                  <c:v>1986.0</c:v>
                </c:pt>
                <c:pt idx="32">
                  <c:v>1987.0</c:v>
                </c:pt>
                <c:pt idx="33">
                  <c:v>1988.0</c:v>
                </c:pt>
                <c:pt idx="34">
                  <c:v>1989.0</c:v>
                </c:pt>
                <c:pt idx="35">
                  <c:v>1990.0</c:v>
                </c:pt>
                <c:pt idx="36">
                  <c:v>1991.0</c:v>
                </c:pt>
                <c:pt idx="37">
                  <c:v>1992.0</c:v>
                </c:pt>
                <c:pt idx="38">
                  <c:v>1993.0</c:v>
                </c:pt>
                <c:pt idx="39">
                  <c:v>1994.0</c:v>
                </c:pt>
                <c:pt idx="40">
                  <c:v>1995.0</c:v>
                </c:pt>
                <c:pt idx="41">
                  <c:v>1996.0</c:v>
                </c:pt>
                <c:pt idx="42">
                  <c:v>1997.0</c:v>
                </c:pt>
                <c:pt idx="43">
                  <c:v>1998.0</c:v>
                </c:pt>
                <c:pt idx="44">
                  <c:v>1999.0</c:v>
                </c:pt>
                <c:pt idx="45">
                  <c:v>2000.0</c:v>
                </c:pt>
                <c:pt idx="46">
                  <c:v>2001.0</c:v>
                </c:pt>
                <c:pt idx="47">
                  <c:v>2002.0</c:v>
                </c:pt>
                <c:pt idx="48">
                  <c:v>2003.0</c:v>
                </c:pt>
                <c:pt idx="49">
                  <c:v>2004.0</c:v>
                </c:pt>
                <c:pt idx="50">
                  <c:v>2005.0</c:v>
                </c:pt>
                <c:pt idx="51">
                  <c:v>2006.0</c:v>
                </c:pt>
                <c:pt idx="52">
                  <c:v>2007.0</c:v>
                </c:pt>
                <c:pt idx="53">
                  <c:v>2008.0</c:v>
                </c:pt>
                <c:pt idx="54">
                  <c:v>2009.0</c:v>
                </c:pt>
                <c:pt idx="55">
                  <c:v>2010.0</c:v>
                </c:pt>
              </c:numCache>
            </c:numRef>
          </c:cat>
          <c:val>
            <c:numRef>
              <c:f>Sheet1!$B$20:$BE$20</c:f>
              <c:numCache>
                <c:formatCode>General</c:formatCode>
                <c:ptCount val="56"/>
                <c:pt idx="0">
                  <c:v>-2.0</c:v>
                </c:pt>
                <c:pt idx="1">
                  <c:v>0.1</c:v>
                </c:pt>
                <c:pt idx="2">
                  <c:v>0.1</c:v>
                </c:pt>
                <c:pt idx="3">
                  <c:v>0.1</c:v>
                </c:pt>
                <c:pt idx="4">
                  <c:v>0.1</c:v>
                </c:pt>
                <c:pt idx="5">
                  <c:v>-0.1</c:v>
                </c:pt>
                <c:pt idx="6">
                  <c:v>0.1</c:v>
                </c:pt>
                <c:pt idx="7">
                  <c:v>0.0</c:v>
                </c:pt>
                <c:pt idx="8">
                  <c:v>0.0</c:v>
                </c:pt>
                <c:pt idx="9">
                  <c:v>0.1</c:v>
                </c:pt>
                <c:pt idx="10">
                  <c:v>0.2</c:v>
                </c:pt>
                <c:pt idx="11">
                  <c:v>0.6</c:v>
                </c:pt>
                <c:pt idx="12">
                  <c:v>-0.1</c:v>
                </c:pt>
                <c:pt idx="13">
                  <c:v>0.2</c:v>
                </c:pt>
                <c:pt idx="14">
                  <c:v>0.5</c:v>
                </c:pt>
                <c:pt idx="15">
                  <c:v>0.7</c:v>
                </c:pt>
                <c:pt idx="16">
                  <c:v>0.3</c:v>
                </c:pt>
                <c:pt idx="17">
                  <c:v>0.1</c:v>
                </c:pt>
                <c:pt idx="18">
                  <c:v>0.1</c:v>
                </c:pt>
                <c:pt idx="19">
                  <c:v>0.9</c:v>
                </c:pt>
                <c:pt idx="20">
                  <c:v>0.8</c:v>
                </c:pt>
                <c:pt idx="21">
                  <c:v>1.2</c:v>
                </c:pt>
                <c:pt idx="22">
                  <c:v>4.0</c:v>
                </c:pt>
                <c:pt idx="23">
                  <c:v>1.8</c:v>
                </c:pt>
                <c:pt idx="24">
                  <c:v>2.7</c:v>
                </c:pt>
                <c:pt idx="25">
                  <c:v>9.0</c:v>
                </c:pt>
                <c:pt idx="26">
                  <c:v>10.7</c:v>
                </c:pt>
                <c:pt idx="27">
                  <c:v>15.2</c:v>
                </c:pt>
                <c:pt idx="28">
                  <c:v>6.2</c:v>
                </c:pt>
                <c:pt idx="29">
                  <c:v>15.6</c:v>
                </c:pt>
                <c:pt idx="30">
                  <c:v>36.1</c:v>
                </c:pt>
                <c:pt idx="31">
                  <c:v>38.9</c:v>
                </c:pt>
                <c:pt idx="32">
                  <c:v>18.6</c:v>
                </c:pt>
                <c:pt idx="33">
                  <c:v>14.7</c:v>
                </c:pt>
                <c:pt idx="34">
                  <c:v>13.1</c:v>
                </c:pt>
                <c:pt idx="35">
                  <c:v>5.8</c:v>
                </c:pt>
                <c:pt idx="36">
                  <c:v>18.2</c:v>
                </c:pt>
                <c:pt idx="37">
                  <c:v>16.6</c:v>
                </c:pt>
                <c:pt idx="38">
                  <c:v>30.2</c:v>
                </c:pt>
                <c:pt idx="39">
                  <c:v>37.8</c:v>
                </c:pt>
                <c:pt idx="40">
                  <c:v>49.2</c:v>
                </c:pt>
                <c:pt idx="41">
                  <c:v>70.8</c:v>
                </c:pt>
                <c:pt idx="42">
                  <c:v>67.4</c:v>
                </c:pt>
                <c:pt idx="43">
                  <c:v>105.2</c:v>
                </c:pt>
                <c:pt idx="44">
                  <c:v>137.4</c:v>
                </c:pt>
                <c:pt idx="45">
                  <c:v>168.3</c:v>
                </c:pt>
                <c:pt idx="46">
                  <c:v>218.3</c:v>
                </c:pt>
                <c:pt idx="47">
                  <c:v>123.2</c:v>
                </c:pt>
                <c:pt idx="48">
                  <c:v>220.8</c:v>
                </c:pt>
                <c:pt idx="49">
                  <c:v>259.5</c:v>
                </c:pt>
                <c:pt idx="50">
                  <c:v>328.5</c:v>
                </c:pt>
                <c:pt idx="51">
                  <c:v>541.0</c:v>
                </c:pt>
                <c:pt idx="52">
                  <c:v>424.6</c:v>
                </c:pt>
                <c:pt idx="53">
                  <c:v>-21.8</c:v>
                </c:pt>
                <c:pt idx="54">
                  <c:v>-126.9</c:v>
                </c:pt>
                <c:pt idx="55">
                  <c:v>-36.5</c:v>
                </c:pt>
              </c:numCache>
            </c:numRef>
          </c:val>
          <c:smooth val="0"/>
          <c:extLst xmlns:c16r2="http://schemas.microsoft.com/office/drawing/2015/06/chart">
            <c:ext xmlns:c16="http://schemas.microsoft.com/office/drawing/2014/chart" uri="{C3380CC4-5D6E-409C-BE32-E72D297353CC}">
              <c16:uniqueId val="{00000000-6E39-4D39-96C3-3BF6AFDCF22D}"/>
            </c:ext>
          </c:extLst>
        </c:ser>
        <c:ser>
          <c:idx val="2"/>
          <c:order val="1"/>
          <c:tx>
            <c:strRef>
              <c:f>Sheet1!$A$23</c:f>
              <c:strCache>
                <c:ptCount val="1"/>
                <c:pt idx="0">
                  <c:v>Total ABS and MBS outstanding</c:v>
                </c:pt>
              </c:strCache>
            </c:strRef>
          </c:tx>
          <c:spPr>
            <a:ln w="28575" cap="rnd">
              <a:solidFill>
                <a:schemeClr val="accent3"/>
              </a:solidFill>
              <a:round/>
            </a:ln>
            <a:effectLst/>
          </c:spPr>
          <c:marker>
            <c:symbol val="none"/>
          </c:marker>
          <c:val>
            <c:numRef>
              <c:f>Sheet1!$B$23:$BE$23</c:f>
              <c:numCache>
                <c:formatCode>General</c:formatCode>
                <c:ptCount val="56"/>
                <c:pt idx="0">
                  <c:v>0.0</c:v>
                </c:pt>
                <c:pt idx="1">
                  <c:v>0.0</c:v>
                </c:pt>
                <c:pt idx="2">
                  <c:v>0.0</c:v>
                </c:pt>
                <c:pt idx="3">
                  <c:v>0.0</c:v>
                </c:pt>
                <c:pt idx="4">
                  <c:v>0.0</c:v>
                </c:pt>
                <c:pt idx="5">
                  <c:v>0.0</c:v>
                </c:pt>
                <c:pt idx="6">
                  <c:v>0.1</c:v>
                </c:pt>
                <c:pt idx="7">
                  <c:v>0.1</c:v>
                </c:pt>
                <c:pt idx="8">
                  <c:v>0.1</c:v>
                </c:pt>
                <c:pt idx="9">
                  <c:v>0.1</c:v>
                </c:pt>
                <c:pt idx="10">
                  <c:v>0.2</c:v>
                </c:pt>
                <c:pt idx="11">
                  <c:v>0.4</c:v>
                </c:pt>
                <c:pt idx="12">
                  <c:v>0.7</c:v>
                </c:pt>
                <c:pt idx="13">
                  <c:v>0.5</c:v>
                </c:pt>
                <c:pt idx="14">
                  <c:v>0.7</c:v>
                </c:pt>
                <c:pt idx="15">
                  <c:v>1.6</c:v>
                </c:pt>
                <c:pt idx="16">
                  <c:v>4.8</c:v>
                </c:pt>
                <c:pt idx="17">
                  <c:v>4.9</c:v>
                </c:pt>
                <c:pt idx="18">
                  <c:v>3.6</c:v>
                </c:pt>
                <c:pt idx="19">
                  <c:v>4.5</c:v>
                </c:pt>
                <c:pt idx="20">
                  <c:v>7.1</c:v>
                </c:pt>
                <c:pt idx="21">
                  <c:v>12.2</c:v>
                </c:pt>
                <c:pt idx="22">
                  <c:v>16.1</c:v>
                </c:pt>
                <c:pt idx="23">
                  <c:v>13.6</c:v>
                </c:pt>
                <c:pt idx="24">
                  <c:v>23.1</c:v>
                </c:pt>
                <c:pt idx="25">
                  <c:v>19.2</c:v>
                </c:pt>
                <c:pt idx="26">
                  <c:v>15.0</c:v>
                </c:pt>
                <c:pt idx="27">
                  <c:v>49.5</c:v>
                </c:pt>
                <c:pt idx="28">
                  <c:v>69.3</c:v>
                </c:pt>
                <c:pt idx="29">
                  <c:v>52.3</c:v>
                </c:pt>
                <c:pt idx="30">
                  <c:v>93.9</c:v>
                </c:pt>
                <c:pt idx="31">
                  <c:v>200.4</c:v>
                </c:pt>
                <c:pt idx="32">
                  <c:v>179.6</c:v>
                </c:pt>
                <c:pt idx="33">
                  <c:v>110.3</c:v>
                </c:pt>
                <c:pt idx="34">
                  <c:v>142.3</c:v>
                </c:pt>
                <c:pt idx="35">
                  <c:v>194.0</c:v>
                </c:pt>
                <c:pt idx="36">
                  <c:v>183.0</c:v>
                </c:pt>
                <c:pt idx="37">
                  <c:v>163.7</c:v>
                </c:pt>
                <c:pt idx="38">
                  <c:v>162.5</c:v>
                </c:pt>
                <c:pt idx="39">
                  <c:v>173.2</c:v>
                </c:pt>
                <c:pt idx="40">
                  <c:v>188.8</c:v>
                </c:pt>
                <c:pt idx="41">
                  <c:v>210.2</c:v>
                </c:pt>
                <c:pt idx="42">
                  <c:v>162.6</c:v>
                </c:pt>
                <c:pt idx="43">
                  <c:v>325.8999999999999</c:v>
                </c:pt>
                <c:pt idx="44">
                  <c:v>292.0</c:v>
                </c:pt>
                <c:pt idx="45">
                  <c:v>250.2</c:v>
                </c:pt>
                <c:pt idx="46">
                  <c:v>504.3</c:v>
                </c:pt>
                <c:pt idx="47">
                  <c:v>626.0</c:v>
                </c:pt>
                <c:pt idx="48">
                  <c:v>635.9</c:v>
                </c:pt>
                <c:pt idx="49">
                  <c:v>521.7</c:v>
                </c:pt>
                <c:pt idx="50">
                  <c:v>747.3</c:v>
                </c:pt>
                <c:pt idx="51">
                  <c:v>941.1</c:v>
                </c:pt>
                <c:pt idx="52">
                  <c:v>1157.6</c:v>
                </c:pt>
                <c:pt idx="53">
                  <c:v>172.7</c:v>
                </c:pt>
                <c:pt idx="54">
                  <c:v>-58.7</c:v>
                </c:pt>
                <c:pt idx="55">
                  <c:v>-293.1</c:v>
                </c:pt>
              </c:numCache>
            </c:numRef>
          </c:val>
          <c:smooth val="0"/>
          <c:extLst xmlns:c16r2="http://schemas.microsoft.com/office/drawing/2015/06/chart">
            <c:ext xmlns:c16="http://schemas.microsoft.com/office/drawing/2014/chart" uri="{C3380CC4-5D6E-409C-BE32-E72D297353CC}">
              <c16:uniqueId val="{00000001-6E39-4D39-96C3-3BF6AFDCF22D}"/>
            </c:ext>
          </c:extLst>
        </c:ser>
        <c:dLbls>
          <c:showLegendKey val="0"/>
          <c:showVal val="0"/>
          <c:showCatName val="0"/>
          <c:showSerName val="0"/>
          <c:showPercent val="0"/>
          <c:showBubbleSize val="0"/>
        </c:dLbls>
        <c:marker val="1"/>
        <c:smooth val="0"/>
        <c:axId val="-2117438568"/>
        <c:axId val="-2117435016"/>
        <c:extLst xmlns:c16r2="http://schemas.microsoft.com/office/drawing/2015/06/chart">
          <c:ext xmlns:c15="http://schemas.microsoft.com/office/drawing/2012/chart" uri="{02D57815-91ED-43cb-92C2-25804820EDAC}">
            <c15:filteredLineSeries>
              <c15:ser>
                <c:idx val="1"/>
                <c:order val="1"/>
                <c:tx>
                  <c:strRef>
                    <c:extLst>
                      <c:ext uri="{02D57815-91ED-43cb-92C2-25804820EDAC}">
                        <c15:formulaRef>
                          <c15:sqref>Sheet1!$A$21</c15:sqref>
                        </c15:formulaRef>
                      </c:ext>
                    </c:extLst>
                    <c:strCache>
                      <c:ptCount val="1"/>
                      <c:pt idx="0">
                        <c:v>Federal Mortgage pools</c:v>
                      </c:pt>
                    </c:strCache>
                  </c:strRef>
                </c:tx>
                <c:spPr>
                  <a:ln w="28575" cap="rnd">
                    <a:solidFill>
                      <a:schemeClr val="accent2"/>
                    </a:solidFill>
                    <a:round/>
                  </a:ln>
                  <a:effectLst/>
                </c:spPr>
                <c:marker>
                  <c:symbol val="none"/>
                </c:marker>
                <c:cat>
                  <c:numRef>
                    <c:extLst>
                      <c:ext uri="{02D57815-91ED-43cb-92C2-25804820EDAC}">
                        <c15:formulaRef>
                          <c15:sqref>Sheet1!$B$18:$BE$18</c15:sqref>
                        </c15:formulaRef>
                      </c:ext>
                    </c:extLst>
                    <c:numCache>
                      <c:formatCode>General</c:formatCode>
                      <c:ptCount val="56"/>
                      <c:pt idx="0">
                        <c:v>1955</c:v>
                      </c:pt>
                      <c:pt idx="1">
                        <c:v>1956</c:v>
                      </c:pt>
                      <c:pt idx="2">
                        <c:v>1957</c:v>
                      </c:pt>
                      <c:pt idx="3">
                        <c:v>1958</c:v>
                      </c:pt>
                      <c:pt idx="4">
                        <c:v>1959</c:v>
                      </c:pt>
                      <c:pt idx="5">
                        <c:v>1960</c:v>
                      </c:pt>
                      <c:pt idx="6">
                        <c:v>1961</c:v>
                      </c:pt>
                      <c:pt idx="7">
                        <c:v>1962</c:v>
                      </c:pt>
                      <c:pt idx="8">
                        <c:v>1963</c:v>
                      </c:pt>
                      <c:pt idx="9">
                        <c:v>1964</c:v>
                      </c:pt>
                      <c:pt idx="10">
                        <c:v>1965</c:v>
                      </c:pt>
                      <c:pt idx="11">
                        <c:v>1966</c:v>
                      </c:pt>
                      <c:pt idx="12">
                        <c:v>1967</c:v>
                      </c:pt>
                      <c:pt idx="13">
                        <c:v>1968</c:v>
                      </c:pt>
                      <c:pt idx="14">
                        <c:v>1969</c:v>
                      </c:pt>
                      <c:pt idx="15">
                        <c:v>1970</c:v>
                      </c:pt>
                      <c:pt idx="16">
                        <c:v>1971</c:v>
                      </c:pt>
                      <c:pt idx="17">
                        <c:v>1972</c:v>
                      </c:pt>
                      <c:pt idx="18">
                        <c:v>1973</c:v>
                      </c:pt>
                      <c:pt idx="19">
                        <c:v>1974</c:v>
                      </c:pt>
                      <c:pt idx="20">
                        <c:v>1975</c:v>
                      </c:pt>
                      <c:pt idx="21">
                        <c:v>1976</c:v>
                      </c:pt>
                      <c:pt idx="22">
                        <c:v>1977</c:v>
                      </c:pt>
                      <c:pt idx="23">
                        <c:v>1978</c:v>
                      </c:pt>
                      <c:pt idx="24">
                        <c:v>1979</c:v>
                      </c:pt>
                      <c:pt idx="25">
                        <c:v>1980</c:v>
                      </c:pt>
                      <c:pt idx="26">
                        <c:v>1981</c:v>
                      </c:pt>
                      <c:pt idx="27">
                        <c:v>1982</c:v>
                      </c:pt>
                      <c:pt idx="28">
                        <c:v>1983</c:v>
                      </c:pt>
                      <c:pt idx="29">
                        <c:v>1984</c:v>
                      </c:pt>
                      <c:pt idx="30">
                        <c:v>1985</c:v>
                      </c:pt>
                      <c:pt idx="31">
                        <c:v>1986</c:v>
                      </c:pt>
                      <c:pt idx="32">
                        <c:v>1987</c:v>
                      </c:pt>
                      <c:pt idx="33">
                        <c:v>1988</c:v>
                      </c:pt>
                      <c:pt idx="34">
                        <c:v>1989</c:v>
                      </c:pt>
                      <c:pt idx="35">
                        <c:v>1990</c:v>
                      </c:pt>
                      <c:pt idx="36">
                        <c:v>1991</c:v>
                      </c:pt>
                      <c:pt idx="37">
                        <c:v>1992</c:v>
                      </c:pt>
                      <c:pt idx="38">
                        <c:v>1993</c:v>
                      </c:pt>
                      <c:pt idx="39">
                        <c:v>1994</c:v>
                      </c:pt>
                      <c:pt idx="40">
                        <c:v>1995</c:v>
                      </c:pt>
                      <c:pt idx="41">
                        <c:v>1996</c:v>
                      </c:pt>
                      <c:pt idx="42">
                        <c:v>1997</c:v>
                      </c:pt>
                      <c:pt idx="43">
                        <c:v>1998</c:v>
                      </c:pt>
                      <c:pt idx="44">
                        <c:v>1999</c:v>
                      </c:pt>
                      <c:pt idx="45">
                        <c:v>2000</c:v>
                      </c:pt>
                      <c:pt idx="46">
                        <c:v>2001</c:v>
                      </c:pt>
                      <c:pt idx="47">
                        <c:v>2002</c:v>
                      </c:pt>
                      <c:pt idx="48">
                        <c:v>2003</c:v>
                      </c:pt>
                      <c:pt idx="49">
                        <c:v>2004</c:v>
                      </c:pt>
                      <c:pt idx="50">
                        <c:v>2005</c:v>
                      </c:pt>
                      <c:pt idx="51">
                        <c:v>2006</c:v>
                      </c:pt>
                      <c:pt idx="52">
                        <c:v>2007</c:v>
                      </c:pt>
                      <c:pt idx="53">
                        <c:v>2008</c:v>
                      </c:pt>
                      <c:pt idx="54">
                        <c:v>2009</c:v>
                      </c:pt>
                      <c:pt idx="55">
                        <c:v>2010</c:v>
                      </c:pt>
                    </c:numCache>
                  </c:numRef>
                </c:cat>
                <c:val>
                  <c:numRef>
                    <c:extLst>
                      <c:ext uri="{02D57815-91ED-43cb-92C2-25804820EDAC}">
                        <c15:formulaRef>
                          <c15:sqref>Sheet1!$B$21:$BE$21</c15:sqref>
                        </c15:formulaRef>
                      </c:ext>
                    </c:extLst>
                    <c:numCache>
                      <c:formatCode>General</c:formatCode>
                      <c:ptCount val="56"/>
                      <c:pt idx="0">
                        <c:v>0</c:v>
                      </c:pt>
                      <c:pt idx="1">
                        <c:v>0</c:v>
                      </c:pt>
                      <c:pt idx="2">
                        <c:v>0</c:v>
                      </c:pt>
                      <c:pt idx="3">
                        <c:v>0</c:v>
                      </c:pt>
                      <c:pt idx="4">
                        <c:v>0</c:v>
                      </c:pt>
                      <c:pt idx="5">
                        <c:v>0</c:v>
                      </c:pt>
                      <c:pt idx="6">
                        <c:v>0.1</c:v>
                      </c:pt>
                      <c:pt idx="7">
                        <c:v>0.1</c:v>
                      </c:pt>
                      <c:pt idx="8">
                        <c:v>0.1</c:v>
                      </c:pt>
                      <c:pt idx="9">
                        <c:v>0.1</c:v>
                      </c:pt>
                      <c:pt idx="10">
                        <c:v>0.2</c:v>
                      </c:pt>
                      <c:pt idx="11">
                        <c:v>0.4</c:v>
                      </c:pt>
                      <c:pt idx="12">
                        <c:v>0.7</c:v>
                      </c:pt>
                      <c:pt idx="13">
                        <c:v>0.5</c:v>
                      </c:pt>
                      <c:pt idx="14">
                        <c:v>0.7</c:v>
                      </c:pt>
                      <c:pt idx="15">
                        <c:v>1.6</c:v>
                      </c:pt>
                      <c:pt idx="16">
                        <c:v>4.8</c:v>
                      </c:pt>
                      <c:pt idx="17">
                        <c:v>4.9000000000000004</c:v>
                      </c:pt>
                      <c:pt idx="18">
                        <c:v>3.6</c:v>
                      </c:pt>
                      <c:pt idx="19">
                        <c:v>4.5</c:v>
                      </c:pt>
                      <c:pt idx="20">
                        <c:v>7.1</c:v>
                      </c:pt>
                      <c:pt idx="21">
                        <c:v>12.2</c:v>
                      </c:pt>
                      <c:pt idx="22">
                        <c:v>16.100000000000001</c:v>
                      </c:pt>
                      <c:pt idx="23">
                        <c:v>13.6</c:v>
                      </c:pt>
                      <c:pt idx="24">
                        <c:v>23.1</c:v>
                      </c:pt>
                      <c:pt idx="25">
                        <c:v>19.2</c:v>
                      </c:pt>
                      <c:pt idx="26">
                        <c:v>15</c:v>
                      </c:pt>
                      <c:pt idx="27">
                        <c:v>49.5</c:v>
                      </c:pt>
                      <c:pt idx="28">
                        <c:v>66.3</c:v>
                      </c:pt>
                      <c:pt idx="29">
                        <c:v>44.5</c:v>
                      </c:pt>
                      <c:pt idx="30">
                        <c:v>78.900000000000006</c:v>
                      </c:pt>
                      <c:pt idx="31">
                        <c:v>163.69999999999999</c:v>
                      </c:pt>
                      <c:pt idx="32">
                        <c:v>137.80000000000001</c:v>
                      </c:pt>
                      <c:pt idx="33">
                        <c:v>75.900000000000006</c:v>
                      </c:pt>
                      <c:pt idx="34">
                        <c:v>124.3</c:v>
                      </c:pt>
                      <c:pt idx="35">
                        <c:v>150.30000000000001</c:v>
                      </c:pt>
                      <c:pt idx="36">
                        <c:v>136.6</c:v>
                      </c:pt>
                      <c:pt idx="37">
                        <c:v>115.6</c:v>
                      </c:pt>
                      <c:pt idx="38">
                        <c:v>84.7</c:v>
                      </c:pt>
                      <c:pt idx="39">
                        <c:v>115.3</c:v>
                      </c:pt>
                      <c:pt idx="40">
                        <c:v>98.3</c:v>
                      </c:pt>
                      <c:pt idx="41">
                        <c:v>141</c:v>
                      </c:pt>
                      <c:pt idx="42">
                        <c:v>114.6</c:v>
                      </c:pt>
                      <c:pt idx="43">
                        <c:v>192.7</c:v>
                      </c:pt>
                      <c:pt idx="44">
                        <c:v>274.60000000000002</c:v>
                      </c:pt>
                      <c:pt idx="45">
                        <c:v>199.7</c:v>
                      </c:pt>
                      <c:pt idx="46">
                        <c:v>338.5</c:v>
                      </c:pt>
                      <c:pt idx="47">
                        <c:v>326.8</c:v>
                      </c:pt>
                      <c:pt idx="48">
                        <c:v>335.4</c:v>
                      </c:pt>
                      <c:pt idx="49">
                        <c:v>40.799999999999997</c:v>
                      </c:pt>
                      <c:pt idx="50">
                        <c:v>164.5</c:v>
                      </c:pt>
                      <c:pt idx="51">
                        <c:v>292.60000000000002</c:v>
                      </c:pt>
                      <c:pt idx="52">
                        <c:v>623.29999999999995</c:v>
                      </c:pt>
                      <c:pt idx="53">
                        <c:v>497</c:v>
                      </c:pt>
                      <c:pt idx="54">
                        <c:v>415.3</c:v>
                      </c:pt>
                      <c:pt idx="55">
                        <c:v>186.9</c:v>
                      </c:pt>
                    </c:numCache>
                  </c:numRef>
                </c:val>
                <c:smooth val="0"/>
                <c:extLst>
                  <c:ext xmlns:c16="http://schemas.microsoft.com/office/drawing/2014/chart" uri="{C3380CC4-5D6E-409C-BE32-E72D297353CC}">
                    <c16:uniqueId val="{00000002-6E39-4D39-96C3-3BF6AFDCF22D}"/>
                  </c:ext>
                </c:extLst>
              </c15:ser>
            </c15:filteredLineSeries>
          </c:ext>
        </c:extLst>
      </c:lineChart>
      <c:catAx>
        <c:axId val="-2117438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435016"/>
        <c:crosses val="autoZero"/>
        <c:auto val="1"/>
        <c:lblAlgn val="ctr"/>
        <c:lblOffset val="100"/>
        <c:tickLblSkip val="5"/>
        <c:tickMarkSkip val="5"/>
        <c:noMultiLvlLbl val="0"/>
      </c:catAx>
      <c:valAx>
        <c:axId val="-2117435016"/>
        <c:scaling>
          <c:orientation val="minMax"/>
        </c:scaling>
        <c:delete val="0"/>
        <c:axPos val="l"/>
        <c:numFmt formatCode="#,##0" sourceLinked="0"/>
        <c:majorTickMark val="out"/>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438568"/>
        <c:crosses val="autoZero"/>
        <c:crossBetween val="between"/>
      </c:valAx>
      <c:spPr>
        <a:noFill/>
        <a:ln>
          <a:noFill/>
        </a:ln>
        <a:effectLst/>
      </c:spPr>
    </c:plotArea>
    <c:legend>
      <c:legendPos val="b"/>
      <c:layout>
        <c:manualLayout>
          <c:xMode val="edge"/>
          <c:yMode val="edge"/>
          <c:x val="0.0529057275009168"/>
          <c:y val="0.0246246722950083"/>
          <c:w val="0.48573451045892"/>
          <c:h val="0.1480124359455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23F0-0679-5F49-AE3D-5A2EC60B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1180</Words>
  <Characters>6728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Vinokurova, Natalya</dc:creator>
  <cp:lastModifiedBy>Natalya Vinokurova</cp:lastModifiedBy>
  <cp:revision>3</cp:revision>
  <cp:lastPrinted>2017-05-08T11:31:00Z</cp:lastPrinted>
  <dcterms:created xsi:type="dcterms:W3CDTF">2017-10-13T21:14:00Z</dcterms:created>
  <dcterms:modified xsi:type="dcterms:W3CDTF">2017-10-13T21:15:00Z</dcterms:modified>
</cp:coreProperties>
</file>