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1B92" w14:textId="77777777" w:rsidR="00CD4327" w:rsidRPr="00EE7CC4" w:rsidRDefault="00CD4327" w:rsidP="00CD4327">
      <w:pPr>
        <w:keepNext/>
        <w:keepLines/>
        <w:spacing w:after="0" w:line="360" w:lineRule="auto"/>
        <w:outlineLvl w:val="0"/>
        <w:rPr>
          <w:rFonts w:eastAsiaTheme="majorEastAsia" w:cstheme="majorBidi"/>
          <w:b/>
          <w:szCs w:val="32"/>
        </w:rPr>
      </w:pPr>
      <w:r w:rsidRPr="00EE7CC4">
        <w:rPr>
          <w:rFonts w:eastAsiaTheme="majorEastAsia" w:cstheme="majorBidi"/>
          <w:b/>
          <w:szCs w:val="32"/>
        </w:rPr>
        <w:t>Appendix One</w:t>
      </w:r>
    </w:p>
    <w:p w14:paraId="3E389EB5" w14:textId="77777777" w:rsidR="00CD4327" w:rsidRPr="00EE7CC4" w:rsidRDefault="00CD4327" w:rsidP="00CD4327">
      <w:r w:rsidRPr="00EE7CC4">
        <w:t>Document Overview</w:t>
      </w:r>
      <w:r w:rsidRPr="00EE7CC4">
        <w:rPr>
          <w:i/>
          <w:iCs/>
        </w:rPr>
        <w:t xml:space="preserve"> Hancock v Halliday </w:t>
      </w:r>
      <w:r w:rsidRPr="00EE7CC4">
        <w:t>(1742-1752)</w:t>
      </w:r>
    </w:p>
    <w:p w14:paraId="1D2D6A76" w14:textId="77777777" w:rsidR="00CD4327" w:rsidRPr="00EE7CC4" w:rsidRDefault="00CD4327" w:rsidP="00CD4327">
      <w:pPr>
        <w:spacing w:before="0"/>
      </w:pPr>
      <w:r w:rsidRPr="00EE7CC4">
        <w:rPr>
          <w:u w:val="single"/>
        </w:rPr>
        <w:t>Pleadings</w:t>
      </w:r>
      <w:r w:rsidRPr="00EE7CC4">
        <w:t xml:space="preserve">: </w:t>
      </w:r>
    </w:p>
    <w:p w14:paraId="7259E923" w14:textId="77777777" w:rsidR="00CD4327" w:rsidRPr="00EE7CC4" w:rsidRDefault="00CD4327" w:rsidP="00CD4327">
      <w:pPr>
        <w:numPr>
          <w:ilvl w:val="0"/>
          <w:numId w:val="1"/>
        </w:numPr>
        <w:spacing w:before="0" w:after="160"/>
        <w:contextualSpacing/>
      </w:pPr>
      <w:r w:rsidRPr="00EE7CC4">
        <w:t>TNA, C11/549/27 – four documents:</w:t>
      </w:r>
    </w:p>
    <w:p w14:paraId="7E51CD5C" w14:textId="77777777" w:rsidR="00CD4327" w:rsidRPr="00EE7CC4" w:rsidRDefault="00CD4327" w:rsidP="00CD4327">
      <w:pPr>
        <w:numPr>
          <w:ilvl w:val="1"/>
          <w:numId w:val="2"/>
        </w:numPr>
        <w:spacing w:before="0" w:after="160"/>
        <w:contextualSpacing/>
      </w:pPr>
      <w:proofErr w:type="gramStart"/>
      <w:r w:rsidRPr="00EE7CC4">
        <w:t>A bill of complaint,</w:t>
      </w:r>
      <w:proofErr w:type="gramEnd"/>
      <w:r w:rsidRPr="00EE7CC4">
        <w:t xml:space="preserve"> dated 1 May 1742.</w:t>
      </w:r>
    </w:p>
    <w:p w14:paraId="2340471F" w14:textId="77777777" w:rsidR="00CD4327" w:rsidRPr="00EE7CC4" w:rsidRDefault="00CD4327" w:rsidP="00CD4327">
      <w:pPr>
        <w:numPr>
          <w:ilvl w:val="1"/>
          <w:numId w:val="2"/>
        </w:numPr>
        <w:spacing w:before="0" w:after="160"/>
        <w:contextualSpacing/>
      </w:pPr>
      <w:r w:rsidRPr="00EE7CC4">
        <w:t>An answer from Mary Halliday, dated 26 June 1742.</w:t>
      </w:r>
    </w:p>
    <w:p w14:paraId="73F53E1C" w14:textId="77777777" w:rsidR="00CD4327" w:rsidRPr="00EE7CC4" w:rsidRDefault="00CD4327" w:rsidP="00CD4327">
      <w:pPr>
        <w:numPr>
          <w:ilvl w:val="1"/>
          <w:numId w:val="2"/>
        </w:numPr>
        <w:spacing w:before="0" w:after="160"/>
        <w:contextualSpacing/>
      </w:pPr>
      <w:proofErr w:type="gramStart"/>
      <w:r w:rsidRPr="00EE7CC4">
        <w:t>A bill of complaint (amended),</w:t>
      </w:r>
      <w:proofErr w:type="gramEnd"/>
      <w:r w:rsidRPr="00EE7CC4">
        <w:t xml:space="preserve"> dated 6 August 1742.</w:t>
      </w:r>
    </w:p>
    <w:p w14:paraId="225CADD0" w14:textId="77777777" w:rsidR="00CD4327" w:rsidRPr="00EE7CC4" w:rsidRDefault="00CD4327" w:rsidP="00CD4327">
      <w:pPr>
        <w:numPr>
          <w:ilvl w:val="1"/>
          <w:numId w:val="2"/>
        </w:numPr>
        <w:spacing w:before="0" w:after="160"/>
        <w:contextualSpacing/>
      </w:pPr>
      <w:r w:rsidRPr="00EE7CC4">
        <w:t>An answer from Edward Halliday, dated 18 March 1743.</w:t>
      </w:r>
    </w:p>
    <w:p w14:paraId="5884BEEE" w14:textId="77777777" w:rsidR="00CD4327" w:rsidRPr="00EE7CC4" w:rsidRDefault="00CD4327" w:rsidP="00CD4327">
      <w:pPr>
        <w:numPr>
          <w:ilvl w:val="0"/>
          <w:numId w:val="1"/>
        </w:numPr>
        <w:spacing w:before="0" w:after="160"/>
        <w:contextualSpacing/>
      </w:pPr>
      <w:r w:rsidRPr="00EE7CC4">
        <w:t>TNA, C11/552/25 – one document:</w:t>
      </w:r>
    </w:p>
    <w:p w14:paraId="779D9D67" w14:textId="77777777" w:rsidR="00CD4327" w:rsidRPr="00EE7CC4" w:rsidRDefault="00CD4327" w:rsidP="00CD4327">
      <w:pPr>
        <w:numPr>
          <w:ilvl w:val="1"/>
          <w:numId w:val="3"/>
        </w:numPr>
        <w:spacing w:before="0" w:after="160"/>
        <w:contextualSpacing/>
      </w:pPr>
      <w:r w:rsidRPr="00EE7CC4">
        <w:t>A further answer of Mary Halliday to the amended bill of complaint, dated 19 October 1743.</w:t>
      </w:r>
    </w:p>
    <w:p w14:paraId="74AC7CAA" w14:textId="77777777" w:rsidR="00CD4327" w:rsidRPr="00EE7CC4" w:rsidRDefault="00CD4327" w:rsidP="00CD4327">
      <w:pPr>
        <w:numPr>
          <w:ilvl w:val="0"/>
          <w:numId w:val="1"/>
        </w:numPr>
        <w:spacing w:before="0" w:after="160"/>
        <w:contextualSpacing/>
      </w:pPr>
      <w:r w:rsidRPr="00EE7CC4">
        <w:t>TNA, C11/555/35 – one document:</w:t>
      </w:r>
    </w:p>
    <w:p w14:paraId="18377687" w14:textId="77777777" w:rsidR="00CD4327" w:rsidRPr="00EE7CC4" w:rsidRDefault="00CD4327" w:rsidP="00CD4327">
      <w:pPr>
        <w:numPr>
          <w:ilvl w:val="1"/>
          <w:numId w:val="4"/>
        </w:numPr>
        <w:spacing w:before="0" w:after="160"/>
        <w:contextualSpacing/>
      </w:pPr>
      <w:proofErr w:type="gramStart"/>
      <w:r w:rsidRPr="00EE7CC4">
        <w:t>A further answer of Mary Halliday,</w:t>
      </w:r>
      <w:proofErr w:type="gramEnd"/>
      <w:r w:rsidRPr="00EE7CC4">
        <w:t xml:space="preserve"> dated 4 September 1744.</w:t>
      </w:r>
    </w:p>
    <w:p w14:paraId="22CADAC2" w14:textId="77777777" w:rsidR="00CD4327" w:rsidRPr="00EE7CC4" w:rsidRDefault="00CD4327" w:rsidP="00CD4327">
      <w:pPr>
        <w:numPr>
          <w:ilvl w:val="0"/>
          <w:numId w:val="1"/>
        </w:numPr>
        <w:spacing w:before="0" w:after="160"/>
        <w:contextualSpacing/>
      </w:pPr>
      <w:r w:rsidRPr="00EE7CC4">
        <w:t>TNA, C/12/1122/39 – one document:</w:t>
      </w:r>
    </w:p>
    <w:p w14:paraId="5B37036A" w14:textId="77777777" w:rsidR="00CD4327" w:rsidRPr="00EE7CC4" w:rsidRDefault="00CD4327" w:rsidP="00CD4327">
      <w:pPr>
        <w:numPr>
          <w:ilvl w:val="1"/>
          <w:numId w:val="4"/>
        </w:numPr>
        <w:spacing w:before="0" w:after="160"/>
        <w:contextualSpacing/>
      </w:pPr>
      <w:proofErr w:type="gramStart"/>
      <w:r w:rsidRPr="00EE7CC4">
        <w:t>A bill of complaint,</w:t>
      </w:r>
      <w:proofErr w:type="gramEnd"/>
      <w:r w:rsidRPr="00EE7CC4">
        <w:t xml:space="preserve"> dated 30 April 1745. </w:t>
      </w:r>
    </w:p>
    <w:p w14:paraId="688AE986" w14:textId="77777777" w:rsidR="00CD4327" w:rsidRPr="00EE7CC4" w:rsidRDefault="00CD4327" w:rsidP="00CD4327">
      <w:pPr>
        <w:numPr>
          <w:ilvl w:val="0"/>
          <w:numId w:val="1"/>
        </w:numPr>
        <w:spacing w:before="0" w:after="160"/>
        <w:contextualSpacing/>
      </w:pPr>
      <w:r w:rsidRPr="00EE7CC4">
        <w:t>TNA, C12/1115/5 – two documents:</w:t>
      </w:r>
    </w:p>
    <w:p w14:paraId="342DA8B9" w14:textId="77777777" w:rsidR="00CD4327" w:rsidRPr="00EE7CC4" w:rsidRDefault="00CD4327" w:rsidP="00CD4327">
      <w:pPr>
        <w:numPr>
          <w:ilvl w:val="1"/>
          <w:numId w:val="4"/>
        </w:numPr>
        <w:spacing w:before="0" w:after="160"/>
        <w:contextualSpacing/>
      </w:pPr>
      <w:r w:rsidRPr="00EE7CC4">
        <w:t>A copy of interrogatories submitted by the plaintiffs for the examination of Mary Halliday, relating to an order from the Lord Chancellor, dated 11 July 1746.</w:t>
      </w:r>
    </w:p>
    <w:p w14:paraId="56AEA263" w14:textId="77777777" w:rsidR="00CD4327" w:rsidRPr="00EE7CC4" w:rsidRDefault="00CD4327" w:rsidP="00CD4327">
      <w:pPr>
        <w:numPr>
          <w:ilvl w:val="1"/>
          <w:numId w:val="4"/>
        </w:numPr>
        <w:spacing w:before="0" w:after="160"/>
        <w:contextualSpacing/>
      </w:pPr>
      <w:proofErr w:type="gramStart"/>
      <w:r w:rsidRPr="00EE7CC4">
        <w:t>An examination of Mary Halliday,</w:t>
      </w:r>
      <w:proofErr w:type="gramEnd"/>
      <w:r w:rsidRPr="00EE7CC4">
        <w:t xml:space="preserve"> dated 23 October 1747.</w:t>
      </w:r>
    </w:p>
    <w:p w14:paraId="0498A05C" w14:textId="77777777" w:rsidR="00CD4327" w:rsidRPr="00EE7CC4" w:rsidRDefault="00CD4327" w:rsidP="00CD4327">
      <w:pPr>
        <w:spacing w:before="0"/>
        <w:ind w:left="1440"/>
        <w:contextualSpacing/>
      </w:pPr>
    </w:p>
    <w:p w14:paraId="6E4CAE94" w14:textId="77777777" w:rsidR="00CD4327" w:rsidRPr="00EE7CC4" w:rsidRDefault="00CD4327" w:rsidP="00CD4327">
      <w:pPr>
        <w:spacing w:before="0"/>
        <w:rPr>
          <w:u w:val="single"/>
        </w:rPr>
      </w:pPr>
      <w:r w:rsidRPr="00EE7CC4">
        <w:rPr>
          <w:u w:val="single"/>
        </w:rPr>
        <w:t>Decrees</w:t>
      </w:r>
      <w:r w:rsidRPr="00EE7CC4">
        <w:t>: Twenty-six orders or decrees.</w:t>
      </w:r>
    </w:p>
    <w:p w14:paraId="0ED256B5" w14:textId="77777777" w:rsidR="00CD4327" w:rsidRPr="00EE7CC4" w:rsidRDefault="00CD4327" w:rsidP="00CD4327">
      <w:pPr>
        <w:spacing w:before="0"/>
      </w:pPr>
      <w:r w:rsidRPr="00EE7CC4">
        <w:rPr>
          <w:u w:val="single"/>
        </w:rPr>
        <w:t>Masters’ Exhibits</w:t>
      </w:r>
      <w:r w:rsidRPr="00EE7CC4">
        <w:t xml:space="preserve">: </w:t>
      </w:r>
    </w:p>
    <w:p w14:paraId="365529CF" w14:textId="77777777" w:rsidR="00CD4327" w:rsidRPr="00EE7CC4" w:rsidRDefault="00CD4327" w:rsidP="00CD4327">
      <w:pPr>
        <w:numPr>
          <w:ilvl w:val="0"/>
          <w:numId w:val="9"/>
        </w:numPr>
        <w:spacing w:before="0" w:after="160"/>
        <w:contextualSpacing/>
      </w:pPr>
      <w:bookmarkStart w:id="0" w:name="_Hlk22639181"/>
      <w:r w:rsidRPr="00EE7CC4">
        <w:lastRenderedPageBreak/>
        <w:t>TNA, C104/221 – twenty-four documents:</w:t>
      </w:r>
    </w:p>
    <w:p w14:paraId="7C31ABAF" w14:textId="77777777" w:rsidR="00CD4327" w:rsidRPr="00EE7CC4" w:rsidRDefault="00CD4327" w:rsidP="00CD4327">
      <w:pPr>
        <w:numPr>
          <w:ilvl w:val="1"/>
          <w:numId w:val="9"/>
        </w:numPr>
        <w:spacing w:before="0" w:after="160"/>
        <w:contextualSpacing/>
      </w:pPr>
      <w:r w:rsidRPr="00EE7CC4">
        <w:t>These include inventories, a list of goods to be sold, and a copy of a legal case, all of which were dated between 1733-1740.</w:t>
      </w:r>
    </w:p>
    <w:bookmarkEnd w:id="0"/>
    <w:p w14:paraId="18944F57" w14:textId="77777777" w:rsidR="00CD4327" w:rsidRPr="00EE7CC4" w:rsidRDefault="00CD4327" w:rsidP="00CD4327">
      <w:pPr>
        <w:numPr>
          <w:ilvl w:val="0"/>
          <w:numId w:val="9"/>
        </w:numPr>
        <w:spacing w:before="0" w:after="160"/>
        <w:contextualSpacing/>
      </w:pPr>
      <w:r w:rsidRPr="00EE7CC4">
        <w:t>TNA, C128/10 – one document:</w:t>
      </w:r>
    </w:p>
    <w:p w14:paraId="0CB46C57" w14:textId="77777777" w:rsidR="00CD4327" w:rsidRPr="00EE7CC4" w:rsidRDefault="00CD4327" w:rsidP="00CD4327">
      <w:pPr>
        <w:numPr>
          <w:ilvl w:val="1"/>
          <w:numId w:val="9"/>
        </w:numPr>
        <w:spacing w:before="0" w:after="160"/>
        <w:contextualSpacing/>
      </w:pPr>
      <w:r w:rsidRPr="00EE7CC4">
        <w:t>Interrogatories submitted by the plaintiffs for the examination of Mary Halliday.</w:t>
      </w:r>
    </w:p>
    <w:p w14:paraId="00ACEDC5" w14:textId="77777777" w:rsidR="00CD4327" w:rsidRPr="00EE7CC4" w:rsidRDefault="00CD4327" w:rsidP="00CD4327">
      <w:pPr>
        <w:spacing w:before="0"/>
        <w:rPr>
          <w:u w:val="single"/>
        </w:rPr>
      </w:pPr>
      <w:r w:rsidRPr="00EE7CC4">
        <w:rPr>
          <w:u w:val="single"/>
        </w:rPr>
        <w:t>Chancery Masters’ Papers</w:t>
      </w:r>
      <w:r w:rsidRPr="00EE7CC4">
        <w:t xml:space="preserve"> (Stored Off-Site):</w:t>
      </w:r>
    </w:p>
    <w:p w14:paraId="052A5FD5" w14:textId="77777777" w:rsidR="00CD4327" w:rsidRPr="00EE7CC4" w:rsidRDefault="00CD4327" w:rsidP="00CD4327">
      <w:pPr>
        <w:numPr>
          <w:ilvl w:val="0"/>
          <w:numId w:val="6"/>
        </w:numPr>
        <w:spacing w:before="0" w:after="160"/>
        <w:contextualSpacing/>
      </w:pPr>
      <w:r w:rsidRPr="00EE7CC4">
        <w:t>TNA, C120/854 – seventeen documents:</w:t>
      </w:r>
    </w:p>
    <w:p w14:paraId="45AB29E0" w14:textId="77777777" w:rsidR="00CD4327" w:rsidRPr="00EE7CC4" w:rsidRDefault="00CD4327" w:rsidP="00CD4327">
      <w:pPr>
        <w:numPr>
          <w:ilvl w:val="1"/>
          <w:numId w:val="5"/>
        </w:numPr>
        <w:spacing w:before="0" w:after="160"/>
        <w:contextualSpacing/>
      </w:pPr>
      <w:r w:rsidRPr="00EE7CC4">
        <w:t>The majority are affidavits.</w:t>
      </w:r>
    </w:p>
    <w:p w14:paraId="52723DE3" w14:textId="77777777" w:rsidR="00CD4327" w:rsidRPr="00EE7CC4" w:rsidRDefault="00CD4327" w:rsidP="00CD4327">
      <w:pPr>
        <w:spacing w:before="0"/>
        <w:rPr>
          <w:u w:val="single"/>
        </w:rPr>
      </w:pPr>
      <w:r w:rsidRPr="00EE7CC4">
        <w:rPr>
          <w:u w:val="single"/>
        </w:rPr>
        <w:t>Office of Accountant General of Chancery – Indexes and Accounts</w:t>
      </w:r>
      <w:r w:rsidRPr="00EE7CC4">
        <w:t xml:space="preserve"> (Stored Off-Site):</w:t>
      </w:r>
    </w:p>
    <w:p w14:paraId="03BD214F" w14:textId="77777777" w:rsidR="00CD4327" w:rsidRPr="00EE7CC4" w:rsidRDefault="00CD4327" w:rsidP="00CD4327">
      <w:pPr>
        <w:numPr>
          <w:ilvl w:val="0"/>
          <w:numId w:val="7"/>
        </w:numPr>
        <w:spacing w:before="0" w:after="160"/>
        <w:contextualSpacing/>
      </w:pPr>
      <w:r w:rsidRPr="00EE7CC4">
        <w:t>TNA, C276/6 – one entry:</w:t>
      </w:r>
    </w:p>
    <w:p w14:paraId="09B38023" w14:textId="77777777" w:rsidR="00CD4327" w:rsidRPr="00EE7CC4" w:rsidRDefault="00CD4327" w:rsidP="00CD4327">
      <w:pPr>
        <w:numPr>
          <w:ilvl w:val="1"/>
          <w:numId w:val="7"/>
        </w:numPr>
        <w:spacing w:before="0" w:after="160"/>
        <w:contextualSpacing/>
      </w:pPr>
      <w:r w:rsidRPr="00EE7CC4">
        <w:t xml:space="preserve">Confirming that money had been deposited in the Bank of England for the credit of the case.  </w:t>
      </w:r>
    </w:p>
    <w:p w14:paraId="4647672D" w14:textId="77777777" w:rsidR="00CD4327" w:rsidRPr="00EE7CC4" w:rsidRDefault="00CD4327" w:rsidP="00CD4327">
      <w:pPr>
        <w:spacing w:before="0"/>
        <w:rPr>
          <w:u w:val="single"/>
        </w:rPr>
      </w:pPr>
      <w:r w:rsidRPr="00EE7CC4">
        <w:rPr>
          <w:u w:val="single"/>
        </w:rPr>
        <w:t>Chancery Masters’ Reports and Certificates</w:t>
      </w:r>
      <w:r w:rsidRPr="00EE7CC4">
        <w:t xml:space="preserve"> – (Stored Off-Site):</w:t>
      </w:r>
    </w:p>
    <w:p w14:paraId="3C4E067C" w14:textId="77777777" w:rsidR="00CD4327" w:rsidRPr="00EE7CC4" w:rsidRDefault="00CD4327" w:rsidP="00CD4327">
      <w:pPr>
        <w:numPr>
          <w:ilvl w:val="0"/>
          <w:numId w:val="8"/>
        </w:numPr>
        <w:spacing w:before="0" w:after="160"/>
        <w:contextualSpacing/>
      </w:pPr>
      <w:r w:rsidRPr="00EE7CC4">
        <w:t>TNA, C 38/504 – one document:</w:t>
      </w:r>
    </w:p>
    <w:p w14:paraId="185B946C" w14:textId="77777777" w:rsidR="00CD4327" w:rsidRPr="00EE7CC4" w:rsidRDefault="00CD4327" w:rsidP="00CD4327">
      <w:pPr>
        <w:numPr>
          <w:ilvl w:val="1"/>
          <w:numId w:val="8"/>
        </w:numPr>
        <w:spacing w:before="0" w:after="160"/>
        <w:contextualSpacing/>
      </w:pPr>
      <w:r w:rsidRPr="00EE7CC4">
        <w:t xml:space="preserve">An affidavit that Master </w:t>
      </w:r>
      <w:proofErr w:type="spellStart"/>
      <w:r w:rsidRPr="00EE7CC4">
        <w:t>Skurray</w:t>
      </w:r>
      <w:proofErr w:type="spellEnd"/>
      <w:r w:rsidRPr="00EE7CC4">
        <w:t xml:space="preserve"> had left all relevant papers and books with the Master.   </w:t>
      </w:r>
    </w:p>
    <w:p w14:paraId="0C59B0C1" w14:textId="77777777" w:rsidR="00CD4327" w:rsidRPr="00EE7CC4" w:rsidRDefault="00CD4327" w:rsidP="00CD4327">
      <w:pPr>
        <w:spacing w:before="0" w:after="160"/>
        <w:ind w:left="1560"/>
        <w:contextualSpacing/>
      </w:pPr>
    </w:p>
    <w:p w14:paraId="1A59E187" w14:textId="2F05A291" w:rsidR="008C0653" w:rsidRPr="00CD4327" w:rsidRDefault="008C0653" w:rsidP="00CD4327">
      <w:pPr>
        <w:spacing w:before="0" w:after="160" w:line="259" w:lineRule="auto"/>
        <w:rPr>
          <w:rFonts w:eastAsiaTheme="majorEastAsia" w:cstheme="majorBidi"/>
          <w:b/>
          <w:szCs w:val="32"/>
        </w:rPr>
      </w:pPr>
    </w:p>
    <w:sectPr w:rsidR="008C0653" w:rsidRPr="00CD4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23C"/>
    <w:multiLevelType w:val="hybridMultilevel"/>
    <w:tmpl w:val="6B8E9866"/>
    <w:lvl w:ilvl="0" w:tplc="08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9D07C08"/>
    <w:multiLevelType w:val="hybridMultilevel"/>
    <w:tmpl w:val="0598F85C"/>
    <w:lvl w:ilvl="0" w:tplc="08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59D293D"/>
    <w:multiLevelType w:val="hybridMultilevel"/>
    <w:tmpl w:val="61E87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37261"/>
    <w:multiLevelType w:val="hybridMultilevel"/>
    <w:tmpl w:val="671AD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F7CEF"/>
    <w:multiLevelType w:val="hybridMultilevel"/>
    <w:tmpl w:val="00200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E76AA"/>
    <w:multiLevelType w:val="hybridMultilevel"/>
    <w:tmpl w:val="73DAE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10BC6"/>
    <w:multiLevelType w:val="hybridMultilevel"/>
    <w:tmpl w:val="573AD5F2"/>
    <w:lvl w:ilvl="0" w:tplc="08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85849F5"/>
    <w:multiLevelType w:val="hybridMultilevel"/>
    <w:tmpl w:val="0F60385A"/>
    <w:lvl w:ilvl="0" w:tplc="08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25A573F"/>
    <w:multiLevelType w:val="hybridMultilevel"/>
    <w:tmpl w:val="6FAC7340"/>
    <w:lvl w:ilvl="0" w:tplc="08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626425375">
    <w:abstractNumId w:val="4"/>
  </w:num>
  <w:num w:numId="2" w16cid:durableId="25759235">
    <w:abstractNumId w:val="2"/>
  </w:num>
  <w:num w:numId="3" w16cid:durableId="1232229104">
    <w:abstractNumId w:val="3"/>
  </w:num>
  <w:num w:numId="4" w16cid:durableId="414518646">
    <w:abstractNumId w:val="5"/>
  </w:num>
  <w:num w:numId="5" w16cid:durableId="615913396">
    <w:abstractNumId w:val="6"/>
  </w:num>
  <w:num w:numId="6" w16cid:durableId="429130232">
    <w:abstractNumId w:val="7"/>
  </w:num>
  <w:num w:numId="7" w16cid:durableId="604924979">
    <w:abstractNumId w:val="8"/>
  </w:num>
  <w:num w:numId="8" w16cid:durableId="636030973">
    <w:abstractNumId w:val="0"/>
  </w:num>
  <w:num w:numId="9" w16cid:durableId="9937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27"/>
    <w:rsid w:val="00277500"/>
    <w:rsid w:val="005D5E89"/>
    <w:rsid w:val="008C0653"/>
    <w:rsid w:val="00CD4327"/>
    <w:rsid w:val="00D1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F4D4"/>
  <w15:chartTrackingRefBased/>
  <w15:docId w15:val="{65294FBE-7CC9-4F83-9437-D17EF188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327"/>
    <w:pPr>
      <w:spacing w:before="360" w:after="18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1402</Characters>
  <Application>Microsoft Office Word</Application>
  <DocSecurity>0</DocSecurity>
  <Lines>20</Lines>
  <Paragraphs>2</Paragraphs>
  <ScaleCrop>false</ScaleCrop>
  <Company>Keele University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Collins</dc:creator>
  <cp:keywords/>
  <dc:description/>
  <cp:lastModifiedBy>Aidan Collins</cp:lastModifiedBy>
  <cp:revision>1</cp:revision>
  <dcterms:created xsi:type="dcterms:W3CDTF">2023-02-25T18:01:00Z</dcterms:created>
  <dcterms:modified xsi:type="dcterms:W3CDTF">2023-02-25T18:03:00Z</dcterms:modified>
</cp:coreProperties>
</file>