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3DBE8" w14:textId="0E8A0CCD" w:rsidR="00FE62B4" w:rsidRDefault="009A4471" w:rsidP="00FE62B4">
      <w:pPr>
        <w:pStyle w:val="Heading1"/>
        <w:numPr>
          <w:ilvl w:val="0"/>
          <w:numId w:val="0"/>
        </w:numPr>
        <w:spacing w:after="120"/>
        <w:jc w:val="center"/>
      </w:pPr>
      <w:bookmarkStart w:id="0" w:name="_Toc51236140"/>
      <w:r>
        <w:t>Supplementary</w:t>
      </w:r>
      <w:r w:rsidR="00FE62B4">
        <w:t xml:space="preserve"> Appendix</w:t>
      </w:r>
    </w:p>
    <w:p w14:paraId="14D67A27" w14:textId="133EEE2C" w:rsidR="0020248F" w:rsidRPr="00FE62B4" w:rsidRDefault="0020248F" w:rsidP="008E42B4">
      <w:pPr>
        <w:pStyle w:val="Heading2"/>
      </w:pPr>
      <w:r w:rsidRPr="00FE62B4">
        <w:t>Do Targeted Trade Sanctions Against Chinese Technology Companies Affect U.S. Firms? Evidence from an Event Study</w:t>
      </w:r>
    </w:p>
    <w:bookmarkEnd w:id="0"/>
    <w:p w14:paraId="55864EFB" w14:textId="233A8C36" w:rsidR="00DB576D" w:rsidRPr="00714695" w:rsidRDefault="00DB576D" w:rsidP="008E42B4">
      <w:pPr>
        <w:rPr>
          <w:rFonts w:eastAsiaTheme="minorEastAsia"/>
        </w:rPr>
      </w:pPr>
      <w:r w:rsidRPr="00714695">
        <w:t xml:space="preserve">This </w:t>
      </w:r>
      <w:r w:rsidR="009A4471">
        <w:t xml:space="preserve">“Event Window </w:t>
      </w:r>
      <w:r w:rsidRPr="00714695">
        <w:t>Appendix</w:t>
      </w:r>
      <w:r w:rsidR="009A4471">
        <w:t>”</w:t>
      </w:r>
      <w:r w:rsidRPr="00714695">
        <w:t xml:space="preserve"> catalogues the results of news searches supporting the discussion of three important questions related to the event windows described in the main </w:t>
      </w:r>
      <w:r w:rsidR="00FC2F7C">
        <w:t>article</w:t>
      </w:r>
      <w:r w:rsidRPr="00714695">
        <w:t xml:space="preserve">: (1) </w:t>
      </w:r>
      <w:r w:rsidRPr="00714695">
        <w:rPr>
          <w:rFonts w:eastAsiaTheme="minorEastAsia"/>
        </w:rPr>
        <w:t xml:space="preserve">When is </w:t>
      </w:r>
      <m:oMath>
        <m:r>
          <w:rPr>
            <w:rFonts w:ascii="Cambria Math" w:eastAsiaTheme="minorEastAsia" w:hAnsi="Cambria Math"/>
          </w:rPr>
          <m:t>t=0</m:t>
        </m:r>
      </m:oMath>
      <w:r w:rsidRPr="00714695">
        <w:rPr>
          <w:rFonts w:eastAsiaTheme="minorEastAsia"/>
        </w:rPr>
        <w:t>?</w:t>
      </w:r>
      <w:r w:rsidRPr="00714695">
        <w:t xml:space="preserve">; (2) </w:t>
      </w:r>
      <w:r w:rsidRPr="00714695">
        <w:rPr>
          <w:rFonts w:eastAsiaTheme="minorEastAsia"/>
        </w:rPr>
        <w:t xml:space="preserve">Are there other events in the event windows, particularly on </w:t>
      </w:r>
      <m:oMath>
        <m:r>
          <w:rPr>
            <w:rFonts w:ascii="Cambria Math" w:eastAsiaTheme="minorEastAsia" w:hAnsi="Cambria Math"/>
          </w:rPr>
          <m:t>t=0</m:t>
        </m:r>
      </m:oMath>
      <w:r w:rsidRPr="00714695">
        <w:rPr>
          <w:rFonts w:eastAsiaTheme="minorEastAsia"/>
        </w:rPr>
        <w:t xml:space="preserve">, that could have abnormally affected the </w:t>
      </w:r>
      <w:r>
        <w:rPr>
          <w:rFonts w:eastAsiaTheme="minorEastAsia"/>
        </w:rPr>
        <w:t xml:space="preserve">U.S. </w:t>
      </w:r>
      <w:r w:rsidRPr="00714695">
        <w:rPr>
          <w:rFonts w:eastAsiaTheme="minorEastAsia"/>
        </w:rPr>
        <w:t xml:space="preserve">firms’ returns?; and (3) Were the events anticipated? The Appendix also contains documentation regarding the magnitude check. </w:t>
      </w:r>
    </w:p>
    <w:p w14:paraId="1C90DE69" w14:textId="77777777" w:rsidR="00DB576D" w:rsidRPr="00714695" w:rsidRDefault="00DB576D" w:rsidP="00DB576D">
      <w:pPr>
        <w:ind w:firstLine="432"/>
        <w:rPr>
          <w:rFonts w:eastAsiaTheme="minorEastAsia"/>
        </w:rPr>
      </w:pPr>
      <w:r w:rsidRPr="00714695">
        <w:rPr>
          <w:rFonts w:eastAsiaTheme="minorEastAsia"/>
        </w:rPr>
        <w:t xml:space="preserve">In the following section, I lay out timelines associated with the Entity List aspects of the three events. The next section documents financial and business news that could have abnormally affected the U.S. suppliers during each of the event windows. In the third section, I document the results of a search for news about sanctions around the event dates. The first two sections are geared toward answering questions 1 and 2 listed above. The third section is geared toward addressing question 3. In the final section, I document financial and business news addressing the magnitude check. </w:t>
      </w:r>
    </w:p>
    <w:p w14:paraId="7CB112D8" w14:textId="35D6F636" w:rsidR="00DB576D" w:rsidRPr="00714695" w:rsidRDefault="00DB576D" w:rsidP="00DB576D">
      <w:pPr>
        <w:ind w:firstLine="432"/>
      </w:pPr>
      <w:r w:rsidRPr="00714695">
        <w:rPr>
          <w:rFonts w:eastAsiaTheme="minorEastAsia"/>
        </w:rPr>
        <w:t xml:space="preserve">I consult three types of sources in this Appendix. First, I use U.S. Government documents, where relevant. Second, I triangulate three widely used sources for news affecting financial markets. The first is Seeking Alpha’s Wall Street Breakfast, a pre-trading report that outlines many of the headlines expected to move markets in the upcoming trading day. The second is Bloomberg’s Markets Wrap, a post-trading day recap that summarizes the major events that drove markets. I also review The Wall Street Journal archives for each day in the event windows for a comprehensive set of financial market headlines. The Wall Street Journal typically includes a market recap story similar to Bloomberg’s Markets Wrap. Finally, as </w:t>
      </w:r>
      <w:r>
        <w:rPr>
          <w:rFonts w:eastAsiaTheme="minorEastAsia"/>
        </w:rPr>
        <w:t>reflected</w:t>
      </w:r>
      <w:r w:rsidRPr="00714695">
        <w:rPr>
          <w:rFonts w:eastAsiaTheme="minorEastAsia"/>
        </w:rPr>
        <w:t xml:space="preserve"> in the third section</w:t>
      </w:r>
      <w:r>
        <w:rPr>
          <w:rFonts w:eastAsiaTheme="minorEastAsia"/>
        </w:rPr>
        <w:t xml:space="preserve"> of this Appendix</w:t>
      </w:r>
      <w:r w:rsidRPr="00714695">
        <w:rPr>
          <w:rFonts w:eastAsiaTheme="minorEastAsia"/>
        </w:rPr>
        <w:t>, I conduct a structured news search in Nexis Uni.</w:t>
      </w:r>
      <w:r w:rsidR="00155152">
        <w:rPr>
          <w:rStyle w:val="FootnoteReference"/>
          <w:rFonts w:eastAsiaTheme="minorEastAsia"/>
        </w:rPr>
        <w:footnoteReference w:id="1"/>
      </w:r>
      <w:r w:rsidRPr="00714695">
        <w:rPr>
          <w:rFonts w:eastAsiaTheme="minorEastAsia"/>
        </w:rPr>
        <w:t xml:space="preserve"> </w:t>
      </w:r>
    </w:p>
    <w:p w14:paraId="302CEB38" w14:textId="77777777" w:rsidR="00DB576D" w:rsidRPr="00714695" w:rsidRDefault="00DB576D" w:rsidP="00DB576D">
      <w:pPr>
        <w:pStyle w:val="Heading3"/>
      </w:pPr>
      <w:r w:rsidRPr="00714695">
        <w:t>Entity List Timelines</w:t>
      </w:r>
    </w:p>
    <w:p w14:paraId="46489BD6" w14:textId="020069A8" w:rsidR="00DB576D" w:rsidRPr="00714695" w:rsidRDefault="00DB576D" w:rsidP="00DB576D">
      <w:r w:rsidRPr="00714695">
        <w:t xml:space="preserve">Tables </w:t>
      </w:r>
      <w:r w:rsidR="00A9615B">
        <w:t>A</w:t>
      </w:r>
      <w:r w:rsidR="005F51DF">
        <w:t>1</w:t>
      </w:r>
      <w:r w:rsidRPr="00714695">
        <w:t>-</w:t>
      </w:r>
      <w:r w:rsidR="00A9615B">
        <w:t>A</w:t>
      </w:r>
      <w:r w:rsidR="005F51DF">
        <w:t>3</w:t>
      </w:r>
      <w:r w:rsidRPr="00714695">
        <w:t xml:space="preserve"> document Entity List developments for each of the three events. In addition to documenting Entity List developments during the events windows, the </w:t>
      </w:r>
      <w:r w:rsidRPr="00714695">
        <w:lastRenderedPageBreak/>
        <w:t xml:space="preserve">tables also catalogue future developments related to the companies’ status on the Entity List. </w:t>
      </w:r>
    </w:p>
    <w:p w14:paraId="6A8F2812" w14:textId="4751B4E6" w:rsidR="00DB576D" w:rsidRPr="00770501" w:rsidRDefault="00A51DA1" w:rsidP="00A51DA1">
      <w:pPr>
        <w:pStyle w:val="Caption"/>
        <w:rPr>
          <w:b w:val="0"/>
          <w:iCs w:val="0"/>
          <w:szCs w:val="24"/>
        </w:rPr>
      </w:pPr>
      <w:r>
        <w:t xml:space="preserve">Table </w:t>
      </w:r>
      <w:r w:rsidR="0002383E">
        <w:t>A</w:t>
      </w:r>
      <w:r w:rsidR="00F839C8">
        <w:fldChar w:fldCharType="begin"/>
      </w:r>
      <w:r w:rsidR="00F839C8">
        <w:instrText xml:space="preserve"> SEQ Table \* ARABIC </w:instrText>
      </w:r>
      <w:r w:rsidR="00F839C8">
        <w:fldChar w:fldCharType="separate"/>
      </w:r>
      <w:r w:rsidR="00F25795">
        <w:rPr>
          <w:noProof/>
        </w:rPr>
        <w:t>1</w:t>
      </w:r>
      <w:r w:rsidR="00F839C8">
        <w:rPr>
          <w:noProof/>
        </w:rPr>
        <w:fldChar w:fldCharType="end"/>
      </w:r>
      <w:r w:rsidR="00DB576D" w:rsidRPr="00770501">
        <w:rPr>
          <w:szCs w:val="24"/>
        </w:rPr>
        <w:t>: ZTE Entity List Timeline</w:t>
      </w:r>
    </w:p>
    <w:tbl>
      <w:tblPr>
        <w:tblStyle w:val="TableGrid7"/>
        <w:tblW w:w="7937" w:type="dxa"/>
        <w:tblBorders>
          <w:left w:val="none" w:sz="0" w:space="0" w:color="auto"/>
          <w:right w:val="none" w:sz="0" w:space="0" w:color="auto"/>
          <w:insideV w:val="none" w:sz="0" w:space="0" w:color="auto"/>
        </w:tblBorders>
        <w:tblLook w:val="04A0" w:firstRow="1" w:lastRow="0" w:firstColumn="1" w:lastColumn="0" w:noHBand="0" w:noVBand="1"/>
      </w:tblPr>
      <w:tblGrid>
        <w:gridCol w:w="1313"/>
        <w:gridCol w:w="720"/>
        <w:gridCol w:w="5904"/>
      </w:tblGrid>
      <w:tr w:rsidR="00DB576D" w:rsidRPr="00887008" w14:paraId="6FC54946" w14:textId="77777777" w:rsidTr="00287713">
        <w:trPr>
          <w:trHeight w:val="288"/>
          <w:tblHeader/>
        </w:trPr>
        <w:tc>
          <w:tcPr>
            <w:tcW w:w="1313" w:type="dxa"/>
            <w:tcBorders>
              <w:bottom w:val="single" w:sz="4" w:space="0" w:color="auto"/>
            </w:tcBorders>
            <w:vAlign w:val="center"/>
          </w:tcPr>
          <w:p w14:paraId="110137BF" w14:textId="77777777" w:rsidR="00DB576D" w:rsidRPr="00887008" w:rsidRDefault="00DB576D" w:rsidP="00887008">
            <w:pPr>
              <w:spacing w:before="40"/>
              <w:jc w:val="left"/>
              <w:rPr>
                <w:b/>
                <w:bCs/>
                <w:sz w:val="20"/>
                <w:szCs w:val="20"/>
                <w:lang w:val="de-DE"/>
              </w:rPr>
            </w:pPr>
            <w:r w:rsidRPr="00887008">
              <w:rPr>
                <w:b/>
                <w:bCs/>
                <w:sz w:val="20"/>
                <w:szCs w:val="20"/>
                <w:lang w:val="de-DE"/>
              </w:rPr>
              <w:t>Date</w:t>
            </w:r>
          </w:p>
        </w:tc>
        <w:tc>
          <w:tcPr>
            <w:tcW w:w="720" w:type="dxa"/>
            <w:tcBorders>
              <w:bottom w:val="single" w:sz="4" w:space="0" w:color="auto"/>
            </w:tcBorders>
            <w:vAlign w:val="center"/>
          </w:tcPr>
          <w:p w14:paraId="76C461DE" w14:textId="77777777" w:rsidR="00DB576D" w:rsidRPr="00887008" w:rsidRDefault="00DB576D" w:rsidP="00887008">
            <w:pPr>
              <w:spacing w:before="40"/>
              <w:jc w:val="left"/>
              <w:rPr>
                <w:b/>
                <w:bCs/>
                <w:sz w:val="20"/>
                <w:szCs w:val="20"/>
                <w:lang w:val="de-DE"/>
              </w:rPr>
            </w:pPr>
            <w:r w:rsidRPr="00887008">
              <w:rPr>
                <w:b/>
                <w:bCs/>
                <w:sz w:val="20"/>
                <w:szCs w:val="20"/>
                <w:lang w:val="de-DE"/>
              </w:rPr>
              <w:t>t</w:t>
            </w:r>
          </w:p>
        </w:tc>
        <w:tc>
          <w:tcPr>
            <w:tcW w:w="5904" w:type="dxa"/>
            <w:tcBorders>
              <w:bottom w:val="single" w:sz="4" w:space="0" w:color="auto"/>
            </w:tcBorders>
            <w:vAlign w:val="center"/>
          </w:tcPr>
          <w:p w14:paraId="66EB666D" w14:textId="77777777" w:rsidR="00DB576D" w:rsidRPr="00887008" w:rsidRDefault="00DB576D" w:rsidP="00887008">
            <w:pPr>
              <w:spacing w:before="40"/>
              <w:jc w:val="left"/>
              <w:rPr>
                <w:b/>
                <w:bCs/>
                <w:sz w:val="20"/>
                <w:szCs w:val="20"/>
                <w:lang w:val="de-DE"/>
              </w:rPr>
            </w:pPr>
            <w:r w:rsidRPr="00887008">
              <w:rPr>
                <w:b/>
                <w:bCs/>
                <w:sz w:val="20"/>
                <w:szCs w:val="20"/>
                <w:lang w:val="de-DE"/>
              </w:rPr>
              <w:t>Entity List Development</w:t>
            </w:r>
          </w:p>
        </w:tc>
      </w:tr>
      <w:tr w:rsidR="00DB576D" w:rsidRPr="00887008" w14:paraId="395B534F" w14:textId="77777777" w:rsidTr="00287713">
        <w:trPr>
          <w:trHeight w:val="720"/>
        </w:trPr>
        <w:tc>
          <w:tcPr>
            <w:tcW w:w="1313" w:type="dxa"/>
            <w:vMerge w:val="restart"/>
            <w:vAlign w:val="center"/>
          </w:tcPr>
          <w:p w14:paraId="7E98EEEC" w14:textId="77777777" w:rsidR="00DB576D" w:rsidRPr="00887008" w:rsidRDefault="00DB576D" w:rsidP="00887008">
            <w:pPr>
              <w:spacing w:before="40"/>
              <w:jc w:val="left"/>
              <w:rPr>
                <w:sz w:val="20"/>
                <w:szCs w:val="20"/>
                <w:lang w:val="de-DE"/>
              </w:rPr>
            </w:pPr>
            <w:r w:rsidRPr="00887008">
              <w:rPr>
                <w:sz w:val="20"/>
                <w:szCs w:val="20"/>
                <w:lang w:val="de-DE"/>
              </w:rPr>
              <w:t>03/07/2016</w:t>
            </w:r>
          </w:p>
        </w:tc>
        <w:tc>
          <w:tcPr>
            <w:tcW w:w="720" w:type="dxa"/>
            <w:vMerge w:val="restart"/>
            <w:vAlign w:val="center"/>
          </w:tcPr>
          <w:p w14:paraId="4C12D489" w14:textId="77777777" w:rsidR="00DB576D" w:rsidRPr="00887008" w:rsidRDefault="00DB576D" w:rsidP="00887008">
            <w:pPr>
              <w:spacing w:before="40"/>
              <w:jc w:val="left"/>
              <w:rPr>
                <w:sz w:val="20"/>
                <w:szCs w:val="20"/>
              </w:rPr>
            </w:pPr>
            <w:r w:rsidRPr="00887008">
              <w:rPr>
                <w:sz w:val="20"/>
                <w:szCs w:val="20"/>
              </w:rPr>
              <w:t>-1</w:t>
            </w:r>
          </w:p>
        </w:tc>
        <w:tc>
          <w:tcPr>
            <w:tcW w:w="5904" w:type="dxa"/>
            <w:tcBorders>
              <w:bottom w:val="nil"/>
            </w:tcBorders>
            <w:vAlign w:val="center"/>
          </w:tcPr>
          <w:p w14:paraId="09706EE7" w14:textId="77777777" w:rsidR="00DB576D" w:rsidRPr="00887008" w:rsidRDefault="00DB576D" w:rsidP="00887008">
            <w:pPr>
              <w:spacing w:before="40"/>
              <w:jc w:val="left"/>
              <w:rPr>
                <w:sz w:val="20"/>
                <w:szCs w:val="20"/>
              </w:rPr>
            </w:pPr>
            <w:r w:rsidRPr="00887008">
              <w:rPr>
                <w:sz w:val="20"/>
                <w:szCs w:val="20"/>
              </w:rPr>
              <w:t>BIS announces addition of ZTE to the Entity List and publishes documents demonstrating that ZTE maintained coordinated plans to circumvent U.S. export controls.</w:t>
            </w:r>
            <w:r w:rsidRPr="00887008">
              <w:rPr>
                <w:sz w:val="20"/>
                <w:szCs w:val="20"/>
                <w:vertAlign w:val="superscript"/>
              </w:rPr>
              <w:endnoteReference w:id="1"/>
            </w:r>
            <w:r w:rsidRPr="00887008">
              <w:rPr>
                <w:sz w:val="20"/>
                <w:szCs w:val="20"/>
              </w:rPr>
              <w:t xml:space="preserve"> </w:t>
            </w:r>
          </w:p>
        </w:tc>
      </w:tr>
      <w:tr w:rsidR="00DB576D" w:rsidRPr="00887008" w14:paraId="6298FEE6" w14:textId="77777777" w:rsidTr="00287713">
        <w:trPr>
          <w:trHeight w:val="432"/>
        </w:trPr>
        <w:tc>
          <w:tcPr>
            <w:tcW w:w="1313" w:type="dxa"/>
            <w:vMerge/>
            <w:tcBorders>
              <w:bottom w:val="single" w:sz="4" w:space="0" w:color="auto"/>
            </w:tcBorders>
            <w:vAlign w:val="center"/>
          </w:tcPr>
          <w:p w14:paraId="7F97CACC" w14:textId="77777777" w:rsidR="00DB576D" w:rsidRPr="00887008" w:rsidRDefault="00DB576D" w:rsidP="00887008">
            <w:pPr>
              <w:spacing w:before="40"/>
              <w:jc w:val="left"/>
              <w:rPr>
                <w:sz w:val="20"/>
                <w:szCs w:val="20"/>
              </w:rPr>
            </w:pPr>
          </w:p>
        </w:tc>
        <w:tc>
          <w:tcPr>
            <w:tcW w:w="720" w:type="dxa"/>
            <w:vMerge/>
            <w:tcBorders>
              <w:bottom w:val="single" w:sz="4" w:space="0" w:color="auto"/>
            </w:tcBorders>
            <w:vAlign w:val="center"/>
          </w:tcPr>
          <w:p w14:paraId="7D4BF0C9"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656158D0" w14:textId="1EA3E95F" w:rsidR="00DB576D" w:rsidRPr="00887008" w:rsidRDefault="00DB576D" w:rsidP="00887008">
            <w:pPr>
              <w:spacing w:before="40"/>
              <w:jc w:val="left"/>
              <w:rPr>
                <w:sz w:val="20"/>
                <w:szCs w:val="20"/>
              </w:rPr>
            </w:pPr>
            <w:r w:rsidRPr="00887008">
              <w:rPr>
                <w:sz w:val="20"/>
                <w:szCs w:val="20"/>
              </w:rPr>
              <w:t>The story is reported by Reuters, Seeking Alpha, and the Wall Street Journal.</w:t>
            </w:r>
            <w:r w:rsidRPr="00887008">
              <w:rPr>
                <w:sz w:val="20"/>
                <w:szCs w:val="20"/>
                <w:vertAlign w:val="superscript"/>
              </w:rPr>
              <w:endnoteReference w:id="2"/>
            </w:r>
            <w:r w:rsidRPr="00887008">
              <w:rPr>
                <w:sz w:val="20"/>
                <w:szCs w:val="20"/>
              </w:rPr>
              <w:t xml:space="preserve"> The action is not reported in Bloomberg’s market summary.</w:t>
            </w:r>
            <w:r w:rsidRPr="00887008">
              <w:rPr>
                <w:sz w:val="20"/>
                <w:szCs w:val="20"/>
                <w:vertAlign w:val="superscript"/>
              </w:rPr>
              <w:endnoteReference w:id="3"/>
            </w:r>
          </w:p>
        </w:tc>
      </w:tr>
      <w:tr w:rsidR="00DB576D" w:rsidRPr="00887008" w14:paraId="3A20742B" w14:textId="77777777" w:rsidTr="00287713">
        <w:trPr>
          <w:trHeight w:val="288"/>
        </w:trPr>
        <w:tc>
          <w:tcPr>
            <w:tcW w:w="1313" w:type="dxa"/>
            <w:vMerge w:val="restart"/>
            <w:vAlign w:val="center"/>
          </w:tcPr>
          <w:p w14:paraId="2277A781" w14:textId="77777777" w:rsidR="00DB576D" w:rsidRPr="00887008" w:rsidRDefault="00DB576D" w:rsidP="00887008">
            <w:pPr>
              <w:spacing w:before="40"/>
              <w:jc w:val="left"/>
              <w:rPr>
                <w:sz w:val="20"/>
                <w:szCs w:val="20"/>
              </w:rPr>
            </w:pPr>
            <w:r w:rsidRPr="00887008">
              <w:rPr>
                <w:sz w:val="20"/>
                <w:szCs w:val="20"/>
              </w:rPr>
              <w:t>03/08/2016</w:t>
            </w:r>
          </w:p>
        </w:tc>
        <w:tc>
          <w:tcPr>
            <w:tcW w:w="720" w:type="dxa"/>
            <w:vMerge w:val="restart"/>
            <w:vAlign w:val="center"/>
          </w:tcPr>
          <w:p w14:paraId="6361D38E" w14:textId="77777777" w:rsidR="00DB576D" w:rsidRPr="00887008" w:rsidRDefault="00DB576D" w:rsidP="00887008">
            <w:pPr>
              <w:spacing w:before="40"/>
              <w:jc w:val="left"/>
              <w:rPr>
                <w:sz w:val="20"/>
                <w:szCs w:val="20"/>
              </w:rPr>
            </w:pPr>
            <w:r w:rsidRPr="00887008">
              <w:rPr>
                <w:sz w:val="20"/>
                <w:szCs w:val="20"/>
              </w:rPr>
              <w:t>0</w:t>
            </w:r>
          </w:p>
        </w:tc>
        <w:tc>
          <w:tcPr>
            <w:tcW w:w="5904" w:type="dxa"/>
            <w:tcBorders>
              <w:bottom w:val="nil"/>
            </w:tcBorders>
            <w:vAlign w:val="center"/>
          </w:tcPr>
          <w:p w14:paraId="3AFDEAAB" w14:textId="77777777" w:rsidR="00DB576D" w:rsidRPr="00887008" w:rsidRDefault="00DB576D" w:rsidP="00887008">
            <w:pPr>
              <w:spacing w:before="40"/>
              <w:jc w:val="left"/>
              <w:rPr>
                <w:sz w:val="20"/>
                <w:szCs w:val="20"/>
              </w:rPr>
            </w:pPr>
            <w:r w:rsidRPr="00887008">
              <w:rPr>
                <w:sz w:val="20"/>
                <w:szCs w:val="20"/>
              </w:rPr>
              <w:t xml:space="preserve">First full day of trading after the announcement. </w:t>
            </w:r>
          </w:p>
        </w:tc>
      </w:tr>
      <w:tr w:rsidR="00DB576D" w:rsidRPr="00887008" w14:paraId="7F21FE28" w14:textId="77777777" w:rsidTr="00887008">
        <w:trPr>
          <w:trHeight w:val="432"/>
        </w:trPr>
        <w:tc>
          <w:tcPr>
            <w:tcW w:w="1313" w:type="dxa"/>
            <w:vMerge/>
            <w:vAlign w:val="center"/>
          </w:tcPr>
          <w:p w14:paraId="0A156B7E" w14:textId="77777777" w:rsidR="00DB576D" w:rsidRPr="00887008" w:rsidRDefault="00DB576D" w:rsidP="00887008">
            <w:pPr>
              <w:spacing w:before="40"/>
              <w:jc w:val="left"/>
              <w:rPr>
                <w:sz w:val="20"/>
                <w:szCs w:val="20"/>
              </w:rPr>
            </w:pPr>
          </w:p>
        </w:tc>
        <w:tc>
          <w:tcPr>
            <w:tcW w:w="720" w:type="dxa"/>
            <w:vMerge/>
            <w:vAlign w:val="center"/>
          </w:tcPr>
          <w:p w14:paraId="72C97A64"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36694251" w14:textId="77777777" w:rsidR="00DB576D" w:rsidRPr="00887008" w:rsidRDefault="00DB576D" w:rsidP="00887008">
            <w:pPr>
              <w:spacing w:before="40"/>
              <w:jc w:val="left"/>
              <w:rPr>
                <w:sz w:val="20"/>
                <w:szCs w:val="20"/>
              </w:rPr>
            </w:pPr>
            <w:r w:rsidRPr="00887008">
              <w:rPr>
                <w:sz w:val="20"/>
                <w:szCs w:val="20"/>
              </w:rPr>
              <w:t>Effective date of ZTE’s addition to the Entity List and corresponding Federal Register notice.</w:t>
            </w:r>
            <w:r w:rsidRPr="00887008">
              <w:rPr>
                <w:sz w:val="20"/>
                <w:szCs w:val="20"/>
                <w:vertAlign w:val="superscript"/>
              </w:rPr>
              <w:endnoteReference w:id="4"/>
            </w:r>
          </w:p>
        </w:tc>
      </w:tr>
      <w:tr w:rsidR="00DB576D" w:rsidRPr="00887008" w14:paraId="3E65C2F1" w14:textId="77777777" w:rsidTr="00287713">
        <w:trPr>
          <w:trHeight w:val="288"/>
        </w:trPr>
        <w:tc>
          <w:tcPr>
            <w:tcW w:w="1313" w:type="dxa"/>
            <w:vMerge/>
            <w:vAlign w:val="center"/>
          </w:tcPr>
          <w:p w14:paraId="5620317A" w14:textId="77777777" w:rsidR="00DB576D" w:rsidRPr="00887008" w:rsidRDefault="00DB576D" w:rsidP="00887008">
            <w:pPr>
              <w:spacing w:before="40"/>
              <w:jc w:val="left"/>
              <w:rPr>
                <w:sz w:val="20"/>
                <w:szCs w:val="20"/>
              </w:rPr>
            </w:pPr>
          </w:p>
        </w:tc>
        <w:tc>
          <w:tcPr>
            <w:tcW w:w="720" w:type="dxa"/>
            <w:vMerge/>
            <w:vAlign w:val="center"/>
          </w:tcPr>
          <w:p w14:paraId="2C16F35B" w14:textId="77777777" w:rsidR="00DB576D" w:rsidRPr="00887008" w:rsidRDefault="00DB576D" w:rsidP="00887008">
            <w:pPr>
              <w:spacing w:before="40"/>
              <w:jc w:val="left"/>
              <w:rPr>
                <w:sz w:val="20"/>
                <w:szCs w:val="20"/>
              </w:rPr>
            </w:pPr>
          </w:p>
        </w:tc>
        <w:tc>
          <w:tcPr>
            <w:tcW w:w="5904" w:type="dxa"/>
            <w:tcBorders>
              <w:top w:val="nil"/>
            </w:tcBorders>
            <w:vAlign w:val="center"/>
          </w:tcPr>
          <w:p w14:paraId="0782C254" w14:textId="77777777" w:rsidR="00DB576D" w:rsidRPr="00887008" w:rsidRDefault="00DB576D" w:rsidP="00887008">
            <w:pPr>
              <w:spacing w:before="40"/>
              <w:jc w:val="left"/>
              <w:rPr>
                <w:sz w:val="20"/>
                <w:szCs w:val="20"/>
              </w:rPr>
            </w:pPr>
            <w:r w:rsidRPr="00887008">
              <w:rPr>
                <w:sz w:val="20"/>
                <w:szCs w:val="20"/>
              </w:rPr>
              <w:t>Action cited in Seeking Alpha’s markets-oriented report.</w:t>
            </w:r>
            <w:r w:rsidRPr="00887008">
              <w:rPr>
                <w:sz w:val="20"/>
                <w:szCs w:val="20"/>
                <w:vertAlign w:val="superscript"/>
              </w:rPr>
              <w:endnoteReference w:id="5"/>
            </w:r>
          </w:p>
        </w:tc>
      </w:tr>
      <w:tr w:rsidR="00DB576D" w:rsidRPr="00887008" w14:paraId="7538BBE5" w14:textId="77777777" w:rsidTr="00287713">
        <w:trPr>
          <w:trHeight w:val="432"/>
        </w:trPr>
        <w:tc>
          <w:tcPr>
            <w:tcW w:w="1313" w:type="dxa"/>
            <w:vAlign w:val="center"/>
          </w:tcPr>
          <w:p w14:paraId="60F47AC1" w14:textId="67E36738" w:rsidR="00DB576D" w:rsidRPr="00887008" w:rsidRDefault="006A018D" w:rsidP="00887008">
            <w:pPr>
              <w:spacing w:before="40"/>
              <w:jc w:val="left"/>
              <w:rPr>
                <w:sz w:val="20"/>
                <w:szCs w:val="20"/>
              </w:rPr>
            </w:pPr>
            <w:r>
              <w:rPr>
                <w:sz w:val="20"/>
                <w:szCs w:val="20"/>
              </w:rPr>
              <w:t>0</w:t>
            </w:r>
            <w:r w:rsidR="00DB576D" w:rsidRPr="00887008">
              <w:rPr>
                <w:sz w:val="20"/>
                <w:szCs w:val="20"/>
              </w:rPr>
              <w:t>3/15/201</w:t>
            </w:r>
            <w:r>
              <w:rPr>
                <w:sz w:val="20"/>
                <w:szCs w:val="20"/>
              </w:rPr>
              <w:t>6</w:t>
            </w:r>
          </w:p>
        </w:tc>
        <w:tc>
          <w:tcPr>
            <w:tcW w:w="720" w:type="dxa"/>
            <w:vAlign w:val="center"/>
          </w:tcPr>
          <w:p w14:paraId="1E162AD6" w14:textId="77777777" w:rsidR="00DB576D" w:rsidRPr="00887008" w:rsidRDefault="00DB576D" w:rsidP="00887008">
            <w:pPr>
              <w:spacing w:before="40"/>
              <w:jc w:val="left"/>
              <w:rPr>
                <w:sz w:val="20"/>
                <w:szCs w:val="20"/>
              </w:rPr>
            </w:pPr>
            <w:r w:rsidRPr="00887008">
              <w:rPr>
                <w:sz w:val="20"/>
                <w:szCs w:val="20"/>
              </w:rPr>
              <w:t>5</w:t>
            </w:r>
          </w:p>
        </w:tc>
        <w:tc>
          <w:tcPr>
            <w:tcW w:w="5904" w:type="dxa"/>
            <w:vAlign w:val="center"/>
          </w:tcPr>
          <w:p w14:paraId="53761CB9" w14:textId="77777777" w:rsidR="00DB576D" w:rsidRPr="00887008" w:rsidRDefault="00DB576D" w:rsidP="00887008">
            <w:pPr>
              <w:spacing w:before="40"/>
              <w:jc w:val="left"/>
              <w:rPr>
                <w:sz w:val="20"/>
                <w:szCs w:val="20"/>
              </w:rPr>
            </w:pPr>
            <w:r w:rsidRPr="00887008">
              <w:rPr>
                <w:sz w:val="20"/>
                <w:szCs w:val="20"/>
              </w:rPr>
              <w:t>Reports late in the day indicating the Commerce Department is in talks with ZTE to review its status on the Entity List.</w:t>
            </w:r>
            <w:r w:rsidRPr="00887008">
              <w:rPr>
                <w:sz w:val="20"/>
                <w:szCs w:val="20"/>
                <w:vertAlign w:val="superscript"/>
              </w:rPr>
              <w:endnoteReference w:id="6"/>
            </w:r>
          </w:p>
        </w:tc>
      </w:tr>
      <w:tr w:rsidR="00DB576D" w:rsidRPr="00887008" w14:paraId="19A2C626" w14:textId="77777777" w:rsidTr="00287713">
        <w:trPr>
          <w:trHeight w:val="720"/>
        </w:trPr>
        <w:tc>
          <w:tcPr>
            <w:tcW w:w="1313" w:type="dxa"/>
            <w:vAlign w:val="center"/>
          </w:tcPr>
          <w:p w14:paraId="1C8D4677" w14:textId="77777777" w:rsidR="00DB576D" w:rsidRPr="00887008" w:rsidRDefault="00DB576D" w:rsidP="00887008">
            <w:pPr>
              <w:spacing w:before="40"/>
              <w:jc w:val="left"/>
              <w:rPr>
                <w:sz w:val="20"/>
                <w:szCs w:val="20"/>
              </w:rPr>
            </w:pPr>
            <w:r w:rsidRPr="00887008">
              <w:rPr>
                <w:sz w:val="20"/>
                <w:szCs w:val="20"/>
              </w:rPr>
              <w:t>03/24/2016</w:t>
            </w:r>
          </w:p>
        </w:tc>
        <w:tc>
          <w:tcPr>
            <w:tcW w:w="720" w:type="dxa"/>
            <w:vAlign w:val="center"/>
          </w:tcPr>
          <w:p w14:paraId="72D509E3" w14:textId="77777777" w:rsidR="00DB576D" w:rsidRPr="00887008" w:rsidRDefault="00DB576D" w:rsidP="00887008">
            <w:pPr>
              <w:spacing w:before="40"/>
              <w:jc w:val="left"/>
              <w:rPr>
                <w:sz w:val="20"/>
                <w:szCs w:val="20"/>
              </w:rPr>
            </w:pPr>
            <w:r w:rsidRPr="00887008">
              <w:rPr>
                <w:sz w:val="20"/>
                <w:szCs w:val="20"/>
              </w:rPr>
              <w:t>-</w:t>
            </w:r>
          </w:p>
        </w:tc>
        <w:tc>
          <w:tcPr>
            <w:tcW w:w="5904" w:type="dxa"/>
            <w:vAlign w:val="center"/>
          </w:tcPr>
          <w:p w14:paraId="71E92E51" w14:textId="77777777" w:rsidR="00DB576D" w:rsidRPr="00887008" w:rsidRDefault="00DB576D" w:rsidP="00887008">
            <w:pPr>
              <w:spacing w:before="40"/>
              <w:jc w:val="left"/>
              <w:rPr>
                <w:sz w:val="20"/>
                <w:szCs w:val="20"/>
              </w:rPr>
            </w:pPr>
            <w:r w:rsidRPr="00887008">
              <w:rPr>
                <w:sz w:val="20"/>
                <w:szCs w:val="20"/>
              </w:rPr>
              <w:t xml:space="preserve">Effective date and Federal Register publication of BIS Temporary General License (TGL) to “restore temporarily the </w:t>
            </w:r>
            <w:r w:rsidRPr="00887008">
              <w:rPr>
                <w:i/>
                <w:iCs/>
                <w:sz w:val="20"/>
                <w:szCs w:val="20"/>
              </w:rPr>
              <w:t>status quo ante</w:t>
            </w:r>
            <w:r w:rsidRPr="00887008">
              <w:rPr>
                <w:sz w:val="20"/>
                <w:szCs w:val="20"/>
              </w:rPr>
              <w:t xml:space="preserve"> licensing policy” for ZTE until June 30, 2016.</w:t>
            </w:r>
            <w:r w:rsidRPr="00887008">
              <w:rPr>
                <w:sz w:val="20"/>
                <w:szCs w:val="20"/>
                <w:vertAlign w:val="superscript"/>
              </w:rPr>
              <w:endnoteReference w:id="7"/>
            </w:r>
          </w:p>
        </w:tc>
      </w:tr>
      <w:tr w:rsidR="00DB576D" w:rsidRPr="00887008" w14:paraId="78695666" w14:textId="77777777" w:rsidTr="00287713">
        <w:trPr>
          <w:trHeight w:val="288"/>
        </w:trPr>
        <w:tc>
          <w:tcPr>
            <w:tcW w:w="1313" w:type="dxa"/>
            <w:vAlign w:val="center"/>
          </w:tcPr>
          <w:p w14:paraId="149868DD" w14:textId="77777777" w:rsidR="00DB576D" w:rsidRPr="00887008" w:rsidRDefault="00DB576D" w:rsidP="00887008">
            <w:pPr>
              <w:spacing w:before="40"/>
              <w:jc w:val="left"/>
              <w:rPr>
                <w:sz w:val="20"/>
                <w:szCs w:val="20"/>
              </w:rPr>
            </w:pPr>
            <w:r w:rsidRPr="00887008">
              <w:rPr>
                <w:sz w:val="20"/>
                <w:szCs w:val="20"/>
              </w:rPr>
              <w:t>06/28/2016</w:t>
            </w:r>
          </w:p>
        </w:tc>
        <w:tc>
          <w:tcPr>
            <w:tcW w:w="720" w:type="dxa"/>
            <w:vAlign w:val="center"/>
          </w:tcPr>
          <w:p w14:paraId="35FB9D95" w14:textId="77777777" w:rsidR="00DB576D" w:rsidRPr="00887008" w:rsidRDefault="00DB576D" w:rsidP="00887008">
            <w:pPr>
              <w:spacing w:before="40"/>
              <w:jc w:val="left"/>
              <w:rPr>
                <w:sz w:val="20"/>
                <w:szCs w:val="20"/>
              </w:rPr>
            </w:pPr>
            <w:r w:rsidRPr="00887008">
              <w:rPr>
                <w:sz w:val="20"/>
                <w:szCs w:val="20"/>
              </w:rPr>
              <w:t>-</w:t>
            </w:r>
          </w:p>
        </w:tc>
        <w:tc>
          <w:tcPr>
            <w:tcW w:w="5904" w:type="dxa"/>
            <w:vAlign w:val="center"/>
          </w:tcPr>
          <w:p w14:paraId="10D938EB" w14:textId="77777777" w:rsidR="00DB576D" w:rsidRPr="00887008" w:rsidRDefault="00DB576D" w:rsidP="00887008">
            <w:pPr>
              <w:spacing w:before="40"/>
              <w:jc w:val="left"/>
              <w:rPr>
                <w:sz w:val="20"/>
                <w:szCs w:val="20"/>
              </w:rPr>
            </w:pPr>
            <w:r w:rsidRPr="00887008">
              <w:rPr>
                <w:sz w:val="20"/>
                <w:szCs w:val="20"/>
              </w:rPr>
              <w:t>Extension of TGL</w:t>
            </w:r>
            <w:r w:rsidRPr="00887008">
              <w:rPr>
                <w:sz w:val="20"/>
                <w:szCs w:val="20"/>
                <w:vertAlign w:val="superscript"/>
              </w:rPr>
              <w:endnoteReference w:id="8"/>
            </w:r>
          </w:p>
        </w:tc>
      </w:tr>
      <w:tr w:rsidR="00DB576D" w:rsidRPr="00887008" w14:paraId="180E0DEE" w14:textId="77777777" w:rsidTr="00287713">
        <w:trPr>
          <w:trHeight w:val="288"/>
        </w:trPr>
        <w:tc>
          <w:tcPr>
            <w:tcW w:w="1313" w:type="dxa"/>
            <w:vAlign w:val="center"/>
          </w:tcPr>
          <w:p w14:paraId="7C248EBF" w14:textId="77777777" w:rsidR="00DB576D" w:rsidRPr="00887008" w:rsidRDefault="00DB576D" w:rsidP="00887008">
            <w:pPr>
              <w:spacing w:before="40"/>
              <w:jc w:val="left"/>
              <w:rPr>
                <w:sz w:val="20"/>
                <w:szCs w:val="20"/>
              </w:rPr>
            </w:pPr>
            <w:r w:rsidRPr="00887008">
              <w:rPr>
                <w:sz w:val="20"/>
                <w:szCs w:val="20"/>
              </w:rPr>
              <w:t>08/19/2016</w:t>
            </w:r>
          </w:p>
        </w:tc>
        <w:tc>
          <w:tcPr>
            <w:tcW w:w="720" w:type="dxa"/>
            <w:vAlign w:val="center"/>
          </w:tcPr>
          <w:p w14:paraId="218533CB" w14:textId="77777777" w:rsidR="00DB576D" w:rsidRPr="00887008" w:rsidRDefault="00DB576D" w:rsidP="00887008">
            <w:pPr>
              <w:spacing w:before="40"/>
              <w:jc w:val="left"/>
              <w:rPr>
                <w:sz w:val="20"/>
                <w:szCs w:val="20"/>
              </w:rPr>
            </w:pPr>
            <w:r w:rsidRPr="00887008">
              <w:rPr>
                <w:sz w:val="20"/>
                <w:szCs w:val="20"/>
              </w:rPr>
              <w:t>-</w:t>
            </w:r>
          </w:p>
        </w:tc>
        <w:tc>
          <w:tcPr>
            <w:tcW w:w="5904" w:type="dxa"/>
            <w:vAlign w:val="center"/>
          </w:tcPr>
          <w:p w14:paraId="0E20B6B6" w14:textId="77777777" w:rsidR="00DB576D" w:rsidRPr="00887008" w:rsidRDefault="00DB576D" w:rsidP="00887008">
            <w:pPr>
              <w:spacing w:before="40"/>
              <w:jc w:val="left"/>
              <w:rPr>
                <w:sz w:val="20"/>
                <w:szCs w:val="20"/>
              </w:rPr>
            </w:pPr>
            <w:r w:rsidRPr="00887008">
              <w:rPr>
                <w:sz w:val="20"/>
                <w:szCs w:val="20"/>
              </w:rPr>
              <w:t>Extension of TGL</w:t>
            </w:r>
            <w:r w:rsidRPr="00887008">
              <w:rPr>
                <w:sz w:val="20"/>
                <w:szCs w:val="20"/>
                <w:vertAlign w:val="superscript"/>
              </w:rPr>
              <w:endnoteReference w:id="9"/>
            </w:r>
          </w:p>
        </w:tc>
      </w:tr>
      <w:tr w:rsidR="00DB576D" w:rsidRPr="00887008" w14:paraId="17473332" w14:textId="77777777" w:rsidTr="00287713">
        <w:trPr>
          <w:trHeight w:val="288"/>
        </w:trPr>
        <w:tc>
          <w:tcPr>
            <w:tcW w:w="1313" w:type="dxa"/>
            <w:vAlign w:val="center"/>
          </w:tcPr>
          <w:p w14:paraId="6E392492" w14:textId="77777777" w:rsidR="00DB576D" w:rsidRPr="00887008" w:rsidRDefault="00DB576D" w:rsidP="00887008">
            <w:pPr>
              <w:spacing w:before="40"/>
              <w:jc w:val="left"/>
              <w:rPr>
                <w:sz w:val="20"/>
                <w:szCs w:val="20"/>
              </w:rPr>
            </w:pPr>
            <w:r w:rsidRPr="00887008">
              <w:rPr>
                <w:sz w:val="20"/>
                <w:szCs w:val="20"/>
              </w:rPr>
              <w:t>11/18/2016</w:t>
            </w:r>
          </w:p>
        </w:tc>
        <w:tc>
          <w:tcPr>
            <w:tcW w:w="720" w:type="dxa"/>
            <w:vAlign w:val="center"/>
          </w:tcPr>
          <w:p w14:paraId="213CEF53" w14:textId="77777777" w:rsidR="00DB576D" w:rsidRPr="00887008" w:rsidRDefault="00DB576D" w:rsidP="00887008">
            <w:pPr>
              <w:spacing w:before="40"/>
              <w:jc w:val="left"/>
              <w:rPr>
                <w:sz w:val="20"/>
                <w:szCs w:val="20"/>
              </w:rPr>
            </w:pPr>
            <w:r w:rsidRPr="00887008">
              <w:rPr>
                <w:sz w:val="20"/>
                <w:szCs w:val="20"/>
              </w:rPr>
              <w:t>-</w:t>
            </w:r>
          </w:p>
        </w:tc>
        <w:tc>
          <w:tcPr>
            <w:tcW w:w="5904" w:type="dxa"/>
            <w:vAlign w:val="center"/>
          </w:tcPr>
          <w:p w14:paraId="39B6076A" w14:textId="77777777" w:rsidR="00DB576D" w:rsidRPr="00887008" w:rsidRDefault="00DB576D" w:rsidP="00887008">
            <w:pPr>
              <w:spacing w:before="40"/>
              <w:jc w:val="left"/>
              <w:rPr>
                <w:sz w:val="20"/>
                <w:szCs w:val="20"/>
              </w:rPr>
            </w:pPr>
            <w:r w:rsidRPr="00887008">
              <w:rPr>
                <w:sz w:val="20"/>
                <w:szCs w:val="20"/>
              </w:rPr>
              <w:t>Extension of TGL</w:t>
            </w:r>
            <w:r w:rsidRPr="00887008">
              <w:rPr>
                <w:sz w:val="20"/>
                <w:szCs w:val="20"/>
                <w:vertAlign w:val="superscript"/>
              </w:rPr>
              <w:endnoteReference w:id="10"/>
            </w:r>
          </w:p>
        </w:tc>
      </w:tr>
      <w:tr w:rsidR="00DB576D" w:rsidRPr="00887008" w14:paraId="47D80F19" w14:textId="77777777" w:rsidTr="00287713">
        <w:trPr>
          <w:trHeight w:val="288"/>
        </w:trPr>
        <w:tc>
          <w:tcPr>
            <w:tcW w:w="1313" w:type="dxa"/>
            <w:vAlign w:val="center"/>
          </w:tcPr>
          <w:p w14:paraId="2183B5CB" w14:textId="77777777" w:rsidR="00DB576D" w:rsidRPr="00887008" w:rsidRDefault="00DB576D" w:rsidP="00887008">
            <w:pPr>
              <w:spacing w:before="40"/>
              <w:jc w:val="left"/>
              <w:rPr>
                <w:sz w:val="20"/>
                <w:szCs w:val="20"/>
              </w:rPr>
            </w:pPr>
            <w:r w:rsidRPr="00887008">
              <w:rPr>
                <w:sz w:val="20"/>
                <w:szCs w:val="20"/>
              </w:rPr>
              <w:t>02/24/2017</w:t>
            </w:r>
          </w:p>
        </w:tc>
        <w:tc>
          <w:tcPr>
            <w:tcW w:w="720" w:type="dxa"/>
            <w:vAlign w:val="center"/>
          </w:tcPr>
          <w:p w14:paraId="54E2022A" w14:textId="77777777" w:rsidR="00DB576D" w:rsidRPr="00887008" w:rsidRDefault="00DB576D" w:rsidP="00887008">
            <w:pPr>
              <w:spacing w:before="40"/>
              <w:jc w:val="left"/>
              <w:rPr>
                <w:sz w:val="20"/>
                <w:szCs w:val="20"/>
              </w:rPr>
            </w:pPr>
            <w:r w:rsidRPr="00887008">
              <w:rPr>
                <w:sz w:val="20"/>
                <w:szCs w:val="20"/>
              </w:rPr>
              <w:t>-</w:t>
            </w:r>
          </w:p>
        </w:tc>
        <w:tc>
          <w:tcPr>
            <w:tcW w:w="5904" w:type="dxa"/>
            <w:vAlign w:val="center"/>
          </w:tcPr>
          <w:p w14:paraId="7D79E1CA" w14:textId="77777777" w:rsidR="00DB576D" w:rsidRPr="00887008" w:rsidRDefault="00DB576D" w:rsidP="00887008">
            <w:pPr>
              <w:spacing w:before="40"/>
              <w:jc w:val="left"/>
              <w:rPr>
                <w:sz w:val="20"/>
                <w:szCs w:val="20"/>
              </w:rPr>
            </w:pPr>
            <w:r w:rsidRPr="00887008">
              <w:rPr>
                <w:sz w:val="20"/>
                <w:szCs w:val="20"/>
              </w:rPr>
              <w:t>Extension of TGL</w:t>
            </w:r>
            <w:r w:rsidRPr="00887008">
              <w:rPr>
                <w:sz w:val="20"/>
                <w:szCs w:val="20"/>
                <w:vertAlign w:val="superscript"/>
              </w:rPr>
              <w:endnoteReference w:id="11"/>
            </w:r>
          </w:p>
        </w:tc>
      </w:tr>
      <w:tr w:rsidR="00DB576D" w:rsidRPr="00887008" w14:paraId="37FDE430" w14:textId="77777777" w:rsidTr="00287713">
        <w:trPr>
          <w:trHeight w:val="288"/>
        </w:trPr>
        <w:tc>
          <w:tcPr>
            <w:tcW w:w="1313" w:type="dxa"/>
            <w:vAlign w:val="center"/>
          </w:tcPr>
          <w:p w14:paraId="46C810B7" w14:textId="77777777" w:rsidR="00DB576D" w:rsidRPr="00887008" w:rsidRDefault="00DB576D" w:rsidP="00887008">
            <w:pPr>
              <w:spacing w:before="40"/>
              <w:jc w:val="left"/>
              <w:rPr>
                <w:sz w:val="20"/>
                <w:szCs w:val="20"/>
              </w:rPr>
            </w:pPr>
            <w:r w:rsidRPr="00887008">
              <w:rPr>
                <w:sz w:val="20"/>
                <w:szCs w:val="20"/>
              </w:rPr>
              <w:t>03/29/2017</w:t>
            </w:r>
          </w:p>
        </w:tc>
        <w:tc>
          <w:tcPr>
            <w:tcW w:w="720" w:type="dxa"/>
            <w:vAlign w:val="center"/>
          </w:tcPr>
          <w:p w14:paraId="04362622" w14:textId="77777777" w:rsidR="00DB576D" w:rsidRPr="00887008" w:rsidRDefault="00DB576D" w:rsidP="00887008">
            <w:pPr>
              <w:spacing w:before="40"/>
              <w:jc w:val="left"/>
              <w:rPr>
                <w:sz w:val="20"/>
                <w:szCs w:val="20"/>
              </w:rPr>
            </w:pPr>
            <w:r w:rsidRPr="00887008">
              <w:rPr>
                <w:sz w:val="20"/>
                <w:szCs w:val="20"/>
              </w:rPr>
              <w:t>-</w:t>
            </w:r>
          </w:p>
        </w:tc>
        <w:tc>
          <w:tcPr>
            <w:tcW w:w="5904" w:type="dxa"/>
            <w:vAlign w:val="center"/>
          </w:tcPr>
          <w:p w14:paraId="2C619E2D" w14:textId="77777777" w:rsidR="00DB576D" w:rsidRPr="00887008" w:rsidRDefault="00DB576D" w:rsidP="00887008">
            <w:pPr>
              <w:spacing w:before="40"/>
              <w:jc w:val="left"/>
              <w:rPr>
                <w:sz w:val="20"/>
                <w:szCs w:val="20"/>
              </w:rPr>
            </w:pPr>
            <w:r w:rsidRPr="00887008">
              <w:rPr>
                <w:sz w:val="20"/>
                <w:szCs w:val="20"/>
              </w:rPr>
              <w:t>Removal of ZTE from the Entity List</w:t>
            </w:r>
            <w:r w:rsidRPr="00887008">
              <w:rPr>
                <w:sz w:val="20"/>
                <w:szCs w:val="20"/>
                <w:vertAlign w:val="superscript"/>
              </w:rPr>
              <w:endnoteReference w:id="12"/>
            </w:r>
          </w:p>
        </w:tc>
      </w:tr>
    </w:tbl>
    <w:p w14:paraId="2227D5FD" w14:textId="2495C2E2" w:rsidR="00DB576D" w:rsidRPr="00770501" w:rsidRDefault="00887008" w:rsidP="00887008">
      <w:pPr>
        <w:pStyle w:val="Caption"/>
        <w:rPr>
          <w:b w:val="0"/>
          <w:iCs w:val="0"/>
          <w:szCs w:val="24"/>
        </w:rPr>
      </w:pPr>
      <w:r>
        <w:t xml:space="preserve">Table </w:t>
      </w:r>
      <w:r w:rsidR="0002383E">
        <w:t>A</w:t>
      </w:r>
      <w:r w:rsidR="00F839C8">
        <w:fldChar w:fldCharType="begin"/>
      </w:r>
      <w:r w:rsidR="00F839C8">
        <w:instrText xml:space="preserve"> SEQ Table \* ARABIC </w:instrText>
      </w:r>
      <w:r w:rsidR="00F839C8">
        <w:fldChar w:fldCharType="separate"/>
      </w:r>
      <w:r w:rsidR="00F25795">
        <w:rPr>
          <w:noProof/>
        </w:rPr>
        <w:t>2</w:t>
      </w:r>
      <w:r w:rsidR="00F839C8">
        <w:rPr>
          <w:noProof/>
        </w:rPr>
        <w:fldChar w:fldCharType="end"/>
      </w:r>
      <w:r w:rsidR="00DB576D" w:rsidRPr="00770501">
        <w:rPr>
          <w:szCs w:val="24"/>
        </w:rPr>
        <w:t>: Huawei Entity List Timeline</w:t>
      </w:r>
    </w:p>
    <w:tbl>
      <w:tblPr>
        <w:tblStyle w:val="TableGrid7"/>
        <w:tblW w:w="79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13"/>
        <w:gridCol w:w="720"/>
        <w:gridCol w:w="5904"/>
      </w:tblGrid>
      <w:tr w:rsidR="00DB576D" w:rsidRPr="00887008" w14:paraId="0C31B6C8" w14:textId="77777777" w:rsidTr="00287713">
        <w:trPr>
          <w:trHeight w:val="288"/>
          <w:tblHeader/>
        </w:trPr>
        <w:tc>
          <w:tcPr>
            <w:tcW w:w="1313" w:type="dxa"/>
            <w:tcBorders>
              <w:top w:val="single" w:sz="4" w:space="0" w:color="auto"/>
              <w:bottom w:val="single" w:sz="4" w:space="0" w:color="auto"/>
            </w:tcBorders>
            <w:vAlign w:val="center"/>
          </w:tcPr>
          <w:p w14:paraId="6D490880" w14:textId="77777777" w:rsidR="00DB576D" w:rsidRPr="00887008" w:rsidRDefault="00DB576D" w:rsidP="00887008">
            <w:pPr>
              <w:spacing w:before="40"/>
              <w:jc w:val="left"/>
              <w:rPr>
                <w:b/>
                <w:bCs/>
                <w:sz w:val="20"/>
                <w:szCs w:val="20"/>
                <w:lang w:val="de-DE"/>
              </w:rPr>
            </w:pPr>
            <w:r w:rsidRPr="00887008">
              <w:rPr>
                <w:b/>
                <w:bCs/>
                <w:sz w:val="20"/>
                <w:szCs w:val="20"/>
                <w:lang w:val="de-DE"/>
              </w:rPr>
              <w:t>Date</w:t>
            </w:r>
          </w:p>
        </w:tc>
        <w:tc>
          <w:tcPr>
            <w:tcW w:w="720" w:type="dxa"/>
            <w:tcBorders>
              <w:top w:val="single" w:sz="4" w:space="0" w:color="auto"/>
              <w:bottom w:val="single" w:sz="4" w:space="0" w:color="auto"/>
            </w:tcBorders>
            <w:vAlign w:val="center"/>
          </w:tcPr>
          <w:p w14:paraId="25D7FC2E" w14:textId="77777777" w:rsidR="00DB576D" w:rsidRPr="00887008" w:rsidRDefault="00DB576D" w:rsidP="00887008">
            <w:pPr>
              <w:spacing w:before="40"/>
              <w:jc w:val="left"/>
              <w:rPr>
                <w:b/>
                <w:bCs/>
                <w:sz w:val="20"/>
                <w:szCs w:val="20"/>
                <w:lang w:val="de-DE"/>
              </w:rPr>
            </w:pPr>
            <w:r w:rsidRPr="00887008">
              <w:rPr>
                <w:b/>
                <w:bCs/>
                <w:sz w:val="20"/>
                <w:szCs w:val="20"/>
                <w:lang w:val="de-DE"/>
              </w:rPr>
              <w:t>t</w:t>
            </w:r>
          </w:p>
        </w:tc>
        <w:tc>
          <w:tcPr>
            <w:tcW w:w="5904" w:type="dxa"/>
            <w:tcBorders>
              <w:top w:val="single" w:sz="4" w:space="0" w:color="auto"/>
              <w:bottom w:val="single" w:sz="4" w:space="0" w:color="auto"/>
            </w:tcBorders>
            <w:vAlign w:val="center"/>
          </w:tcPr>
          <w:p w14:paraId="69F236EB" w14:textId="77777777" w:rsidR="00DB576D" w:rsidRPr="00887008" w:rsidRDefault="00DB576D" w:rsidP="00887008">
            <w:pPr>
              <w:spacing w:before="40"/>
              <w:jc w:val="left"/>
              <w:rPr>
                <w:b/>
                <w:bCs/>
                <w:sz w:val="20"/>
                <w:szCs w:val="20"/>
                <w:lang w:val="de-DE"/>
              </w:rPr>
            </w:pPr>
            <w:r w:rsidRPr="00887008">
              <w:rPr>
                <w:b/>
                <w:bCs/>
                <w:sz w:val="20"/>
                <w:szCs w:val="20"/>
                <w:lang w:val="de-DE"/>
              </w:rPr>
              <w:t>Entity List Development</w:t>
            </w:r>
          </w:p>
        </w:tc>
      </w:tr>
      <w:tr w:rsidR="00DB576D" w:rsidRPr="00887008" w14:paraId="41980C0D" w14:textId="77777777" w:rsidTr="00287713">
        <w:trPr>
          <w:trHeight w:val="20"/>
        </w:trPr>
        <w:tc>
          <w:tcPr>
            <w:tcW w:w="1313" w:type="dxa"/>
            <w:tcBorders>
              <w:top w:val="single" w:sz="4" w:space="0" w:color="auto"/>
              <w:bottom w:val="nil"/>
            </w:tcBorders>
            <w:vAlign w:val="center"/>
          </w:tcPr>
          <w:p w14:paraId="6A3DCF3A" w14:textId="77777777" w:rsidR="00DB576D" w:rsidRPr="00887008" w:rsidRDefault="00DB576D" w:rsidP="00887008">
            <w:pPr>
              <w:spacing w:before="40"/>
              <w:jc w:val="left"/>
              <w:rPr>
                <w:sz w:val="20"/>
                <w:szCs w:val="20"/>
                <w:lang w:val="de-DE"/>
              </w:rPr>
            </w:pPr>
            <w:r w:rsidRPr="00887008">
              <w:rPr>
                <w:sz w:val="20"/>
                <w:szCs w:val="20"/>
                <w:lang w:val="de-DE"/>
              </w:rPr>
              <w:t>05/15/2019</w:t>
            </w:r>
          </w:p>
        </w:tc>
        <w:tc>
          <w:tcPr>
            <w:tcW w:w="720" w:type="dxa"/>
            <w:tcBorders>
              <w:top w:val="single" w:sz="4" w:space="0" w:color="auto"/>
              <w:bottom w:val="nil"/>
            </w:tcBorders>
            <w:vAlign w:val="center"/>
          </w:tcPr>
          <w:p w14:paraId="6043C33A" w14:textId="77777777" w:rsidR="00DB576D" w:rsidRPr="00887008" w:rsidRDefault="00DB576D" w:rsidP="00887008">
            <w:pPr>
              <w:spacing w:before="40"/>
              <w:jc w:val="left"/>
              <w:rPr>
                <w:sz w:val="20"/>
                <w:szCs w:val="20"/>
              </w:rPr>
            </w:pPr>
            <w:r w:rsidRPr="00887008">
              <w:rPr>
                <w:sz w:val="20"/>
                <w:szCs w:val="20"/>
              </w:rPr>
              <w:t>-1</w:t>
            </w:r>
          </w:p>
        </w:tc>
        <w:tc>
          <w:tcPr>
            <w:tcW w:w="5904" w:type="dxa"/>
            <w:tcBorders>
              <w:top w:val="single" w:sz="4" w:space="0" w:color="auto"/>
              <w:bottom w:val="nil"/>
            </w:tcBorders>
            <w:vAlign w:val="center"/>
          </w:tcPr>
          <w:p w14:paraId="22A57C23" w14:textId="77777777" w:rsidR="00DB576D" w:rsidRPr="00887008" w:rsidRDefault="00DB576D" w:rsidP="00887008">
            <w:pPr>
              <w:spacing w:before="40"/>
              <w:jc w:val="left"/>
              <w:rPr>
                <w:sz w:val="20"/>
                <w:szCs w:val="20"/>
              </w:rPr>
            </w:pPr>
            <w:r w:rsidRPr="00887008">
              <w:rPr>
                <w:sz w:val="20"/>
                <w:szCs w:val="20"/>
              </w:rPr>
              <w:t>Commerce Department announces the addition of Huawei and affiliates to the Entity List.</w:t>
            </w:r>
            <w:r w:rsidRPr="00887008">
              <w:rPr>
                <w:sz w:val="20"/>
                <w:szCs w:val="20"/>
                <w:vertAlign w:val="superscript"/>
              </w:rPr>
              <w:endnoteReference w:id="13"/>
            </w:r>
            <w:r w:rsidRPr="00887008">
              <w:rPr>
                <w:sz w:val="20"/>
                <w:szCs w:val="20"/>
              </w:rPr>
              <w:t xml:space="preserve"> </w:t>
            </w:r>
          </w:p>
        </w:tc>
      </w:tr>
      <w:tr w:rsidR="00DB576D" w:rsidRPr="00887008" w14:paraId="158C3A6F" w14:textId="77777777" w:rsidTr="00287713">
        <w:trPr>
          <w:trHeight w:val="20"/>
        </w:trPr>
        <w:tc>
          <w:tcPr>
            <w:tcW w:w="1313" w:type="dxa"/>
            <w:tcBorders>
              <w:top w:val="nil"/>
              <w:bottom w:val="nil"/>
            </w:tcBorders>
            <w:vAlign w:val="center"/>
          </w:tcPr>
          <w:p w14:paraId="0113378D"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5946D41E"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0D447013" w14:textId="77777777" w:rsidR="00DB576D" w:rsidRPr="00887008" w:rsidRDefault="00DB576D" w:rsidP="00887008">
            <w:pPr>
              <w:spacing w:before="40"/>
              <w:jc w:val="left"/>
              <w:rPr>
                <w:sz w:val="20"/>
                <w:szCs w:val="20"/>
              </w:rPr>
            </w:pPr>
            <w:r w:rsidRPr="00887008">
              <w:rPr>
                <w:sz w:val="20"/>
                <w:szCs w:val="20"/>
              </w:rPr>
              <w:t>Reporting on the Entity List action is concentrated late in the day.</w:t>
            </w:r>
            <w:r w:rsidRPr="00887008">
              <w:rPr>
                <w:sz w:val="20"/>
                <w:szCs w:val="20"/>
                <w:vertAlign w:val="superscript"/>
              </w:rPr>
              <w:endnoteReference w:id="14"/>
            </w:r>
          </w:p>
        </w:tc>
      </w:tr>
      <w:tr w:rsidR="00DB576D" w:rsidRPr="00887008" w14:paraId="4C66C14B" w14:textId="77777777" w:rsidTr="00287713">
        <w:trPr>
          <w:trHeight w:val="20"/>
        </w:trPr>
        <w:tc>
          <w:tcPr>
            <w:tcW w:w="1313" w:type="dxa"/>
            <w:tcBorders>
              <w:top w:val="nil"/>
              <w:bottom w:val="single" w:sz="4" w:space="0" w:color="auto"/>
            </w:tcBorders>
            <w:vAlign w:val="center"/>
          </w:tcPr>
          <w:p w14:paraId="3FAA6A46" w14:textId="77777777" w:rsidR="00DB576D" w:rsidRPr="00887008" w:rsidRDefault="00DB576D" w:rsidP="00887008">
            <w:pPr>
              <w:spacing w:before="40"/>
              <w:jc w:val="left"/>
              <w:rPr>
                <w:sz w:val="20"/>
                <w:szCs w:val="20"/>
              </w:rPr>
            </w:pPr>
          </w:p>
        </w:tc>
        <w:tc>
          <w:tcPr>
            <w:tcW w:w="720" w:type="dxa"/>
            <w:tcBorders>
              <w:top w:val="nil"/>
              <w:bottom w:val="single" w:sz="4" w:space="0" w:color="auto"/>
            </w:tcBorders>
            <w:vAlign w:val="center"/>
          </w:tcPr>
          <w:p w14:paraId="07BBD0E1"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4B490C39" w14:textId="77777777" w:rsidR="00DB576D" w:rsidRPr="00887008" w:rsidRDefault="00DB576D" w:rsidP="00887008">
            <w:pPr>
              <w:spacing w:before="40"/>
              <w:jc w:val="left"/>
              <w:rPr>
                <w:sz w:val="20"/>
                <w:szCs w:val="20"/>
              </w:rPr>
            </w:pPr>
            <w:r w:rsidRPr="00887008">
              <w:rPr>
                <w:sz w:val="20"/>
                <w:szCs w:val="20"/>
              </w:rPr>
              <w:t>The Entity List action is not mentioned in market-oriented summaries in Bloomberg, Seeking Alpha, or Wall Street Journal.</w:t>
            </w:r>
            <w:r w:rsidRPr="00887008">
              <w:rPr>
                <w:sz w:val="20"/>
                <w:szCs w:val="20"/>
                <w:vertAlign w:val="superscript"/>
              </w:rPr>
              <w:endnoteReference w:id="15"/>
            </w:r>
          </w:p>
        </w:tc>
      </w:tr>
      <w:tr w:rsidR="00DB576D" w:rsidRPr="00887008" w14:paraId="11783EB0" w14:textId="77777777" w:rsidTr="00287713">
        <w:trPr>
          <w:trHeight w:val="288"/>
        </w:trPr>
        <w:tc>
          <w:tcPr>
            <w:tcW w:w="1313" w:type="dxa"/>
            <w:tcBorders>
              <w:top w:val="single" w:sz="4" w:space="0" w:color="auto"/>
              <w:bottom w:val="nil"/>
            </w:tcBorders>
            <w:vAlign w:val="center"/>
          </w:tcPr>
          <w:p w14:paraId="1D124B3E" w14:textId="77777777" w:rsidR="00DB576D" w:rsidRPr="00887008" w:rsidRDefault="00DB576D" w:rsidP="00887008">
            <w:pPr>
              <w:spacing w:before="40"/>
              <w:jc w:val="left"/>
              <w:rPr>
                <w:sz w:val="20"/>
                <w:szCs w:val="20"/>
                <w:lang w:val="de-DE"/>
              </w:rPr>
            </w:pPr>
            <w:r w:rsidRPr="00887008">
              <w:rPr>
                <w:sz w:val="20"/>
                <w:szCs w:val="20"/>
                <w:lang w:val="de-DE"/>
              </w:rPr>
              <w:t>05/16/2019</w:t>
            </w:r>
          </w:p>
        </w:tc>
        <w:tc>
          <w:tcPr>
            <w:tcW w:w="720" w:type="dxa"/>
            <w:tcBorders>
              <w:top w:val="single" w:sz="4" w:space="0" w:color="auto"/>
              <w:bottom w:val="nil"/>
            </w:tcBorders>
            <w:vAlign w:val="center"/>
          </w:tcPr>
          <w:p w14:paraId="61DD39B3" w14:textId="77777777" w:rsidR="00DB576D" w:rsidRPr="00887008" w:rsidRDefault="00DB576D" w:rsidP="00887008">
            <w:pPr>
              <w:spacing w:before="40"/>
              <w:jc w:val="left"/>
              <w:rPr>
                <w:sz w:val="20"/>
                <w:szCs w:val="20"/>
              </w:rPr>
            </w:pPr>
            <w:r w:rsidRPr="00887008">
              <w:rPr>
                <w:sz w:val="20"/>
                <w:szCs w:val="20"/>
              </w:rPr>
              <w:t>0</w:t>
            </w:r>
          </w:p>
        </w:tc>
        <w:tc>
          <w:tcPr>
            <w:tcW w:w="5904" w:type="dxa"/>
            <w:tcBorders>
              <w:top w:val="single" w:sz="4" w:space="0" w:color="auto"/>
              <w:bottom w:val="nil"/>
            </w:tcBorders>
            <w:vAlign w:val="center"/>
          </w:tcPr>
          <w:p w14:paraId="7EFB805C" w14:textId="77777777" w:rsidR="00DB576D" w:rsidRPr="00887008" w:rsidRDefault="00DB576D" w:rsidP="00887008">
            <w:pPr>
              <w:spacing w:before="40"/>
              <w:jc w:val="left"/>
              <w:rPr>
                <w:sz w:val="20"/>
                <w:szCs w:val="20"/>
              </w:rPr>
            </w:pPr>
            <w:r w:rsidRPr="00887008">
              <w:rPr>
                <w:sz w:val="20"/>
                <w:szCs w:val="20"/>
              </w:rPr>
              <w:t xml:space="preserve">First full day of trading after announcement. </w:t>
            </w:r>
          </w:p>
        </w:tc>
      </w:tr>
      <w:tr w:rsidR="00DB576D" w:rsidRPr="00887008" w14:paraId="08B946A8" w14:textId="77777777" w:rsidTr="00287713">
        <w:trPr>
          <w:trHeight w:val="288"/>
        </w:trPr>
        <w:tc>
          <w:tcPr>
            <w:tcW w:w="1313" w:type="dxa"/>
            <w:tcBorders>
              <w:top w:val="nil"/>
              <w:bottom w:val="nil"/>
            </w:tcBorders>
            <w:vAlign w:val="center"/>
          </w:tcPr>
          <w:p w14:paraId="4D09A3C1"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05DBF756"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62AC5803" w14:textId="77777777" w:rsidR="00DB576D" w:rsidRPr="00887008" w:rsidRDefault="00DB576D" w:rsidP="00887008">
            <w:pPr>
              <w:spacing w:before="40"/>
              <w:jc w:val="left"/>
              <w:rPr>
                <w:sz w:val="20"/>
                <w:szCs w:val="20"/>
              </w:rPr>
            </w:pPr>
            <w:r w:rsidRPr="00887008">
              <w:rPr>
                <w:sz w:val="20"/>
                <w:szCs w:val="20"/>
              </w:rPr>
              <w:t>Effective date of Huawei’s addition to the Entity List and corresponding press release by BIS.</w:t>
            </w:r>
            <w:r w:rsidRPr="00887008">
              <w:rPr>
                <w:sz w:val="20"/>
                <w:szCs w:val="20"/>
                <w:vertAlign w:val="superscript"/>
              </w:rPr>
              <w:endnoteReference w:id="16"/>
            </w:r>
          </w:p>
        </w:tc>
      </w:tr>
      <w:tr w:rsidR="00DB576D" w:rsidRPr="00887008" w14:paraId="4784B090" w14:textId="77777777" w:rsidTr="00887008">
        <w:trPr>
          <w:trHeight w:val="288"/>
        </w:trPr>
        <w:tc>
          <w:tcPr>
            <w:tcW w:w="1313" w:type="dxa"/>
            <w:tcBorders>
              <w:top w:val="nil"/>
              <w:bottom w:val="nil"/>
            </w:tcBorders>
            <w:vAlign w:val="center"/>
          </w:tcPr>
          <w:p w14:paraId="46D84D28"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7314E539"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03AAB8EB" w14:textId="57ED7D6F" w:rsidR="00DB576D" w:rsidRPr="00887008" w:rsidRDefault="00DB576D" w:rsidP="00887008">
            <w:pPr>
              <w:spacing w:before="40"/>
              <w:jc w:val="left"/>
              <w:rPr>
                <w:sz w:val="20"/>
                <w:szCs w:val="20"/>
              </w:rPr>
            </w:pPr>
            <w:r w:rsidRPr="00887008">
              <w:rPr>
                <w:sz w:val="20"/>
                <w:szCs w:val="20"/>
              </w:rPr>
              <w:t>Commerce Department tweets about the Entity List action.</w:t>
            </w:r>
            <w:r w:rsidRPr="00887008">
              <w:rPr>
                <w:sz w:val="20"/>
                <w:szCs w:val="20"/>
                <w:vertAlign w:val="superscript"/>
              </w:rPr>
              <w:endnoteReference w:id="17"/>
            </w:r>
          </w:p>
        </w:tc>
      </w:tr>
      <w:tr w:rsidR="00DB576D" w:rsidRPr="00887008" w14:paraId="3C6F6AD3" w14:textId="77777777" w:rsidTr="00287713">
        <w:trPr>
          <w:trHeight w:val="20"/>
        </w:trPr>
        <w:tc>
          <w:tcPr>
            <w:tcW w:w="1313" w:type="dxa"/>
            <w:tcBorders>
              <w:top w:val="nil"/>
              <w:bottom w:val="single" w:sz="4" w:space="0" w:color="auto"/>
            </w:tcBorders>
            <w:vAlign w:val="center"/>
          </w:tcPr>
          <w:p w14:paraId="4876700F" w14:textId="77777777" w:rsidR="00DB576D" w:rsidRPr="00887008" w:rsidRDefault="00DB576D" w:rsidP="00887008">
            <w:pPr>
              <w:spacing w:before="40"/>
              <w:jc w:val="left"/>
              <w:rPr>
                <w:sz w:val="20"/>
                <w:szCs w:val="20"/>
              </w:rPr>
            </w:pPr>
          </w:p>
        </w:tc>
        <w:tc>
          <w:tcPr>
            <w:tcW w:w="720" w:type="dxa"/>
            <w:tcBorders>
              <w:top w:val="nil"/>
              <w:bottom w:val="single" w:sz="4" w:space="0" w:color="auto"/>
            </w:tcBorders>
            <w:vAlign w:val="center"/>
          </w:tcPr>
          <w:p w14:paraId="02B5D0EF"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141D205E" w14:textId="2B2B7792" w:rsidR="00DB576D" w:rsidRPr="00887008" w:rsidRDefault="00DB576D" w:rsidP="00887008">
            <w:pPr>
              <w:spacing w:before="40"/>
              <w:jc w:val="left"/>
              <w:rPr>
                <w:sz w:val="20"/>
                <w:szCs w:val="20"/>
              </w:rPr>
            </w:pPr>
            <w:r w:rsidRPr="00887008">
              <w:rPr>
                <w:sz w:val="20"/>
                <w:szCs w:val="20"/>
              </w:rPr>
              <w:t>Entity List action is covered in Bloomberg and Seeking Alpha.</w:t>
            </w:r>
            <w:r w:rsidRPr="00887008">
              <w:rPr>
                <w:sz w:val="20"/>
                <w:szCs w:val="20"/>
                <w:vertAlign w:val="superscript"/>
              </w:rPr>
              <w:endnoteReference w:id="18"/>
            </w:r>
          </w:p>
        </w:tc>
      </w:tr>
      <w:tr w:rsidR="00DB576D" w:rsidRPr="00887008" w14:paraId="2D5A8E7A" w14:textId="77777777" w:rsidTr="00287713">
        <w:trPr>
          <w:trHeight w:val="20"/>
        </w:trPr>
        <w:tc>
          <w:tcPr>
            <w:tcW w:w="1313" w:type="dxa"/>
            <w:tcBorders>
              <w:top w:val="single" w:sz="4" w:space="0" w:color="auto"/>
              <w:bottom w:val="nil"/>
            </w:tcBorders>
            <w:vAlign w:val="center"/>
          </w:tcPr>
          <w:p w14:paraId="196205BC" w14:textId="77777777" w:rsidR="00DB576D" w:rsidRPr="00887008" w:rsidRDefault="00DB576D" w:rsidP="00887008">
            <w:pPr>
              <w:spacing w:before="40"/>
              <w:jc w:val="left"/>
              <w:rPr>
                <w:sz w:val="20"/>
                <w:szCs w:val="20"/>
                <w:lang w:val="de-DE"/>
              </w:rPr>
            </w:pPr>
            <w:r w:rsidRPr="00887008">
              <w:rPr>
                <w:sz w:val="20"/>
                <w:szCs w:val="20"/>
                <w:lang w:val="de-DE"/>
              </w:rPr>
              <w:t>05/20/2019</w:t>
            </w:r>
          </w:p>
        </w:tc>
        <w:tc>
          <w:tcPr>
            <w:tcW w:w="720" w:type="dxa"/>
            <w:tcBorders>
              <w:top w:val="single" w:sz="4" w:space="0" w:color="auto"/>
              <w:bottom w:val="nil"/>
            </w:tcBorders>
            <w:vAlign w:val="center"/>
          </w:tcPr>
          <w:p w14:paraId="6082B20B" w14:textId="77777777" w:rsidR="00DB576D" w:rsidRPr="00887008" w:rsidRDefault="00DB576D" w:rsidP="00887008">
            <w:pPr>
              <w:spacing w:before="40"/>
              <w:jc w:val="left"/>
              <w:rPr>
                <w:sz w:val="20"/>
                <w:szCs w:val="20"/>
              </w:rPr>
            </w:pPr>
            <w:r w:rsidRPr="00887008">
              <w:rPr>
                <w:sz w:val="20"/>
                <w:szCs w:val="20"/>
              </w:rPr>
              <w:t>2</w:t>
            </w:r>
          </w:p>
        </w:tc>
        <w:tc>
          <w:tcPr>
            <w:tcW w:w="5904" w:type="dxa"/>
            <w:tcBorders>
              <w:top w:val="single" w:sz="4" w:space="0" w:color="auto"/>
              <w:bottom w:val="nil"/>
            </w:tcBorders>
            <w:vAlign w:val="center"/>
          </w:tcPr>
          <w:p w14:paraId="10F54B68" w14:textId="5AD6F7E8" w:rsidR="00DB576D" w:rsidRPr="00887008" w:rsidRDefault="00DB576D" w:rsidP="00887008">
            <w:pPr>
              <w:spacing w:before="40"/>
              <w:jc w:val="left"/>
              <w:rPr>
                <w:sz w:val="20"/>
                <w:szCs w:val="20"/>
              </w:rPr>
            </w:pPr>
            <w:r w:rsidRPr="00887008">
              <w:rPr>
                <w:sz w:val="20"/>
                <w:szCs w:val="20"/>
              </w:rPr>
              <w:t>Heavy reporting in Bloomberg, Seeking Alpha, and Wall Street Journal on the effect of the Entity List action.</w:t>
            </w:r>
            <w:r w:rsidRPr="00887008">
              <w:rPr>
                <w:sz w:val="20"/>
                <w:szCs w:val="20"/>
                <w:vertAlign w:val="superscript"/>
              </w:rPr>
              <w:endnoteReference w:id="19"/>
            </w:r>
            <w:r w:rsidRPr="00887008">
              <w:rPr>
                <w:sz w:val="20"/>
                <w:szCs w:val="20"/>
              </w:rPr>
              <w:t xml:space="preserve"> </w:t>
            </w:r>
          </w:p>
        </w:tc>
      </w:tr>
      <w:tr w:rsidR="00DB576D" w:rsidRPr="00887008" w14:paraId="1375EE49" w14:textId="77777777" w:rsidTr="00287713">
        <w:trPr>
          <w:trHeight w:val="20"/>
        </w:trPr>
        <w:tc>
          <w:tcPr>
            <w:tcW w:w="1313" w:type="dxa"/>
            <w:tcBorders>
              <w:top w:val="nil"/>
              <w:bottom w:val="nil"/>
            </w:tcBorders>
            <w:vAlign w:val="center"/>
          </w:tcPr>
          <w:p w14:paraId="0618B2EB"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7C94979E"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6B8975B7" w14:textId="77777777" w:rsidR="00DB576D" w:rsidRPr="00887008" w:rsidRDefault="00DB576D" w:rsidP="00887008">
            <w:pPr>
              <w:spacing w:before="40"/>
              <w:jc w:val="left"/>
              <w:rPr>
                <w:sz w:val="20"/>
                <w:szCs w:val="20"/>
              </w:rPr>
            </w:pPr>
            <w:r w:rsidRPr="00887008">
              <w:rPr>
                <w:sz w:val="20"/>
                <w:szCs w:val="20"/>
              </w:rPr>
              <w:t>Coverage asserts the action drove down equity prices, particularly among U.S. firms signaling compliance with the export controls.</w:t>
            </w:r>
          </w:p>
        </w:tc>
      </w:tr>
      <w:tr w:rsidR="00DB576D" w:rsidRPr="00887008" w14:paraId="23EFCEBA" w14:textId="77777777" w:rsidTr="00287713">
        <w:trPr>
          <w:trHeight w:val="20"/>
        </w:trPr>
        <w:tc>
          <w:tcPr>
            <w:tcW w:w="1313" w:type="dxa"/>
            <w:tcBorders>
              <w:top w:val="nil"/>
              <w:bottom w:val="nil"/>
            </w:tcBorders>
            <w:vAlign w:val="center"/>
          </w:tcPr>
          <w:p w14:paraId="2E43234A"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60AD8D45"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7D118387" w14:textId="77777777" w:rsidR="00DB576D" w:rsidRPr="00887008" w:rsidRDefault="00DB576D" w:rsidP="00887008">
            <w:pPr>
              <w:spacing w:before="40"/>
              <w:jc w:val="left"/>
              <w:rPr>
                <w:sz w:val="20"/>
                <w:szCs w:val="20"/>
              </w:rPr>
            </w:pPr>
            <w:r w:rsidRPr="00887008">
              <w:rPr>
                <w:sz w:val="20"/>
                <w:szCs w:val="20"/>
              </w:rPr>
              <w:t>Investors also cite concern about possible retaliation from China against U.S. tech firms.</w:t>
            </w:r>
            <w:r w:rsidRPr="00887008">
              <w:rPr>
                <w:sz w:val="20"/>
                <w:szCs w:val="20"/>
                <w:vertAlign w:val="superscript"/>
              </w:rPr>
              <w:endnoteReference w:id="20"/>
            </w:r>
          </w:p>
        </w:tc>
      </w:tr>
      <w:tr w:rsidR="00DB576D" w:rsidRPr="00887008" w14:paraId="0C8EC2DE" w14:textId="77777777" w:rsidTr="00287713">
        <w:trPr>
          <w:trHeight w:val="20"/>
        </w:trPr>
        <w:tc>
          <w:tcPr>
            <w:tcW w:w="1313" w:type="dxa"/>
            <w:tcBorders>
              <w:top w:val="nil"/>
              <w:bottom w:val="nil"/>
            </w:tcBorders>
            <w:vAlign w:val="center"/>
          </w:tcPr>
          <w:p w14:paraId="41DA72A3"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746CB27A"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0907D54E" w14:textId="27D95EE2" w:rsidR="00DB576D" w:rsidRPr="00887008" w:rsidRDefault="00DB576D" w:rsidP="00887008">
            <w:pPr>
              <w:spacing w:before="40"/>
              <w:jc w:val="left"/>
              <w:rPr>
                <w:sz w:val="20"/>
                <w:szCs w:val="20"/>
              </w:rPr>
            </w:pPr>
            <w:r w:rsidRPr="00887008">
              <w:rPr>
                <w:sz w:val="20"/>
                <w:szCs w:val="20"/>
              </w:rPr>
              <w:t>Effective date of 90-day TGL for companies to continue to engage with Huawei on certain transactions and corresponding press release by Commerce Department.</w:t>
            </w:r>
            <w:r w:rsidRPr="00887008">
              <w:rPr>
                <w:sz w:val="20"/>
                <w:szCs w:val="20"/>
                <w:vertAlign w:val="superscript"/>
              </w:rPr>
              <w:endnoteReference w:id="21"/>
            </w:r>
            <w:r w:rsidRPr="00887008">
              <w:rPr>
                <w:sz w:val="20"/>
                <w:szCs w:val="20"/>
              </w:rPr>
              <w:t xml:space="preserve"> </w:t>
            </w:r>
          </w:p>
        </w:tc>
      </w:tr>
      <w:tr w:rsidR="00DB576D" w:rsidRPr="00887008" w14:paraId="27BCCCEB" w14:textId="77777777" w:rsidTr="00287713">
        <w:trPr>
          <w:trHeight w:val="20"/>
        </w:trPr>
        <w:tc>
          <w:tcPr>
            <w:tcW w:w="1313" w:type="dxa"/>
            <w:tcBorders>
              <w:top w:val="nil"/>
              <w:bottom w:val="nil"/>
            </w:tcBorders>
            <w:vAlign w:val="center"/>
          </w:tcPr>
          <w:p w14:paraId="5BD67498"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4D43E307"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40696E64" w14:textId="77777777" w:rsidR="00DB576D" w:rsidRPr="00887008" w:rsidRDefault="00DB576D" w:rsidP="00887008">
            <w:pPr>
              <w:spacing w:before="40"/>
              <w:jc w:val="left"/>
              <w:rPr>
                <w:sz w:val="20"/>
                <w:szCs w:val="20"/>
              </w:rPr>
            </w:pPr>
            <w:r w:rsidRPr="00887008">
              <w:rPr>
                <w:sz w:val="20"/>
                <w:szCs w:val="20"/>
              </w:rPr>
              <w:t>The TGL is issued late in the day and not mentioned in the markets-oriented summaries in Bloomberg and Seeking Alpha.</w:t>
            </w:r>
            <w:r w:rsidRPr="00887008">
              <w:rPr>
                <w:sz w:val="20"/>
                <w:szCs w:val="20"/>
                <w:vertAlign w:val="superscript"/>
              </w:rPr>
              <w:t xml:space="preserve"> </w:t>
            </w:r>
            <w:r w:rsidRPr="00887008">
              <w:rPr>
                <w:sz w:val="20"/>
                <w:szCs w:val="20"/>
                <w:vertAlign w:val="superscript"/>
              </w:rPr>
              <w:endnoteReference w:id="22"/>
            </w:r>
          </w:p>
        </w:tc>
      </w:tr>
      <w:tr w:rsidR="00DB576D" w:rsidRPr="00887008" w14:paraId="6CC4B47E" w14:textId="77777777" w:rsidTr="00287713">
        <w:trPr>
          <w:trHeight w:val="20"/>
        </w:trPr>
        <w:tc>
          <w:tcPr>
            <w:tcW w:w="1313" w:type="dxa"/>
            <w:tcBorders>
              <w:top w:val="nil"/>
              <w:bottom w:val="single" w:sz="4" w:space="0" w:color="auto"/>
            </w:tcBorders>
            <w:vAlign w:val="center"/>
          </w:tcPr>
          <w:p w14:paraId="110E1E01" w14:textId="77777777" w:rsidR="00DB576D" w:rsidRPr="00887008" w:rsidRDefault="00DB576D" w:rsidP="00887008">
            <w:pPr>
              <w:spacing w:before="40"/>
              <w:jc w:val="left"/>
              <w:rPr>
                <w:sz w:val="20"/>
                <w:szCs w:val="20"/>
              </w:rPr>
            </w:pPr>
          </w:p>
        </w:tc>
        <w:tc>
          <w:tcPr>
            <w:tcW w:w="720" w:type="dxa"/>
            <w:tcBorders>
              <w:top w:val="nil"/>
              <w:bottom w:val="single" w:sz="4" w:space="0" w:color="auto"/>
            </w:tcBorders>
            <w:vAlign w:val="center"/>
          </w:tcPr>
          <w:p w14:paraId="65A1BC8A"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08CAF279" w14:textId="77777777" w:rsidR="00DB576D" w:rsidRPr="00887008" w:rsidRDefault="00DB576D" w:rsidP="00887008">
            <w:pPr>
              <w:spacing w:before="40"/>
              <w:jc w:val="left"/>
              <w:rPr>
                <w:sz w:val="20"/>
                <w:szCs w:val="20"/>
              </w:rPr>
            </w:pPr>
            <w:r w:rsidRPr="00887008">
              <w:rPr>
                <w:sz w:val="20"/>
                <w:szCs w:val="20"/>
              </w:rPr>
              <w:t>The TGL is mentioned in Wall Street Journal stories published after trading hours.</w:t>
            </w:r>
            <w:r w:rsidRPr="00887008">
              <w:rPr>
                <w:sz w:val="20"/>
                <w:szCs w:val="20"/>
                <w:vertAlign w:val="superscript"/>
              </w:rPr>
              <w:endnoteReference w:id="23"/>
            </w:r>
          </w:p>
        </w:tc>
      </w:tr>
      <w:tr w:rsidR="00DB576D" w:rsidRPr="00887008" w14:paraId="5B9F6D72" w14:textId="77777777" w:rsidTr="00287713">
        <w:trPr>
          <w:trHeight w:val="288"/>
        </w:trPr>
        <w:tc>
          <w:tcPr>
            <w:tcW w:w="1313" w:type="dxa"/>
            <w:tcBorders>
              <w:top w:val="single" w:sz="4" w:space="0" w:color="auto"/>
              <w:bottom w:val="nil"/>
            </w:tcBorders>
            <w:vAlign w:val="center"/>
          </w:tcPr>
          <w:p w14:paraId="514D29E0" w14:textId="77777777" w:rsidR="00DB576D" w:rsidRPr="00887008" w:rsidRDefault="00DB576D" w:rsidP="00887008">
            <w:pPr>
              <w:spacing w:before="40"/>
              <w:jc w:val="left"/>
              <w:rPr>
                <w:sz w:val="20"/>
                <w:szCs w:val="20"/>
                <w:lang w:val="de-DE"/>
              </w:rPr>
            </w:pPr>
            <w:r w:rsidRPr="00887008">
              <w:rPr>
                <w:sz w:val="20"/>
                <w:szCs w:val="20"/>
                <w:lang w:val="de-DE"/>
              </w:rPr>
              <w:t>05/21/2019</w:t>
            </w:r>
          </w:p>
        </w:tc>
        <w:tc>
          <w:tcPr>
            <w:tcW w:w="720" w:type="dxa"/>
            <w:tcBorders>
              <w:top w:val="single" w:sz="4" w:space="0" w:color="auto"/>
              <w:bottom w:val="nil"/>
            </w:tcBorders>
            <w:vAlign w:val="center"/>
          </w:tcPr>
          <w:p w14:paraId="184C69FE" w14:textId="77777777" w:rsidR="00DB576D" w:rsidRPr="00887008" w:rsidRDefault="00DB576D" w:rsidP="00887008">
            <w:pPr>
              <w:spacing w:before="40"/>
              <w:jc w:val="left"/>
              <w:rPr>
                <w:sz w:val="20"/>
                <w:szCs w:val="20"/>
              </w:rPr>
            </w:pPr>
            <w:r w:rsidRPr="00887008">
              <w:rPr>
                <w:sz w:val="20"/>
                <w:szCs w:val="20"/>
              </w:rPr>
              <w:t>3</w:t>
            </w:r>
          </w:p>
        </w:tc>
        <w:tc>
          <w:tcPr>
            <w:tcW w:w="5904" w:type="dxa"/>
            <w:tcBorders>
              <w:top w:val="single" w:sz="4" w:space="0" w:color="auto"/>
              <w:bottom w:val="nil"/>
            </w:tcBorders>
            <w:vAlign w:val="center"/>
          </w:tcPr>
          <w:p w14:paraId="468AF32A" w14:textId="77777777" w:rsidR="00DB576D" w:rsidRPr="00887008" w:rsidRDefault="00DB576D" w:rsidP="00887008">
            <w:pPr>
              <w:spacing w:before="40"/>
              <w:jc w:val="left"/>
              <w:rPr>
                <w:sz w:val="20"/>
                <w:szCs w:val="20"/>
              </w:rPr>
            </w:pPr>
            <w:r w:rsidRPr="00887008">
              <w:rPr>
                <w:sz w:val="20"/>
                <w:szCs w:val="20"/>
              </w:rPr>
              <w:t>Heavy reporting on TGL as driving equity gains.</w:t>
            </w:r>
            <w:r w:rsidRPr="00887008">
              <w:rPr>
                <w:sz w:val="20"/>
                <w:szCs w:val="20"/>
                <w:vertAlign w:val="superscript"/>
              </w:rPr>
              <w:endnoteReference w:id="24"/>
            </w:r>
          </w:p>
        </w:tc>
      </w:tr>
      <w:tr w:rsidR="00DB576D" w:rsidRPr="00887008" w14:paraId="70E8C2BF" w14:textId="77777777" w:rsidTr="00287713">
        <w:trPr>
          <w:trHeight w:val="288"/>
        </w:trPr>
        <w:tc>
          <w:tcPr>
            <w:tcW w:w="1313" w:type="dxa"/>
            <w:tcBorders>
              <w:top w:val="nil"/>
              <w:bottom w:val="single" w:sz="4" w:space="0" w:color="auto"/>
            </w:tcBorders>
            <w:vAlign w:val="center"/>
          </w:tcPr>
          <w:p w14:paraId="0E368A6E" w14:textId="77777777" w:rsidR="00DB576D" w:rsidRPr="00887008" w:rsidRDefault="00DB576D" w:rsidP="00887008">
            <w:pPr>
              <w:spacing w:before="40"/>
              <w:jc w:val="left"/>
              <w:rPr>
                <w:sz w:val="20"/>
                <w:szCs w:val="20"/>
              </w:rPr>
            </w:pPr>
          </w:p>
        </w:tc>
        <w:tc>
          <w:tcPr>
            <w:tcW w:w="720" w:type="dxa"/>
            <w:tcBorders>
              <w:top w:val="nil"/>
              <w:bottom w:val="single" w:sz="4" w:space="0" w:color="auto"/>
            </w:tcBorders>
            <w:vAlign w:val="center"/>
          </w:tcPr>
          <w:p w14:paraId="5D695388"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2CB683BD" w14:textId="77777777" w:rsidR="00DB576D" w:rsidRPr="00887008" w:rsidRDefault="00DB576D" w:rsidP="00887008">
            <w:pPr>
              <w:spacing w:before="40"/>
              <w:jc w:val="left"/>
              <w:rPr>
                <w:sz w:val="20"/>
                <w:szCs w:val="20"/>
              </w:rPr>
            </w:pPr>
            <w:r w:rsidRPr="00887008">
              <w:rPr>
                <w:sz w:val="20"/>
                <w:szCs w:val="20"/>
              </w:rPr>
              <w:t>Official Entity List Notice for Huawei is published in the Federal Register</w:t>
            </w:r>
            <w:r w:rsidRPr="00887008">
              <w:rPr>
                <w:sz w:val="20"/>
                <w:szCs w:val="20"/>
                <w:vertAlign w:val="superscript"/>
              </w:rPr>
              <w:endnoteReference w:id="25"/>
            </w:r>
          </w:p>
        </w:tc>
      </w:tr>
      <w:tr w:rsidR="00DB576D" w:rsidRPr="00887008" w14:paraId="62BC0082" w14:textId="77777777" w:rsidTr="00287713">
        <w:trPr>
          <w:trHeight w:val="288"/>
        </w:trPr>
        <w:tc>
          <w:tcPr>
            <w:tcW w:w="1313" w:type="dxa"/>
            <w:tcBorders>
              <w:top w:val="single" w:sz="4" w:space="0" w:color="auto"/>
            </w:tcBorders>
            <w:vAlign w:val="center"/>
          </w:tcPr>
          <w:p w14:paraId="2C841877" w14:textId="77777777" w:rsidR="00DB576D" w:rsidRPr="00887008" w:rsidRDefault="00DB576D" w:rsidP="00887008">
            <w:pPr>
              <w:spacing w:before="40"/>
              <w:jc w:val="left"/>
              <w:rPr>
                <w:sz w:val="20"/>
                <w:szCs w:val="20"/>
                <w:lang w:val="de-DE"/>
              </w:rPr>
            </w:pPr>
            <w:r w:rsidRPr="00887008">
              <w:rPr>
                <w:sz w:val="20"/>
                <w:szCs w:val="20"/>
                <w:lang w:val="de-DE"/>
              </w:rPr>
              <w:t>05/22/2019</w:t>
            </w:r>
          </w:p>
        </w:tc>
        <w:tc>
          <w:tcPr>
            <w:tcW w:w="720" w:type="dxa"/>
            <w:tcBorders>
              <w:top w:val="single" w:sz="4" w:space="0" w:color="auto"/>
            </w:tcBorders>
            <w:vAlign w:val="center"/>
          </w:tcPr>
          <w:p w14:paraId="62AB6977" w14:textId="77777777" w:rsidR="00DB576D" w:rsidRPr="00887008" w:rsidRDefault="00DB576D" w:rsidP="00887008">
            <w:pPr>
              <w:spacing w:before="40"/>
              <w:jc w:val="left"/>
              <w:rPr>
                <w:sz w:val="20"/>
                <w:szCs w:val="20"/>
              </w:rPr>
            </w:pPr>
            <w:r w:rsidRPr="00887008">
              <w:rPr>
                <w:sz w:val="20"/>
                <w:szCs w:val="20"/>
              </w:rPr>
              <w:t>4</w:t>
            </w:r>
          </w:p>
        </w:tc>
        <w:tc>
          <w:tcPr>
            <w:tcW w:w="5904" w:type="dxa"/>
            <w:tcBorders>
              <w:top w:val="single" w:sz="4" w:space="0" w:color="auto"/>
            </w:tcBorders>
            <w:vAlign w:val="center"/>
          </w:tcPr>
          <w:p w14:paraId="64F9EB12" w14:textId="77777777" w:rsidR="00DB576D" w:rsidRPr="00887008" w:rsidRDefault="00DB576D" w:rsidP="00887008">
            <w:pPr>
              <w:spacing w:before="40"/>
              <w:jc w:val="left"/>
              <w:rPr>
                <w:sz w:val="20"/>
                <w:szCs w:val="20"/>
              </w:rPr>
            </w:pPr>
            <w:r w:rsidRPr="00887008">
              <w:rPr>
                <w:sz w:val="20"/>
                <w:szCs w:val="20"/>
              </w:rPr>
              <w:t>Official 90-day TGL notice for Huawei is published in the Federal Register</w:t>
            </w:r>
            <w:r w:rsidRPr="00887008">
              <w:rPr>
                <w:sz w:val="20"/>
                <w:szCs w:val="20"/>
                <w:vertAlign w:val="superscript"/>
              </w:rPr>
              <w:endnoteReference w:id="26"/>
            </w:r>
          </w:p>
        </w:tc>
      </w:tr>
      <w:tr w:rsidR="00DB576D" w:rsidRPr="00887008" w14:paraId="5940BDF2" w14:textId="77777777" w:rsidTr="00287713">
        <w:trPr>
          <w:trHeight w:val="288"/>
        </w:trPr>
        <w:tc>
          <w:tcPr>
            <w:tcW w:w="1313" w:type="dxa"/>
            <w:vAlign w:val="center"/>
          </w:tcPr>
          <w:p w14:paraId="616C5570" w14:textId="77777777" w:rsidR="00DB576D" w:rsidRPr="00887008" w:rsidRDefault="00DB576D" w:rsidP="00887008">
            <w:pPr>
              <w:spacing w:before="40"/>
              <w:jc w:val="left"/>
              <w:rPr>
                <w:sz w:val="20"/>
                <w:szCs w:val="20"/>
                <w:lang w:val="de-DE"/>
              </w:rPr>
            </w:pPr>
            <w:r w:rsidRPr="00887008">
              <w:rPr>
                <w:sz w:val="20"/>
                <w:szCs w:val="20"/>
                <w:lang w:val="de-DE"/>
              </w:rPr>
              <w:t>08/19/2019</w:t>
            </w:r>
          </w:p>
        </w:tc>
        <w:tc>
          <w:tcPr>
            <w:tcW w:w="720" w:type="dxa"/>
            <w:vAlign w:val="center"/>
          </w:tcPr>
          <w:p w14:paraId="14169E34" w14:textId="77777777" w:rsidR="00DB576D" w:rsidRPr="00887008" w:rsidRDefault="00DB576D" w:rsidP="00887008">
            <w:pPr>
              <w:spacing w:before="40"/>
              <w:jc w:val="left"/>
              <w:rPr>
                <w:sz w:val="20"/>
                <w:szCs w:val="20"/>
              </w:rPr>
            </w:pPr>
            <w:r w:rsidRPr="00887008">
              <w:rPr>
                <w:sz w:val="20"/>
                <w:szCs w:val="20"/>
              </w:rPr>
              <w:t>-</w:t>
            </w:r>
          </w:p>
        </w:tc>
        <w:tc>
          <w:tcPr>
            <w:tcW w:w="5904" w:type="dxa"/>
            <w:vAlign w:val="center"/>
          </w:tcPr>
          <w:p w14:paraId="42BFF5AD" w14:textId="77777777" w:rsidR="00DB576D" w:rsidRPr="00887008" w:rsidRDefault="00DB576D" w:rsidP="00887008">
            <w:pPr>
              <w:spacing w:before="40"/>
              <w:jc w:val="left"/>
              <w:rPr>
                <w:sz w:val="20"/>
                <w:szCs w:val="20"/>
              </w:rPr>
            </w:pPr>
            <w:r w:rsidRPr="00887008">
              <w:rPr>
                <w:sz w:val="20"/>
                <w:szCs w:val="20"/>
              </w:rPr>
              <w:t>Second 90-day Huawei TGL becomes effective</w:t>
            </w:r>
          </w:p>
        </w:tc>
      </w:tr>
      <w:tr w:rsidR="00DB576D" w:rsidRPr="00887008" w14:paraId="7EE1C76A" w14:textId="77777777" w:rsidTr="00287713">
        <w:trPr>
          <w:trHeight w:val="288"/>
        </w:trPr>
        <w:tc>
          <w:tcPr>
            <w:tcW w:w="1313" w:type="dxa"/>
            <w:vAlign w:val="center"/>
          </w:tcPr>
          <w:p w14:paraId="23C3CD6C" w14:textId="77777777" w:rsidR="00DB576D" w:rsidRPr="00887008" w:rsidRDefault="00DB576D" w:rsidP="00887008">
            <w:pPr>
              <w:spacing w:before="40"/>
              <w:jc w:val="left"/>
              <w:rPr>
                <w:sz w:val="20"/>
                <w:szCs w:val="20"/>
                <w:lang w:val="de-DE"/>
              </w:rPr>
            </w:pPr>
            <w:r w:rsidRPr="00887008">
              <w:rPr>
                <w:sz w:val="20"/>
                <w:szCs w:val="20"/>
                <w:lang w:val="de-DE"/>
              </w:rPr>
              <w:t>08/21/2019</w:t>
            </w:r>
          </w:p>
        </w:tc>
        <w:tc>
          <w:tcPr>
            <w:tcW w:w="720" w:type="dxa"/>
            <w:vAlign w:val="center"/>
          </w:tcPr>
          <w:p w14:paraId="29AC8047" w14:textId="77777777" w:rsidR="00DB576D" w:rsidRPr="00887008" w:rsidRDefault="00DB576D" w:rsidP="00887008">
            <w:pPr>
              <w:spacing w:before="40"/>
              <w:jc w:val="left"/>
              <w:rPr>
                <w:sz w:val="20"/>
                <w:szCs w:val="20"/>
              </w:rPr>
            </w:pPr>
            <w:r w:rsidRPr="00887008">
              <w:rPr>
                <w:sz w:val="20"/>
                <w:szCs w:val="20"/>
              </w:rPr>
              <w:t>-</w:t>
            </w:r>
          </w:p>
        </w:tc>
        <w:tc>
          <w:tcPr>
            <w:tcW w:w="5904" w:type="dxa"/>
            <w:vAlign w:val="center"/>
          </w:tcPr>
          <w:p w14:paraId="59C1E7AD" w14:textId="77777777" w:rsidR="00DB576D" w:rsidRPr="00887008" w:rsidRDefault="00DB576D" w:rsidP="00887008">
            <w:pPr>
              <w:spacing w:before="40"/>
              <w:jc w:val="left"/>
              <w:rPr>
                <w:sz w:val="20"/>
                <w:szCs w:val="20"/>
              </w:rPr>
            </w:pPr>
            <w:r w:rsidRPr="00887008">
              <w:rPr>
                <w:sz w:val="20"/>
                <w:szCs w:val="20"/>
              </w:rPr>
              <w:t>Second 90-day Huawei TGL is published in the Federal Register</w:t>
            </w:r>
            <w:r w:rsidRPr="00887008">
              <w:rPr>
                <w:sz w:val="20"/>
                <w:szCs w:val="20"/>
                <w:vertAlign w:val="superscript"/>
              </w:rPr>
              <w:endnoteReference w:id="27"/>
            </w:r>
          </w:p>
        </w:tc>
      </w:tr>
      <w:tr w:rsidR="00DB576D" w:rsidRPr="00887008" w14:paraId="15482866" w14:textId="77777777" w:rsidTr="00287713">
        <w:trPr>
          <w:trHeight w:val="288"/>
        </w:trPr>
        <w:tc>
          <w:tcPr>
            <w:tcW w:w="1313" w:type="dxa"/>
            <w:tcBorders>
              <w:bottom w:val="single" w:sz="4" w:space="0" w:color="auto"/>
            </w:tcBorders>
            <w:vAlign w:val="center"/>
          </w:tcPr>
          <w:p w14:paraId="36AC191B" w14:textId="77777777" w:rsidR="00DB576D" w:rsidRPr="00887008" w:rsidRDefault="00DB576D" w:rsidP="00887008">
            <w:pPr>
              <w:spacing w:before="40"/>
              <w:jc w:val="left"/>
              <w:rPr>
                <w:sz w:val="20"/>
                <w:szCs w:val="20"/>
                <w:lang w:val="de-DE"/>
              </w:rPr>
            </w:pPr>
            <w:r w:rsidRPr="00887008">
              <w:rPr>
                <w:sz w:val="20"/>
                <w:szCs w:val="20"/>
                <w:lang w:val="de-DE"/>
              </w:rPr>
              <w:t>11/18/2019</w:t>
            </w:r>
          </w:p>
        </w:tc>
        <w:tc>
          <w:tcPr>
            <w:tcW w:w="720" w:type="dxa"/>
            <w:tcBorders>
              <w:bottom w:val="single" w:sz="4" w:space="0" w:color="auto"/>
            </w:tcBorders>
            <w:vAlign w:val="center"/>
          </w:tcPr>
          <w:p w14:paraId="034BF45C" w14:textId="77777777" w:rsidR="00DB576D" w:rsidRPr="00887008" w:rsidRDefault="00DB576D" w:rsidP="00887008">
            <w:pPr>
              <w:spacing w:before="40"/>
              <w:jc w:val="left"/>
              <w:rPr>
                <w:sz w:val="20"/>
                <w:szCs w:val="20"/>
              </w:rPr>
            </w:pPr>
            <w:r w:rsidRPr="00887008">
              <w:rPr>
                <w:sz w:val="20"/>
                <w:szCs w:val="20"/>
              </w:rPr>
              <w:t>-</w:t>
            </w:r>
          </w:p>
        </w:tc>
        <w:tc>
          <w:tcPr>
            <w:tcW w:w="5904" w:type="dxa"/>
            <w:tcBorders>
              <w:bottom w:val="single" w:sz="4" w:space="0" w:color="auto"/>
            </w:tcBorders>
            <w:vAlign w:val="center"/>
          </w:tcPr>
          <w:p w14:paraId="13EA0ED8" w14:textId="77777777" w:rsidR="00DB576D" w:rsidRPr="00887008" w:rsidRDefault="00DB576D" w:rsidP="00887008">
            <w:pPr>
              <w:spacing w:before="40"/>
              <w:jc w:val="left"/>
              <w:rPr>
                <w:sz w:val="20"/>
                <w:szCs w:val="20"/>
              </w:rPr>
            </w:pPr>
            <w:r w:rsidRPr="00887008">
              <w:rPr>
                <w:sz w:val="20"/>
                <w:szCs w:val="20"/>
              </w:rPr>
              <w:t>Third 90-day Huawei TGL becomes effective</w:t>
            </w:r>
          </w:p>
        </w:tc>
      </w:tr>
      <w:tr w:rsidR="00DB576D" w:rsidRPr="00887008" w14:paraId="4BD883CE" w14:textId="77777777" w:rsidTr="00287713">
        <w:trPr>
          <w:trHeight w:val="288"/>
        </w:trPr>
        <w:tc>
          <w:tcPr>
            <w:tcW w:w="1313" w:type="dxa"/>
            <w:tcBorders>
              <w:top w:val="single" w:sz="4" w:space="0" w:color="auto"/>
              <w:bottom w:val="single" w:sz="4" w:space="0" w:color="auto"/>
            </w:tcBorders>
            <w:vAlign w:val="center"/>
          </w:tcPr>
          <w:p w14:paraId="0C4296D1" w14:textId="77777777" w:rsidR="00DB576D" w:rsidRPr="00887008" w:rsidRDefault="00DB576D" w:rsidP="00887008">
            <w:pPr>
              <w:spacing w:before="40"/>
              <w:jc w:val="left"/>
              <w:rPr>
                <w:sz w:val="20"/>
                <w:szCs w:val="20"/>
                <w:lang w:val="de-DE"/>
              </w:rPr>
            </w:pPr>
            <w:r w:rsidRPr="00887008">
              <w:rPr>
                <w:sz w:val="20"/>
                <w:szCs w:val="20"/>
                <w:lang w:val="de-DE"/>
              </w:rPr>
              <w:t>11/20/2019</w:t>
            </w:r>
          </w:p>
        </w:tc>
        <w:tc>
          <w:tcPr>
            <w:tcW w:w="720" w:type="dxa"/>
            <w:tcBorders>
              <w:top w:val="single" w:sz="4" w:space="0" w:color="auto"/>
              <w:bottom w:val="single" w:sz="4" w:space="0" w:color="auto"/>
            </w:tcBorders>
            <w:vAlign w:val="center"/>
          </w:tcPr>
          <w:p w14:paraId="71A08785" w14:textId="77777777" w:rsidR="00DB576D" w:rsidRPr="00887008" w:rsidRDefault="00DB576D" w:rsidP="00887008">
            <w:pPr>
              <w:spacing w:before="40"/>
              <w:jc w:val="left"/>
              <w:rPr>
                <w:sz w:val="20"/>
                <w:szCs w:val="20"/>
              </w:rPr>
            </w:pPr>
            <w:r w:rsidRPr="00887008">
              <w:rPr>
                <w:sz w:val="20"/>
                <w:szCs w:val="20"/>
              </w:rPr>
              <w:t>-</w:t>
            </w:r>
          </w:p>
        </w:tc>
        <w:tc>
          <w:tcPr>
            <w:tcW w:w="5904" w:type="dxa"/>
            <w:tcBorders>
              <w:top w:val="single" w:sz="4" w:space="0" w:color="auto"/>
              <w:bottom w:val="single" w:sz="4" w:space="0" w:color="auto"/>
            </w:tcBorders>
            <w:vAlign w:val="center"/>
          </w:tcPr>
          <w:p w14:paraId="367BF0FA" w14:textId="77777777" w:rsidR="00DB576D" w:rsidRPr="00887008" w:rsidRDefault="00DB576D" w:rsidP="00887008">
            <w:pPr>
              <w:spacing w:before="40"/>
              <w:jc w:val="left"/>
              <w:rPr>
                <w:sz w:val="20"/>
                <w:szCs w:val="20"/>
              </w:rPr>
            </w:pPr>
            <w:r w:rsidRPr="00887008">
              <w:rPr>
                <w:sz w:val="20"/>
                <w:szCs w:val="20"/>
              </w:rPr>
              <w:t>Third 90-day Huawei TGL is published in the Federal Register</w:t>
            </w:r>
            <w:r w:rsidRPr="00887008">
              <w:rPr>
                <w:sz w:val="20"/>
                <w:szCs w:val="20"/>
                <w:vertAlign w:val="superscript"/>
              </w:rPr>
              <w:endnoteReference w:id="28"/>
            </w:r>
          </w:p>
        </w:tc>
      </w:tr>
      <w:tr w:rsidR="00DB576D" w:rsidRPr="00887008" w14:paraId="7FDCAD2A" w14:textId="77777777" w:rsidTr="00287713">
        <w:trPr>
          <w:trHeight w:val="288"/>
        </w:trPr>
        <w:tc>
          <w:tcPr>
            <w:tcW w:w="1313" w:type="dxa"/>
            <w:tcBorders>
              <w:top w:val="single" w:sz="4" w:space="0" w:color="auto"/>
              <w:bottom w:val="single" w:sz="4" w:space="0" w:color="auto"/>
            </w:tcBorders>
            <w:vAlign w:val="center"/>
          </w:tcPr>
          <w:p w14:paraId="4C455FA2" w14:textId="19FBB10E" w:rsidR="00DB576D" w:rsidRPr="00887008" w:rsidRDefault="006A018D" w:rsidP="00887008">
            <w:pPr>
              <w:spacing w:before="40"/>
              <w:jc w:val="left"/>
              <w:rPr>
                <w:sz w:val="20"/>
                <w:szCs w:val="20"/>
                <w:lang w:val="de-DE"/>
              </w:rPr>
            </w:pPr>
            <w:r>
              <w:rPr>
                <w:sz w:val="20"/>
                <w:szCs w:val="20"/>
                <w:lang w:val="de-DE"/>
              </w:rPr>
              <w:t>0</w:t>
            </w:r>
            <w:r w:rsidR="00DB576D" w:rsidRPr="00887008">
              <w:rPr>
                <w:sz w:val="20"/>
                <w:szCs w:val="20"/>
                <w:lang w:val="de-DE"/>
              </w:rPr>
              <w:t>2/13/2020</w:t>
            </w:r>
          </w:p>
        </w:tc>
        <w:tc>
          <w:tcPr>
            <w:tcW w:w="720" w:type="dxa"/>
            <w:tcBorders>
              <w:top w:val="single" w:sz="4" w:space="0" w:color="auto"/>
              <w:bottom w:val="single" w:sz="4" w:space="0" w:color="auto"/>
            </w:tcBorders>
            <w:vAlign w:val="center"/>
          </w:tcPr>
          <w:p w14:paraId="1C72B5FA" w14:textId="77777777" w:rsidR="00DB576D" w:rsidRPr="00887008" w:rsidRDefault="00DB576D" w:rsidP="00887008">
            <w:pPr>
              <w:spacing w:before="40"/>
              <w:jc w:val="left"/>
              <w:rPr>
                <w:sz w:val="20"/>
                <w:szCs w:val="20"/>
              </w:rPr>
            </w:pPr>
            <w:r w:rsidRPr="00887008">
              <w:rPr>
                <w:sz w:val="20"/>
                <w:szCs w:val="20"/>
              </w:rPr>
              <w:t>-</w:t>
            </w:r>
          </w:p>
        </w:tc>
        <w:tc>
          <w:tcPr>
            <w:tcW w:w="5904" w:type="dxa"/>
            <w:tcBorders>
              <w:top w:val="single" w:sz="4" w:space="0" w:color="auto"/>
              <w:bottom w:val="single" w:sz="4" w:space="0" w:color="auto"/>
            </w:tcBorders>
            <w:vAlign w:val="center"/>
          </w:tcPr>
          <w:p w14:paraId="77BBEF6A" w14:textId="77777777" w:rsidR="00DB576D" w:rsidRPr="00887008" w:rsidRDefault="00DB576D" w:rsidP="00887008">
            <w:pPr>
              <w:spacing w:before="40"/>
              <w:jc w:val="left"/>
              <w:rPr>
                <w:sz w:val="20"/>
                <w:szCs w:val="20"/>
              </w:rPr>
            </w:pPr>
            <w:r w:rsidRPr="00887008">
              <w:rPr>
                <w:sz w:val="20"/>
                <w:szCs w:val="20"/>
              </w:rPr>
              <w:t>Fourth 90-day Huawei TGL becomes effective</w:t>
            </w:r>
          </w:p>
        </w:tc>
      </w:tr>
      <w:tr w:rsidR="00DB576D" w:rsidRPr="00887008" w14:paraId="7053B44F" w14:textId="77777777" w:rsidTr="00287713">
        <w:trPr>
          <w:trHeight w:val="288"/>
        </w:trPr>
        <w:tc>
          <w:tcPr>
            <w:tcW w:w="1313" w:type="dxa"/>
            <w:tcBorders>
              <w:top w:val="single" w:sz="4" w:space="0" w:color="auto"/>
              <w:bottom w:val="single" w:sz="4" w:space="0" w:color="auto"/>
            </w:tcBorders>
            <w:vAlign w:val="center"/>
          </w:tcPr>
          <w:p w14:paraId="4FEC279B" w14:textId="67C4142A" w:rsidR="00DB576D" w:rsidRPr="00887008" w:rsidRDefault="006A018D" w:rsidP="00887008">
            <w:pPr>
              <w:spacing w:before="40"/>
              <w:jc w:val="left"/>
              <w:rPr>
                <w:sz w:val="20"/>
                <w:szCs w:val="20"/>
                <w:lang w:val="de-DE"/>
              </w:rPr>
            </w:pPr>
            <w:r>
              <w:rPr>
                <w:sz w:val="20"/>
                <w:szCs w:val="20"/>
                <w:lang w:val="de-DE"/>
              </w:rPr>
              <w:t>0</w:t>
            </w:r>
            <w:r w:rsidR="00DB576D" w:rsidRPr="00887008">
              <w:rPr>
                <w:sz w:val="20"/>
                <w:szCs w:val="20"/>
                <w:lang w:val="de-DE"/>
              </w:rPr>
              <w:t>2/18/2020</w:t>
            </w:r>
          </w:p>
        </w:tc>
        <w:tc>
          <w:tcPr>
            <w:tcW w:w="720" w:type="dxa"/>
            <w:tcBorders>
              <w:top w:val="single" w:sz="4" w:space="0" w:color="auto"/>
              <w:bottom w:val="single" w:sz="4" w:space="0" w:color="auto"/>
            </w:tcBorders>
            <w:vAlign w:val="center"/>
          </w:tcPr>
          <w:p w14:paraId="31B84F2F" w14:textId="77777777" w:rsidR="00DB576D" w:rsidRPr="00887008" w:rsidRDefault="00DB576D" w:rsidP="00887008">
            <w:pPr>
              <w:spacing w:before="40"/>
              <w:jc w:val="left"/>
              <w:rPr>
                <w:sz w:val="20"/>
                <w:szCs w:val="20"/>
              </w:rPr>
            </w:pPr>
            <w:r w:rsidRPr="00887008">
              <w:rPr>
                <w:sz w:val="20"/>
                <w:szCs w:val="20"/>
              </w:rPr>
              <w:t>-</w:t>
            </w:r>
          </w:p>
        </w:tc>
        <w:tc>
          <w:tcPr>
            <w:tcW w:w="5904" w:type="dxa"/>
            <w:tcBorders>
              <w:top w:val="single" w:sz="4" w:space="0" w:color="auto"/>
              <w:bottom w:val="single" w:sz="4" w:space="0" w:color="auto"/>
            </w:tcBorders>
            <w:vAlign w:val="center"/>
          </w:tcPr>
          <w:p w14:paraId="06C28ACE" w14:textId="77777777" w:rsidR="00DB576D" w:rsidRPr="00887008" w:rsidRDefault="00DB576D" w:rsidP="00887008">
            <w:pPr>
              <w:spacing w:before="40"/>
              <w:jc w:val="left"/>
              <w:rPr>
                <w:sz w:val="20"/>
                <w:szCs w:val="20"/>
              </w:rPr>
            </w:pPr>
            <w:r w:rsidRPr="00887008">
              <w:rPr>
                <w:sz w:val="20"/>
                <w:szCs w:val="20"/>
              </w:rPr>
              <w:t>Fourth 90-day Huawei TGL is published in the Federal Register</w:t>
            </w:r>
            <w:r w:rsidRPr="00887008">
              <w:rPr>
                <w:sz w:val="20"/>
                <w:szCs w:val="20"/>
                <w:vertAlign w:val="superscript"/>
              </w:rPr>
              <w:endnoteReference w:id="29"/>
            </w:r>
          </w:p>
        </w:tc>
      </w:tr>
      <w:tr w:rsidR="00DB576D" w:rsidRPr="00887008" w14:paraId="10C387F2" w14:textId="77777777" w:rsidTr="00287713">
        <w:trPr>
          <w:trHeight w:val="288"/>
        </w:trPr>
        <w:tc>
          <w:tcPr>
            <w:tcW w:w="1313" w:type="dxa"/>
            <w:tcBorders>
              <w:top w:val="single" w:sz="4" w:space="0" w:color="auto"/>
              <w:bottom w:val="single" w:sz="4" w:space="0" w:color="auto"/>
            </w:tcBorders>
            <w:vAlign w:val="center"/>
          </w:tcPr>
          <w:p w14:paraId="563932BC" w14:textId="6846844B" w:rsidR="00DB576D" w:rsidRPr="00887008" w:rsidRDefault="006A018D" w:rsidP="00887008">
            <w:pPr>
              <w:spacing w:before="40"/>
              <w:jc w:val="left"/>
              <w:rPr>
                <w:sz w:val="20"/>
                <w:szCs w:val="20"/>
              </w:rPr>
            </w:pPr>
            <w:r>
              <w:rPr>
                <w:sz w:val="20"/>
                <w:szCs w:val="20"/>
              </w:rPr>
              <w:t>0</w:t>
            </w:r>
            <w:r w:rsidR="00DB576D" w:rsidRPr="00887008">
              <w:rPr>
                <w:sz w:val="20"/>
                <w:szCs w:val="20"/>
              </w:rPr>
              <w:t>3/10/2020</w:t>
            </w:r>
          </w:p>
        </w:tc>
        <w:tc>
          <w:tcPr>
            <w:tcW w:w="720" w:type="dxa"/>
            <w:tcBorders>
              <w:top w:val="single" w:sz="4" w:space="0" w:color="auto"/>
              <w:bottom w:val="single" w:sz="4" w:space="0" w:color="auto"/>
            </w:tcBorders>
            <w:vAlign w:val="center"/>
          </w:tcPr>
          <w:p w14:paraId="6B5C2FD5" w14:textId="77777777" w:rsidR="00DB576D" w:rsidRPr="00887008" w:rsidRDefault="00DB576D" w:rsidP="00887008">
            <w:pPr>
              <w:spacing w:before="40"/>
              <w:jc w:val="left"/>
              <w:rPr>
                <w:sz w:val="20"/>
                <w:szCs w:val="20"/>
              </w:rPr>
            </w:pPr>
            <w:r w:rsidRPr="00887008">
              <w:rPr>
                <w:sz w:val="20"/>
                <w:szCs w:val="20"/>
              </w:rPr>
              <w:t>-</w:t>
            </w:r>
          </w:p>
        </w:tc>
        <w:tc>
          <w:tcPr>
            <w:tcW w:w="5904" w:type="dxa"/>
            <w:tcBorders>
              <w:top w:val="single" w:sz="4" w:space="0" w:color="auto"/>
              <w:bottom w:val="single" w:sz="4" w:space="0" w:color="auto"/>
            </w:tcBorders>
            <w:vAlign w:val="center"/>
          </w:tcPr>
          <w:p w14:paraId="4AA400E7" w14:textId="652D2440" w:rsidR="00DB576D" w:rsidRPr="00887008" w:rsidRDefault="00DB576D" w:rsidP="00887008">
            <w:pPr>
              <w:spacing w:before="40"/>
              <w:jc w:val="left"/>
              <w:rPr>
                <w:sz w:val="20"/>
                <w:szCs w:val="20"/>
              </w:rPr>
            </w:pPr>
            <w:r w:rsidRPr="00887008">
              <w:rPr>
                <w:sz w:val="20"/>
                <w:szCs w:val="20"/>
              </w:rPr>
              <w:t xml:space="preserve">Special extension of Huawei TGL until </w:t>
            </w:r>
            <w:r w:rsidR="006F7B99">
              <w:rPr>
                <w:sz w:val="20"/>
                <w:szCs w:val="20"/>
              </w:rPr>
              <w:t xml:space="preserve">15 </w:t>
            </w:r>
            <w:r w:rsidRPr="00887008">
              <w:rPr>
                <w:sz w:val="20"/>
                <w:szCs w:val="20"/>
              </w:rPr>
              <w:t xml:space="preserve">May 2020 becomes effective </w:t>
            </w:r>
          </w:p>
        </w:tc>
      </w:tr>
      <w:tr w:rsidR="00DB576D" w:rsidRPr="00887008" w14:paraId="160DD9C9" w14:textId="77777777" w:rsidTr="00287713">
        <w:trPr>
          <w:trHeight w:val="288"/>
        </w:trPr>
        <w:tc>
          <w:tcPr>
            <w:tcW w:w="1313" w:type="dxa"/>
            <w:tcBorders>
              <w:top w:val="single" w:sz="4" w:space="0" w:color="auto"/>
              <w:bottom w:val="single" w:sz="4" w:space="0" w:color="auto"/>
            </w:tcBorders>
            <w:vAlign w:val="center"/>
          </w:tcPr>
          <w:p w14:paraId="38430337" w14:textId="744E26CE" w:rsidR="00DB576D" w:rsidRPr="00887008" w:rsidRDefault="006A018D" w:rsidP="00887008">
            <w:pPr>
              <w:spacing w:before="40"/>
              <w:jc w:val="left"/>
              <w:rPr>
                <w:sz w:val="20"/>
                <w:szCs w:val="20"/>
              </w:rPr>
            </w:pPr>
            <w:r>
              <w:rPr>
                <w:sz w:val="20"/>
                <w:szCs w:val="20"/>
              </w:rPr>
              <w:t>0</w:t>
            </w:r>
            <w:r w:rsidR="00DB576D" w:rsidRPr="00887008">
              <w:rPr>
                <w:sz w:val="20"/>
                <w:szCs w:val="20"/>
              </w:rPr>
              <w:t>3/12/2020</w:t>
            </w:r>
          </w:p>
        </w:tc>
        <w:tc>
          <w:tcPr>
            <w:tcW w:w="720" w:type="dxa"/>
            <w:tcBorders>
              <w:top w:val="single" w:sz="4" w:space="0" w:color="auto"/>
              <w:bottom w:val="single" w:sz="4" w:space="0" w:color="auto"/>
            </w:tcBorders>
            <w:vAlign w:val="center"/>
          </w:tcPr>
          <w:p w14:paraId="7DDF2693" w14:textId="77777777" w:rsidR="00DB576D" w:rsidRPr="00887008" w:rsidRDefault="00DB576D" w:rsidP="00887008">
            <w:pPr>
              <w:spacing w:before="40"/>
              <w:jc w:val="left"/>
              <w:rPr>
                <w:sz w:val="20"/>
                <w:szCs w:val="20"/>
              </w:rPr>
            </w:pPr>
            <w:r w:rsidRPr="00887008">
              <w:rPr>
                <w:sz w:val="20"/>
                <w:szCs w:val="20"/>
              </w:rPr>
              <w:t>-</w:t>
            </w:r>
          </w:p>
        </w:tc>
        <w:tc>
          <w:tcPr>
            <w:tcW w:w="5904" w:type="dxa"/>
            <w:tcBorders>
              <w:top w:val="single" w:sz="4" w:space="0" w:color="auto"/>
              <w:bottom w:val="single" w:sz="4" w:space="0" w:color="auto"/>
            </w:tcBorders>
            <w:vAlign w:val="center"/>
          </w:tcPr>
          <w:p w14:paraId="74D7CE2F" w14:textId="77777777" w:rsidR="00DB576D" w:rsidRPr="00887008" w:rsidRDefault="00DB576D" w:rsidP="00887008">
            <w:pPr>
              <w:spacing w:before="40"/>
              <w:jc w:val="left"/>
              <w:rPr>
                <w:sz w:val="20"/>
                <w:szCs w:val="20"/>
              </w:rPr>
            </w:pPr>
            <w:r w:rsidRPr="00887008">
              <w:rPr>
                <w:sz w:val="20"/>
                <w:szCs w:val="20"/>
              </w:rPr>
              <w:t>Special extension of Huawei TGL is published in the Federal Register</w:t>
            </w:r>
            <w:r w:rsidRPr="00887008">
              <w:rPr>
                <w:sz w:val="20"/>
                <w:szCs w:val="20"/>
                <w:vertAlign w:val="superscript"/>
              </w:rPr>
              <w:endnoteReference w:id="30"/>
            </w:r>
          </w:p>
        </w:tc>
      </w:tr>
      <w:tr w:rsidR="00DB576D" w:rsidRPr="00887008" w14:paraId="1824F9F8" w14:textId="77777777" w:rsidTr="00287713">
        <w:trPr>
          <w:trHeight w:val="288"/>
        </w:trPr>
        <w:tc>
          <w:tcPr>
            <w:tcW w:w="1313" w:type="dxa"/>
            <w:tcBorders>
              <w:top w:val="single" w:sz="4" w:space="0" w:color="auto"/>
              <w:bottom w:val="single" w:sz="4" w:space="0" w:color="auto"/>
            </w:tcBorders>
            <w:vAlign w:val="center"/>
          </w:tcPr>
          <w:p w14:paraId="2C68BF79" w14:textId="7533ACCF" w:rsidR="00DB576D" w:rsidRPr="00887008" w:rsidRDefault="006A018D" w:rsidP="00887008">
            <w:pPr>
              <w:spacing w:before="40"/>
              <w:jc w:val="left"/>
              <w:rPr>
                <w:sz w:val="20"/>
                <w:szCs w:val="20"/>
              </w:rPr>
            </w:pPr>
            <w:r>
              <w:rPr>
                <w:sz w:val="20"/>
                <w:szCs w:val="20"/>
              </w:rPr>
              <w:t>0</w:t>
            </w:r>
            <w:r w:rsidR="00DB576D" w:rsidRPr="00887008">
              <w:rPr>
                <w:sz w:val="20"/>
                <w:szCs w:val="20"/>
              </w:rPr>
              <w:t>3/12/2020</w:t>
            </w:r>
          </w:p>
        </w:tc>
        <w:tc>
          <w:tcPr>
            <w:tcW w:w="720" w:type="dxa"/>
            <w:tcBorders>
              <w:top w:val="single" w:sz="4" w:space="0" w:color="auto"/>
              <w:bottom w:val="single" w:sz="4" w:space="0" w:color="auto"/>
            </w:tcBorders>
            <w:vAlign w:val="center"/>
          </w:tcPr>
          <w:p w14:paraId="49865B6D" w14:textId="77777777" w:rsidR="00DB576D" w:rsidRPr="00887008" w:rsidRDefault="00DB576D" w:rsidP="00887008">
            <w:pPr>
              <w:spacing w:before="40"/>
              <w:jc w:val="left"/>
              <w:rPr>
                <w:sz w:val="20"/>
                <w:szCs w:val="20"/>
              </w:rPr>
            </w:pPr>
            <w:r w:rsidRPr="00887008">
              <w:rPr>
                <w:sz w:val="20"/>
                <w:szCs w:val="20"/>
              </w:rPr>
              <w:t>-</w:t>
            </w:r>
          </w:p>
        </w:tc>
        <w:tc>
          <w:tcPr>
            <w:tcW w:w="5904" w:type="dxa"/>
            <w:tcBorders>
              <w:top w:val="single" w:sz="4" w:space="0" w:color="auto"/>
              <w:bottom w:val="single" w:sz="4" w:space="0" w:color="auto"/>
            </w:tcBorders>
            <w:vAlign w:val="center"/>
          </w:tcPr>
          <w:p w14:paraId="426E2F9A" w14:textId="77777777" w:rsidR="00DB576D" w:rsidRPr="00887008" w:rsidRDefault="00DB576D" w:rsidP="00887008">
            <w:pPr>
              <w:spacing w:before="40"/>
              <w:jc w:val="left"/>
              <w:rPr>
                <w:sz w:val="20"/>
                <w:szCs w:val="20"/>
              </w:rPr>
            </w:pPr>
            <w:r w:rsidRPr="00887008">
              <w:rPr>
                <w:sz w:val="20"/>
                <w:szCs w:val="20"/>
              </w:rPr>
              <w:t>Request for comments on future extensions of Huawei TGL</w:t>
            </w:r>
            <w:r w:rsidRPr="00887008">
              <w:rPr>
                <w:sz w:val="20"/>
                <w:szCs w:val="20"/>
                <w:vertAlign w:val="superscript"/>
              </w:rPr>
              <w:endnoteReference w:id="31"/>
            </w:r>
          </w:p>
        </w:tc>
      </w:tr>
      <w:tr w:rsidR="00DB576D" w:rsidRPr="00887008" w14:paraId="344E434B" w14:textId="77777777" w:rsidTr="00287713">
        <w:trPr>
          <w:trHeight w:val="288"/>
        </w:trPr>
        <w:tc>
          <w:tcPr>
            <w:tcW w:w="1313" w:type="dxa"/>
            <w:tcBorders>
              <w:top w:val="single" w:sz="4" w:space="0" w:color="auto"/>
              <w:bottom w:val="single" w:sz="4" w:space="0" w:color="auto"/>
            </w:tcBorders>
            <w:vAlign w:val="center"/>
          </w:tcPr>
          <w:p w14:paraId="5D965C75" w14:textId="5A798AB1" w:rsidR="00DB576D" w:rsidRPr="00887008" w:rsidRDefault="006A018D" w:rsidP="00887008">
            <w:pPr>
              <w:spacing w:before="40"/>
              <w:jc w:val="left"/>
              <w:rPr>
                <w:sz w:val="20"/>
                <w:szCs w:val="20"/>
              </w:rPr>
            </w:pPr>
            <w:r>
              <w:rPr>
                <w:sz w:val="20"/>
                <w:szCs w:val="20"/>
              </w:rPr>
              <w:t>0</w:t>
            </w:r>
            <w:r w:rsidR="00DB576D" w:rsidRPr="00887008">
              <w:rPr>
                <w:sz w:val="20"/>
                <w:szCs w:val="20"/>
              </w:rPr>
              <w:t>5/15/2020</w:t>
            </w:r>
          </w:p>
        </w:tc>
        <w:tc>
          <w:tcPr>
            <w:tcW w:w="720" w:type="dxa"/>
            <w:tcBorders>
              <w:top w:val="single" w:sz="4" w:space="0" w:color="auto"/>
              <w:bottom w:val="single" w:sz="4" w:space="0" w:color="auto"/>
            </w:tcBorders>
            <w:vAlign w:val="center"/>
          </w:tcPr>
          <w:p w14:paraId="6C65EBA3" w14:textId="77777777" w:rsidR="00DB576D" w:rsidRPr="00887008" w:rsidRDefault="00DB576D" w:rsidP="00887008">
            <w:pPr>
              <w:spacing w:before="40"/>
              <w:jc w:val="left"/>
              <w:rPr>
                <w:sz w:val="20"/>
                <w:szCs w:val="20"/>
              </w:rPr>
            </w:pPr>
            <w:r w:rsidRPr="00887008">
              <w:rPr>
                <w:sz w:val="20"/>
                <w:szCs w:val="20"/>
              </w:rPr>
              <w:t>-</w:t>
            </w:r>
          </w:p>
        </w:tc>
        <w:tc>
          <w:tcPr>
            <w:tcW w:w="5904" w:type="dxa"/>
            <w:tcBorders>
              <w:top w:val="single" w:sz="4" w:space="0" w:color="auto"/>
              <w:bottom w:val="single" w:sz="4" w:space="0" w:color="auto"/>
            </w:tcBorders>
            <w:vAlign w:val="center"/>
          </w:tcPr>
          <w:p w14:paraId="1D0DC514" w14:textId="77777777" w:rsidR="00DB576D" w:rsidRPr="00887008" w:rsidRDefault="00DB576D" w:rsidP="00887008">
            <w:pPr>
              <w:spacing w:before="40"/>
              <w:jc w:val="left"/>
              <w:rPr>
                <w:sz w:val="20"/>
                <w:szCs w:val="20"/>
              </w:rPr>
            </w:pPr>
            <w:r w:rsidRPr="00887008">
              <w:rPr>
                <w:sz w:val="20"/>
                <w:szCs w:val="20"/>
              </w:rPr>
              <w:t>“Expected Final” 90-day Huawei TGL extension announced and becomes effective</w:t>
            </w:r>
            <w:r w:rsidRPr="00887008">
              <w:rPr>
                <w:sz w:val="20"/>
                <w:szCs w:val="20"/>
                <w:vertAlign w:val="superscript"/>
              </w:rPr>
              <w:endnoteReference w:id="32"/>
            </w:r>
          </w:p>
        </w:tc>
      </w:tr>
      <w:tr w:rsidR="00DB576D" w:rsidRPr="00887008" w14:paraId="5076029A" w14:textId="77777777" w:rsidTr="00287713">
        <w:trPr>
          <w:trHeight w:val="288"/>
        </w:trPr>
        <w:tc>
          <w:tcPr>
            <w:tcW w:w="1313" w:type="dxa"/>
            <w:tcBorders>
              <w:top w:val="single" w:sz="4" w:space="0" w:color="auto"/>
              <w:bottom w:val="single" w:sz="4" w:space="0" w:color="auto"/>
            </w:tcBorders>
            <w:vAlign w:val="center"/>
          </w:tcPr>
          <w:p w14:paraId="39786279" w14:textId="03CA8E22" w:rsidR="00DB576D" w:rsidRPr="00887008" w:rsidRDefault="006A018D" w:rsidP="00887008">
            <w:pPr>
              <w:spacing w:before="40"/>
              <w:jc w:val="left"/>
              <w:rPr>
                <w:sz w:val="20"/>
                <w:szCs w:val="20"/>
              </w:rPr>
            </w:pPr>
            <w:r>
              <w:rPr>
                <w:sz w:val="20"/>
                <w:szCs w:val="20"/>
              </w:rPr>
              <w:t>0</w:t>
            </w:r>
            <w:r w:rsidR="00DB576D" w:rsidRPr="00887008">
              <w:rPr>
                <w:sz w:val="20"/>
                <w:szCs w:val="20"/>
              </w:rPr>
              <w:t>5/15/2020</w:t>
            </w:r>
          </w:p>
        </w:tc>
        <w:tc>
          <w:tcPr>
            <w:tcW w:w="720" w:type="dxa"/>
            <w:tcBorders>
              <w:top w:val="single" w:sz="4" w:space="0" w:color="auto"/>
              <w:bottom w:val="single" w:sz="4" w:space="0" w:color="auto"/>
            </w:tcBorders>
            <w:vAlign w:val="center"/>
          </w:tcPr>
          <w:p w14:paraId="5A6687B5" w14:textId="77777777" w:rsidR="00DB576D" w:rsidRPr="00887008" w:rsidRDefault="00DB576D" w:rsidP="00887008">
            <w:pPr>
              <w:spacing w:before="40"/>
              <w:jc w:val="left"/>
              <w:rPr>
                <w:sz w:val="20"/>
                <w:szCs w:val="20"/>
              </w:rPr>
            </w:pPr>
            <w:r w:rsidRPr="00887008">
              <w:rPr>
                <w:sz w:val="20"/>
                <w:szCs w:val="20"/>
              </w:rPr>
              <w:t>-</w:t>
            </w:r>
          </w:p>
        </w:tc>
        <w:tc>
          <w:tcPr>
            <w:tcW w:w="5904" w:type="dxa"/>
            <w:tcBorders>
              <w:top w:val="single" w:sz="4" w:space="0" w:color="auto"/>
              <w:bottom w:val="single" w:sz="4" w:space="0" w:color="auto"/>
            </w:tcBorders>
            <w:vAlign w:val="center"/>
          </w:tcPr>
          <w:p w14:paraId="2A711D19" w14:textId="77777777" w:rsidR="00DB576D" w:rsidRPr="00887008" w:rsidRDefault="00DB576D" w:rsidP="00887008">
            <w:pPr>
              <w:spacing w:before="40"/>
              <w:jc w:val="left"/>
              <w:rPr>
                <w:sz w:val="20"/>
                <w:szCs w:val="20"/>
              </w:rPr>
            </w:pPr>
            <w:r w:rsidRPr="00887008">
              <w:rPr>
                <w:sz w:val="20"/>
                <w:szCs w:val="20"/>
              </w:rPr>
              <w:t xml:space="preserve">Final Rule: Export Administration Regulations: Amendments to General Prohibition Three (Foreign-Produced Direct Product Rule) and the Entity List. </w:t>
            </w:r>
            <w:r w:rsidRPr="00887008">
              <w:rPr>
                <w:i/>
                <w:iCs/>
                <w:sz w:val="20"/>
                <w:szCs w:val="20"/>
              </w:rPr>
              <w:t>Note: Huawei-targeted final rule.</w:t>
            </w:r>
            <w:r w:rsidRPr="00887008">
              <w:rPr>
                <w:i/>
                <w:iCs/>
                <w:sz w:val="20"/>
                <w:szCs w:val="20"/>
                <w:vertAlign w:val="superscript"/>
              </w:rPr>
              <w:endnoteReference w:id="33"/>
            </w:r>
          </w:p>
        </w:tc>
      </w:tr>
      <w:tr w:rsidR="00DB576D" w:rsidRPr="00887008" w14:paraId="594C4C21" w14:textId="77777777" w:rsidTr="00287713">
        <w:trPr>
          <w:trHeight w:val="288"/>
        </w:trPr>
        <w:tc>
          <w:tcPr>
            <w:tcW w:w="1313" w:type="dxa"/>
            <w:tcBorders>
              <w:top w:val="single" w:sz="4" w:space="0" w:color="auto"/>
              <w:bottom w:val="single" w:sz="4" w:space="0" w:color="auto"/>
            </w:tcBorders>
            <w:vAlign w:val="center"/>
          </w:tcPr>
          <w:p w14:paraId="5A4EA277" w14:textId="0CBB5C10" w:rsidR="00DB576D" w:rsidRPr="00887008" w:rsidRDefault="006A018D" w:rsidP="00887008">
            <w:pPr>
              <w:spacing w:before="40"/>
              <w:jc w:val="left"/>
              <w:rPr>
                <w:sz w:val="20"/>
                <w:szCs w:val="20"/>
              </w:rPr>
            </w:pPr>
            <w:r>
              <w:rPr>
                <w:sz w:val="20"/>
                <w:szCs w:val="20"/>
              </w:rPr>
              <w:t>0</w:t>
            </w:r>
            <w:r w:rsidR="00DB576D" w:rsidRPr="00887008">
              <w:rPr>
                <w:sz w:val="20"/>
                <w:szCs w:val="20"/>
              </w:rPr>
              <w:t>5/18/2020</w:t>
            </w:r>
          </w:p>
        </w:tc>
        <w:tc>
          <w:tcPr>
            <w:tcW w:w="720" w:type="dxa"/>
            <w:tcBorders>
              <w:top w:val="single" w:sz="4" w:space="0" w:color="auto"/>
              <w:bottom w:val="single" w:sz="4" w:space="0" w:color="auto"/>
            </w:tcBorders>
            <w:vAlign w:val="center"/>
          </w:tcPr>
          <w:p w14:paraId="15BB84E0" w14:textId="77777777" w:rsidR="00DB576D" w:rsidRPr="00887008" w:rsidRDefault="00DB576D" w:rsidP="00887008">
            <w:pPr>
              <w:spacing w:before="40"/>
              <w:jc w:val="left"/>
              <w:rPr>
                <w:sz w:val="20"/>
                <w:szCs w:val="20"/>
              </w:rPr>
            </w:pPr>
            <w:r w:rsidRPr="00887008">
              <w:rPr>
                <w:sz w:val="20"/>
                <w:szCs w:val="20"/>
              </w:rPr>
              <w:t>-</w:t>
            </w:r>
          </w:p>
        </w:tc>
        <w:tc>
          <w:tcPr>
            <w:tcW w:w="5904" w:type="dxa"/>
            <w:tcBorders>
              <w:top w:val="single" w:sz="4" w:space="0" w:color="auto"/>
              <w:bottom w:val="single" w:sz="4" w:space="0" w:color="auto"/>
            </w:tcBorders>
            <w:vAlign w:val="center"/>
          </w:tcPr>
          <w:p w14:paraId="55E55074" w14:textId="77777777" w:rsidR="00DB576D" w:rsidRPr="00887008" w:rsidRDefault="00DB576D" w:rsidP="00887008">
            <w:pPr>
              <w:spacing w:before="40"/>
              <w:jc w:val="left"/>
              <w:rPr>
                <w:sz w:val="20"/>
                <w:szCs w:val="20"/>
              </w:rPr>
            </w:pPr>
            <w:r w:rsidRPr="00887008">
              <w:rPr>
                <w:sz w:val="20"/>
                <w:szCs w:val="20"/>
              </w:rPr>
              <w:t>“Expected Final” 90-day Huawei TGL extension is published in the Federal Register</w:t>
            </w:r>
            <w:r w:rsidRPr="00887008">
              <w:rPr>
                <w:sz w:val="20"/>
                <w:szCs w:val="20"/>
                <w:vertAlign w:val="superscript"/>
              </w:rPr>
              <w:endnoteReference w:id="34"/>
            </w:r>
          </w:p>
        </w:tc>
      </w:tr>
      <w:tr w:rsidR="00DB576D" w:rsidRPr="00887008" w14:paraId="4C52025A" w14:textId="77777777" w:rsidTr="00287713">
        <w:trPr>
          <w:trHeight w:val="288"/>
        </w:trPr>
        <w:tc>
          <w:tcPr>
            <w:tcW w:w="1313" w:type="dxa"/>
            <w:tcBorders>
              <w:top w:val="single" w:sz="4" w:space="0" w:color="auto"/>
              <w:bottom w:val="single" w:sz="4" w:space="0" w:color="auto"/>
            </w:tcBorders>
            <w:vAlign w:val="center"/>
          </w:tcPr>
          <w:p w14:paraId="5F116D98" w14:textId="0AC77DA6" w:rsidR="00DB576D" w:rsidRPr="00887008" w:rsidRDefault="006A018D" w:rsidP="00887008">
            <w:pPr>
              <w:spacing w:before="40"/>
              <w:jc w:val="left"/>
              <w:rPr>
                <w:sz w:val="20"/>
                <w:szCs w:val="20"/>
              </w:rPr>
            </w:pPr>
            <w:r>
              <w:rPr>
                <w:sz w:val="20"/>
                <w:szCs w:val="20"/>
              </w:rPr>
              <w:t>0</w:t>
            </w:r>
            <w:r w:rsidR="00DB576D" w:rsidRPr="00887008">
              <w:rPr>
                <w:sz w:val="20"/>
                <w:szCs w:val="20"/>
              </w:rPr>
              <w:t>5/19/2020</w:t>
            </w:r>
          </w:p>
        </w:tc>
        <w:tc>
          <w:tcPr>
            <w:tcW w:w="720" w:type="dxa"/>
            <w:tcBorders>
              <w:top w:val="single" w:sz="4" w:space="0" w:color="auto"/>
              <w:bottom w:val="single" w:sz="4" w:space="0" w:color="auto"/>
            </w:tcBorders>
            <w:vAlign w:val="center"/>
          </w:tcPr>
          <w:p w14:paraId="3AA657BB" w14:textId="77777777" w:rsidR="00DB576D" w:rsidRPr="00887008" w:rsidRDefault="00DB576D" w:rsidP="00887008">
            <w:pPr>
              <w:spacing w:before="40"/>
              <w:jc w:val="left"/>
              <w:rPr>
                <w:sz w:val="20"/>
                <w:szCs w:val="20"/>
              </w:rPr>
            </w:pPr>
            <w:r w:rsidRPr="00887008">
              <w:rPr>
                <w:sz w:val="20"/>
                <w:szCs w:val="20"/>
              </w:rPr>
              <w:t>-</w:t>
            </w:r>
          </w:p>
        </w:tc>
        <w:tc>
          <w:tcPr>
            <w:tcW w:w="5904" w:type="dxa"/>
            <w:tcBorders>
              <w:top w:val="single" w:sz="4" w:space="0" w:color="auto"/>
              <w:bottom w:val="single" w:sz="4" w:space="0" w:color="auto"/>
            </w:tcBorders>
            <w:vAlign w:val="center"/>
          </w:tcPr>
          <w:p w14:paraId="1A806FE9" w14:textId="77777777" w:rsidR="00DB576D" w:rsidRPr="00887008" w:rsidRDefault="00DB576D" w:rsidP="00887008">
            <w:pPr>
              <w:spacing w:before="40"/>
              <w:jc w:val="left"/>
              <w:rPr>
                <w:sz w:val="20"/>
                <w:szCs w:val="20"/>
              </w:rPr>
            </w:pPr>
            <w:r w:rsidRPr="00887008">
              <w:rPr>
                <w:sz w:val="20"/>
                <w:szCs w:val="20"/>
              </w:rPr>
              <w:t>Foreign Direct Product Rule is published in the Federal Register</w:t>
            </w:r>
            <w:r w:rsidRPr="00887008">
              <w:rPr>
                <w:sz w:val="20"/>
                <w:szCs w:val="20"/>
                <w:vertAlign w:val="superscript"/>
              </w:rPr>
              <w:endnoteReference w:id="35"/>
            </w:r>
          </w:p>
        </w:tc>
      </w:tr>
      <w:tr w:rsidR="00DB576D" w:rsidRPr="00887008" w14:paraId="771F2C56" w14:textId="77777777" w:rsidTr="00287713">
        <w:trPr>
          <w:trHeight w:val="288"/>
        </w:trPr>
        <w:tc>
          <w:tcPr>
            <w:tcW w:w="1313" w:type="dxa"/>
            <w:tcBorders>
              <w:top w:val="single" w:sz="4" w:space="0" w:color="auto"/>
              <w:bottom w:val="single" w:sz="4" w:space="0" w:color="auto"/>
            </w:tcBorders>
            <w:vAlign w:val="center"/>
          </w:tcPr>
          <w:p w14:paraId="01312631" w14:textId="222C06BF" w:rsidR="00DB576D" w:rsidRPr="00887008" w:rsidRDefault="006A018D" w:rsidP="00887008">
            <w:pPr>
              <w:spacing w:before="40"/>
              <w:jc w:val="left"/>
              <w:rPr>
                <w:sz w:val="20"/>
                <w:szCs w:val="20"/>
              </w:rPr>
            </w:pPr>
            <w:r>
              <w:rPr>
                <w:sz w:val="20"/>
                <w:szCs w:val="20"/>
              </w:rPr>
              <w:t>0</w:t>
            </w:r>
            <w:r w:rsidR="00DB576D" w:rsidRPr="00887008">
              <w:rPr>
                <w:sz w:val="20"/>
                <w:szCs w:val="20"/>
              </w:rPr>
              <w:t>6/15/2020</w:t>
            </w:r>
          </w:p>
        </w:tc>
        <w:tc>
          <w:tcPr>
            <w:tcW w:w="720" w:type="dxa"/>
            <w:tcBorders>
              <w:top w:val="single" w:sz="4" w:space="0" w:color="auto"/>
              <w:bottom w:val="single" w:sz="4" w:space="0" w:color="auto"/>
            </w:tcBorders>
            <w:vAlign w:val="center"/>
          </w:tcPr>
          <w:p w14:paraId="5592E411" w14:textId="77777777" w:rsidR="00DB576D" w:rsidRPr="00887008" w:rsidRDefault="00DB576D" w:rsidP="00887008">
            <w:pPr>
              <w:spacing w:before="40"/>
              <w:jc w:val="left"/>
              <w:rPr>
                <w:sz w:val="20"/>
                <w:szCs w:val="20"/>
              </w:rPr>
            </w:pPr>
            <w:r w:rsidRPr="00887008">
              <w:rPr>
                <w:sz w:val="20"/>
                <w:szCs w:val="20"/>
              </w:rPr>
              <w:t>-</w:t>
            </w:r>
          </w:p>
        </w:tc>
        <w:tc>
          <w:tcPr>
            <w:tcW w:w="5904" w:type="dxa"/>
            <w:tcBorders>
              <w:top w:val="single" w:sz="4" w:space="0" w:color="auto"/>
              <w:bottom w:val="single" w:sz="4" w:space="0" w:color="auto"/>
            </w:tcBorders>
            <w:vAlign w:val="center"/>
          </w:tcPr>
          <w:p w14:paraId="7F4437D7" w14:textId="77777777" w:rsidR="00DB576D" w:rsidRPr="00887008" w:rsidRDefault="00DB576D" w:rsidP="00887008">
            <w:pPr>
              <w:spacing w:before="40"/>
              <w:jc w:val="left"/>
              <w:rPr>
                <w:sz w:val="20"/>
                <w:szCs w:val="20"/>
              </w:rPr>
            </w:pPr>
            <w:r w:rsidRPr="00887008">
              <w:rPr>
                <w:sz w:val="20"/>
                <w:szCs w:val="20"/>
              </w:rPr>
              <w:t>Interim Final Rule: Release of “Technology” to Certain Entities on the Entity List in the Context of Standards Organizations</w:t>
            </w:r>
            <w:r w:rsidRPr="00887008">
              <w:rPr>
                <w:sz w:val="20"/>
                <w:szCs w:val="20"/>
                <w:vertAlign w:val="superscript"/>
              </w:rPr>
              <w:endnoteReference w:id="36"/>
            </w:r>
          </w:p>
        </w:tc>
      </w:tr>
    </w:tbl>
    <w:p w14:paraId="6A7ACD10" w14:textId="77777777" w:rsidR="006F7B99" w:rsidRDefault="006F7B99" w:rsidP="00887008">
      <w:pPr>
        <w:pStyle w:val="Caption"/>
      </w:pPr>
    </w:p>
    <w:p w14:paraId="01F4DB8D" w14:textId="0FD49C3F" w:rsidR="00DB576D" w:rsidRPr="00770501" w:rsidRDefault="00887008" w:rsidP="00887008">
      <w:pPr>
        <w:pStyle w:val="Caption"/>
        <w:rPr>
          <w:b w:val="0"/>
          <w:iCs w:val="0"/>
          <w:szCs w:val="24"/>
        </w:rPr>
      </w:pPr>
      <w:r>
        <w:lastRenderedPageBreak/>
        <w:t xml:space="preserve">Table </w:t>
      </w:r>
      <w:r w:rsidR="0002383E">
        <w:t>A</w:t>
      </w:r>
      <w:r w:rsidR="00F839C8">
        <w:fldChar w:fldCharType="begin"/>
      </w:r>
      <w:r w:rsidR="00F839C8">
        <w:instrText xml:space="preserve"> SEQ Table \* ARABIC </w:instrText>
      </w:r>
      <w:r w:rsidR="00F839C8">
        <w:fldChar w:fldCharType="separate"/>
      </w:r>
      <w:r w:rsidR="00F25795">
        <w:rPr>
          <w:noProof/>
        </w:rPr>
        <w:t>3</w:t>
      </w:r>
      <w:r w:rsidR="00F839C8">
        <w:rPr>
          <w:noProof/>
        </w:rPr>
        <w:fldChar w:fldCharType="end"/>
      </w:r>
      <w:r w:rsidR="00DB576D" w:rsidRPr="00770501">
        <w:rPr>
          <w:szCs w:val="24"/>
        </w:rPr>
        <w:t>: Surveillance Event Entity List Timeline</w:t>
      </w:r>
    </w:p>
    <w:tbl>
      <w:tblPr>
        <w:tblStyle w:val="TableGrid7"/>
        <w:tblW w:w="79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13"/>
        <w:gridCol w:w="720"/>
        <w:gridCol w:w="5904"/>
      </w:tblGrid>
      <w:tr w:rsidR="00DB576D" w:rsidRPr="00887008" w14:paraId="4478A215" w14:textId="77777777" w:rsidTr="00287713">
        <w:trPr>
          <w:trHeight w:val="288"/>
          <w:tblHeader/>
        </w:trPr>
        <w:tc>
          <w:tcPr>
            <w:tcW w:w="1313" w:type="dxa"/>
            <w:tcBorders>
              <w:top w:val="single" w:sz="4" w:space="0" w:color="auto"/>
              <w:bottom w:val="single" w:sz="4" w:space="0" w:color="auto"/>
            </w:tcBorders>
            <w:vAlign w:val="center"/>
          </w:tcPr>
          <w:p w14:paraId="299770E3" w14:textId="77777777" w:rsidR="00DB576D" w:rsidRPr="00887008" w:rsidRDefault="00DB576D" w:rsidP="00887008">
            <w:pPr>
              <w:spacing w:before="40"/>
              <w:jc w:val="left"/>
              <w:rPr>
                <w:b/>
                <w:bCs/>
                <w:sz w:val="20"/>
                <w:szCs w:val="20"/>
                <w:lang w:val="de-DE"/>
              </w:rPr>
            </w:pPr>
            <w:r w:rsidRPr="00887008">
              <w:rPr>
                <w:b/>
                <w:bCs/>
                <w:sz w:val="20"/>
                <w:szCs w:val="20"/>
                <w:lang w:val="de-DE"/>
              </w:rPr>
              <w:t>Date</w:t>
            </w:r>
          </w:p>
        </w:tc>
        <w:tc>
          <w:tcPr>
            <w:tcW w:w="720" w:type="dxa"/>
            <w:tcBorders>
              <w:top w:val="single" w:sz="4" w:space="0" w:color="auto"/>
              <w:bottom w:val="single" w:sz="4" w:space="0" w:color="auto"/>
            </w:tcBorders>
            <w:vAlign w:val="center"/>
          </w:tcPr>
          <w:p w14:paraId="31D284F1" w14:textId="77777777" w:rsidR="00DB576D" w:rsidRPr="00887008" w:rsidRDefault="00DB576D" w:rsidP="00887008">
            <w:pPr>
              <w:spacing w:before="40"/>
              <w:jc w:val="left"/>
              <w:rPr>
                <w:b/>
                <w:bCs/>
                <w:sz w:val="20"/>
                <w:szCs w:val="20"/>
                <w:lang w:val="de-DE"/>
              </w:rPr>
            </w:pPr>
            <w:r w:rsidRPr="00887008">
              <w:rPr>
                <w:b/>
                <w:bCs/>
                <w:sz w:val="20"/>
                <w:szCs w:val="20"/>
                <w:lang w:val="de-DE"/>
              </w:rPr>
              <w:t>t</w:t>
            </w:r>
          </w:p>
        </w:tc>
        <w:tc>
          <w:tcPr>
            <w:tcW w:w="5904" w:type="dxa"/>
            <w:tcBorders>
              <w:top w:val="single" w:sz="4" w:space="0" w:color="auto"/>
              <w:bottom w:val="single" w:sz="4" w:space="0" w:color="auto"/>
            </w:tcBorders>
            <w:vAlign w:val="center"/>
          </w:tcPr>
          <w:p w14:paraId="7442DF2C" w14:textId="77777777" w:rsidR="00DB576D" w:rsidRPr="00887008" w:rsidRDefault="00DB576D" w:rsidP="00887008">
            <w:pPr>
              <w:spacing w:before="40"/>
              <w:jc w:val="left"/>
              <w:rPr>
                <w:b/>
                <w:bCs/>
                <w:sz w:val="20"/>
                <w:szCs w:val="20"/>
                <w:lang w:val="de-DE"/>
              </w:rPr>
            </w:pPr>
            <w:r w:rsidRPr="00887008">
              <w:rPr>
                <w:b/>
                <w:bCs/>
                <w:sz w:val="20"/>
                <w:szCs w:val="20"/>
                <w:lang w:val="de-DE"/>
              </w:rPr>
              <w:t>Entity List Development</w:t>
            </w:r>
          </w:p>
        </w:tc>
      </w:tr>
      <w:tr w:rsidR="00DB576D" w:rsidRPr="00887008" w14:paraId="7055071C" w14:textId="77777777" w:rsidTr="00287713">
        <w:trPr>
          <w:trHeight w:val="20"/>
        </w:trPr>
        <w:tc>
          <w:tcPr>
            <w:tcW w:w="1313" w:type="dxa"/>
            <w:tcBorders>
              <w:top w:val="single" w:sz="4" w:space="0" w:color="auto"/>
              <w:bottom w:val="nil"/>
            </w:tcBorders>
            <w:vAlign w:val="center"/>
          </w:tcPr>
          <w:p w14:paraId="62EEC649" w14:textId="77777777" w:rsidR="00DB576D" w:rsidRPr="00887008" w:rsidRDefault="00DB576D" w:rsidP="00887008">
            <w:pPr>
              <w:spacing w:before="40"/>
              <w:jc w:val="left"/>
              <w:rPr>
                <w:sz w:val="20"/>
                <w:szCs w:val="20"/>
                <w:lang w:val="de-DE"/>
              </w:rPr>
            </w:pPr>
            <w:r w:rsidRPr="00887008">
              <w:rPr>
                <w:sz w:val="20"/>
                <w:szCs w:val="20"/>
                <w:lang w:val="de-DE"/>
              </w:rPr>
              <w:t>10/07/2019</w:t>
            </w:r>
          </w:p>
        </w:tc>
        <w:tc>
          <w:tcPr>
            <w:tcW w:w="720" w:type="dxa"/>
            <w:tcBorders>
              <w:top w:val="single" w:sz="4" w:space="0" w:color="auto"/>
              <w:bottom w:val="nil"/>
            </w:tcBorders>
            <w:vAlign w:val="center"/>
          </w:tcPr>
          <w:p w14:paraId="7D39C35F" w14:textId="77777777" w:rsidR="00DB576D" w:rsidRPr="00887008" w:rsidRDefault="00DB576D" w:rsidP="00887008">
            <w:pPr>
              <w:spacing w:before="40"/>
              <w:jc w:val="left"/>
              <w:rPr>
                <w:sz w:val="20"/>
                <w:szCs w:val="20"/>
              </w:rPr>
            </w:pPr>
            <w:r w:rsidRPr="00887008">
              <w:rPr>
                <w:sz w:val="20"/>
                <w:szCs w:val="20"/>
              </w:rPr>
              <w:t>-1</w:t>
            </w:r>
          </w:p>
        </w:tc>
        <w:tc>
          <w:tcPr>
            <w:tcW w:w="5904" w:type="dxa"/>
            <w:tcBorders>
              <w:top w:val="single" w:sz="4" w:space="0" w:color="auto"/>
              <w:bottom w:val="nil"/>
            </w:tcBorders>
            <w:vAlign w:val="center"/>
          </w:tcPr>
          <w:p w14:paraId="2C090016" w14:textId="77777777" w:rsidR="00DB576D" w:rsidRPr="00887008" w:rsidRDefault="00DB576D" w:rsidP="00887008">
            <w:pPr>
              <w:spacing w:before="40"/>
              <w:jc w:val="left"/>
              <w:rPr>
                <w:sz w:val="20"/>
                <w:szCs w:val="20"/>
              </w:rPr>
            </w:pPr>
            <w:r w:rsidRPr="00887008">
              <w:rPr>
                <w:sz w:val="20"/>
                <w:szCs w:val="20"/>
              </w:rPr>
              <w:t>Department of Commerce announces the addition of the surveillance firms to the Entity List.</w:t>
            </w:r>
            <w:r w:rsidRPr="00887008">
              <w:rPr>
                <w:sz w:val="20"/>
                <w:szCs w:val="20"/>
                <w:vertAlign w:val="superscript"/>
              </w:rPr>
              <w:endnoteReference w:id="37"/>
            </w:r>
            <w:r w:rsidRPr="00887008">
              <w:rPr>
                <w:sz w:val="20"/>
                <w:szCs w:val="20"/>
              </w:rPr>
              <w:t xml:space="preserve"> </w:t>
            </w:r>
          </w:p>
        </w:tc>
      </w:tr>
      <w:tr w:rsidR="00DB576D" w:rsidRPr="00887008" w14:paraId="1797F74F" w14:textId="77777777" w:rsidTr="00287713">
        <w:trPr>
          <w:trHeight w:val="20"/>
        </w:trPr>
        <w:tc>
          <w:tcPr>
            <w:tcW w:w="1313" w:type="dxa"/>
            <w:tcBorders>
              <w:top w:val="nil"/>
              <w:bottom w:val="nil"/>
            </w:tcBorders>
            <w:vAlign w:val="center"/>
          </w:tcPr>
          <w:p w14:paraId="08FEA314"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2BC2EAF1"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6FBBEDA0" w14:textId="161B1661" w:rsidR="00DB576D" w:rsidRPr="00887008" w:rsidRDefault="00DB576D" w:rsidP="00887008">
            <w:pPr>
              <w:spacing w:before="40"/>
              <w:jc w:val="left"/>
              <w:rPr>
                <w:sz w:val="20"/>
                <w:szCs w:val="20"/>
              </w:rPr>
            </w:pPr>
            <w:r w:rsidRPr="00887008">
              <w:rPr>
                <w:sz w:val="20"/>
                <w:szCs w:val="20"/>
              </w:rPr>
              <w:t xml:space="preserve">Department of Commerce tweets about the action </w:t>
            </w:r>
            <w:r w:rsidR="006F7B99">
              <w:rPr>
                <w:sz w:val="20"/>
                <w:szCs w:val="20"/>
              </w:rPr>
              <w:t>in the evening</w:t>
            </w:r>
            <w:r w:rsidRPr="00887008">
              <w:rPr>
                <w:sz w:val="20"/>
                <w:szCs w:val="20"/>
              </w:rPr>
              <w:t>.</w:t>
            </w:r>
            <w:r w:rsidRPr="00887008">
              <w:rPr>
                <w:sz w:val="20"/>
                <w:szCs w:val="20"/>
                <w:vertAlign w:val="superscript"/>
              </w:rPr>
              <w:endnoteReference w:id="38"/>
            </w:r>
          </w:p>
        </w:tc>
      </w:tr>
      <w:tr w:rsidR="00DB576D" w:rsidRPr="00887008" w14:paraId="5C148E79" w14:textId="77777777" w:rsidTr="00287713">
        <w:trPr>
          <w:trHeight w:val="20"/>
        </w:trPr>
        <w:tc>
          <w:tcPr>
            <w:tcW w:w="1313" w:type="dxa"/>
            <w:tcBorders>
              <w:top w:val="nil"/>
              <w:bottom w:val="nil"/>
            </w:tcBorders>
            <w:vAlign w:val="center"/>
          </w:tcPr>
          <w:p w14:paraId="3BF73FA1"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1750EA98"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16447A4D" w14:textId="1732C78B" w:rsidR="00DB576D" w:rsidRPr="00887008" w:rsidRDefault="00DB576D" w:rsidP="00887008">
            <w:pPr>
              <w:spacing w:before="40"/>
              <w:jc w:val="left"/>
              <w:rPr>
                <w:sz w:val="20"/>
                <w:szCs w:val="20"/>
              </w:rPr>
            </w:pPr>
            <w:r w:rsidRPr="00887008">
              <w:rPr>
                <w:sz w:val="20"/>
                <w:szCs w:val="20"/>
              </w:rPr>
              <w:t>BIS files the addition of these entities to the Entity List with the Federal Register at 4:15 PM via a Special Filing.</w:t>
            </w:r>
            <w:r w:rsidRPr="00887008">
              <w:rPr>
                <w:sz w:val="20"/>
                <w:szCs w:val="20"/>
                <w:vertAlign w:val="superscript"/>
              </w:rPr>
              <w:endnoteReference w:id="39"/>
            </w:r>
          </w:p>
        </w:tc>
      </w:tr>
      <w:tr w:rsidR="00DB576D" w:rsidRPr="00887008" w14:paraId="2C89C0DD" w14:textId="77777777" w:rsidTr="00287713">
        <w:trPr>
          <w:trHeight w:val="20"/>
        </w:trPr>
        <w:tc>
          <w:tcPr>
            <w:tcW w:w="1313" w:type="dxa"/>
            <w:tcBorders>
              <w:top w:val="nil"/>
              <w:bottom w:val="nil"/>
            </w:tcBorders>
            <w:vAlign w:val="center"/>
          </w:tcPr>
          <w:p w14:paraId="1BAAA222"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7C1AB496"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278ECE36" w14:textId="77777777" w:rsidR="00DB576D" w:rsidRPr="00887008" w:rsidRDefault="00DB576D" w:rsidP="00887008">
            <w:pPr>
              <w:spacing w:before="40"/>
              <w:jc w:val="left"/>
              <w:rPr>
                <w:sz w:val="20"/>
                <w:szCs w:val="20"/>
              </w:rPr>
            </w:pPr>
            <w:r w:rsidRPr="00887008">
              <w:rPr>
                <w:sz w:val="20"/>
                <w:szCs w:val="20"/>
              </w:rPr>
              <w:t>Bloomberg’s markets recap reports the action as occurring “After the close of New York markets.”</w:t>
            </w:r>
            <w:r w:rsidRPr="00887008">
              <w:rPr>
                <w:sz w:val="20"/>
                <w:szCs w:val="20"/>
                <w:vertAlign w:val="superscript"/>
              </w:rPr>
              <w:endnoteReference w:id="40"/>
            </w:r>
          </w:p>
        </w:tc>
      </w:tr>
      <w:tr w:rsidR="00DB576D" w:rsidRPr="00887008" w14:paraId="45E62FBF" w14:textId="77777777" w:rsidTr="00287713">
        <w:trPr>
          <w:trHeight w:val="20"/>
        </w:trPr>
        <w:tc>
          <w:tcPr>
            <w:tcW w:w="1313" w:type="dxa"/>
            <w:tcBorders>
              <w:top w:val="nil"/>
              <w:bottom w:val="single" w:sz="4" w:space="0" w:color="auto"/>
            </w:tcBorders>
            <w:vAlign w:val="center"/>
          </w:tcPr>
          <w:p w14:paraId="3BB8B08F" w14:textId="77777777" w:rsidR="00DB576D" w:rsidRPr="00887008" w:rsidRDefault="00DB576D" w:rsidP="00887008">
            <w:pPr>
              <w:spacing w:before="40"/>
              <w:jc w:val="left"/>
              <w:rPr>
                <w:sz w:val="20"/>
                <w:szCs w:val="20"/>
              </w:rPr>
            </w:pPr>
          </w:p>
        </w:tc>
        <w:tc>
          <w:tcPr>
            <w:tcW w:w="720" w:type="dxa"/>
            <w:tcBorders>
              <w:top w:val="nil"/>
              <w:bottom w:val="single" w:sz="4" w:space="0" w:color="auto"/>
            </w:tcBorders>
            <w:vAlign w:val="center"/>
          </w:tcPr>
          <w:p w14:paraId="375A225C"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17E4F70B" w14:textId="77777777" w:rsidR="00DB576D" w:rsidRPr="00887008" w:rsidRDefault="00DB576D" w:rsidP="00887008">
            <w:pPr>
              <w:spacing w:before="40"/>
              <w:jc w:val="left"/>
              <w:rPr>
                <w:sz w:val="20"/>
                <w:szCs w:val="20"/>
              </w:rPr>
            </w:pPr>
            <w:r w:rsidRPr="00887008">
              <w:rPr>
                <w:sz w:val="20"/>
                <w:szCs w:val="20"/>
              </w:rPr>
              <w:t>The action is not mentioned in Seeking Alpha or Wall Street Journal markets-oriented summaries.</w:t>
            </w:r>
            <w:r w:rsidRPr="00887008">
              <w:rPr>
                <w:sz w:val="20"/>
                <w:szCs w:val="20"/>
                <w:vertAlign w:val="superscript"/>
              </w:rPr>
              <w:endnoteReference w:id="41"/>
            </w:r>
          </w:p>
        </w:tc>
      </w:tr>
      <w:tr w:rsidR="00DB576D" w:rsidRPr="00887008" w14:paraId="53B9EECC" w14:textId="77777777" w:rsidTr="00287713">
        <w:trPr>
          <w:trHeight w:val="288"/>
        </w:trPr>
        <w:tc>
          <w:tcPr>
            <w:tcW w:w="1313" w:type="dxa"/>
            <w:tcBorders>
              <w:top w:val="single" w:sz="4" w:space="0" w:color="auto"/>
              <w:bottom w:val="nil"/>
            </w:tcBorders>
            <w:vAlign w:val="center"/>
          </w:tcPr>
          <w:p w14:paraId="2AC2888E" w14:textId="77777777" w:rsidR="00DB576D" w:rsidRPr="00887008" w:rsidRDefault="00DB576D" w:rsidP="00887008">
            <w:pPr>
              <w:spacing w:before="40"/>
              <w:jc w:val="left"/>
              <w:rPr>
                <w:sz w:val="20"/>
                <w:szCs w:val="20"/>
                <w:lang w:val="de-DE"/>
              </w:rPr>
            </w:pPr>
            <w:r w:rsidRPr="00887008">
              <w:rPr>
                <w:sz w:val="20"/>
                <w:szCs w:val="20"/>
                <w:lang w:val="de-DE"/>
              </w:rPr>
              <w:t>10/08/2019</w:t>
            </w:r>
          </w:p>
        </w:tc>
        <w:tc>
          <w:tcPr>
            <w:tcW w:w="720" w:type="dxa"/>
            <w:tcBorders>
              <w:top w:val="single" w:sz="4" w:space="0" w:color="auto"/>
              <w:bottom w:val="nil"/>
            </w:tcBorders>
            <w:vAlign w:val="center"/>
          </w:tcPr>
          <w:p w14:paraId="03FD8515" w14:textId="77777777" w:rsidR="00DB576D" w:rsidRPr="00887008" w:rsidRDefault="00DB576D" w:rsidP="00887008">
            <w:pPr>
              <w:spacing w:before="40"/>
              <w:jc w:val="left"/>
              <w:rPr>
                <w:sz w:val="20"/>
                <w:szCs w:val="20"/>
              </w:rPr>
            </w:pPr>
            <w:r w:rsidRPr="00887008">
              <w:rPr>
                <w:sz w:val="20"/>
                <w:szCs w:val="20"/>
              </w:rPr>
              <w:t>0</w:t>
            </w:r>
          </w:p>
        </w:tc>
        <w:tc>
          <w:tcPr>
            <w:tcW w:w="5904" w:type="dxa"/>
            <w:tcBorders>
              <w:top w:val="single" w:sz="4" w:space="0" w:color="auto"/>
              <w:bottom w:val="nil"/>
            </w:tcBorders>
            <w:vAlign w:val="center"/>
          </w:tcPr>
          <w:p w14:paraId="2FE733C6" w14:textId="77777777" w:rsidR="00DB576D" w:rsidRPr="00887008" w:rsidRDefault="00DB576D" w:rsidP="00887008">
            <w:pPr>
              <w:spacing w:before="40"/>
              <w:jc w:val="left"/>
              <w:rPr>
                <w:sz w:val="20"/>
                <w:szCs w:val="20"/>
              </w:rPr>
            </w:pPr>
            <w:r w:rsidRPr="00887008">
              <w:rPr>
                <w:sz w:val="20"/>
                <w:szCs w:val="20"/>
              </w:rPr>
              <w:t xml:space="preserve">First full trading day after announcement. </w:t>
            </w:r>
          </w:p>
        </w:tc>
      </w:tr>
      <w:tr w:rsidR="00DB576D" w:rsidRPr="00887008" w14:paraId="6E2B7AEE" w14:textId="77777777" w:rsidTr="00287713">
        <w:trPr>
          <w:trHeight w:val="20"/>
        </w:trPr>
        <w:tc>
          <w:tcPr>
            <w:tcW w:w="1313" w:type="dxa"/>
            <w:tcBorders>
              <w:top w:val="nil"/>
              <w:bottom w:val="single" w:sz="4" w:space="0" w:color="auto"/>
            </w:tcBorders>
            <w:vAlign w:val="center"/>
          </w:tcPr>
          <w:p w14:paraId="1F0AE6F9" w14:textId="77777777" w:rsidR="00DB576D" w:rsidRPr="00887008" w:rsidRDefault="00DB576D" w:rsidP="00887008">
            <w:pPr>
              <w:spacing w:before="40"/>
              <w:jc w:val="left"/>
              <w:rPr>
                <w:sz w:val="20"/>
                <w:szCs w:val="20"/>
              </w:rPr>
            </w:pPr>
          </w:p>
        </w:tc>
        <w:tc>
          <w:tcPr>
            <w:tcW w:w="720" w:type="dxa"/>
            <w:tcBorders>
              <w:top w:val="nil"/>
              <w:bottom w:val="single" w:sz="4" w:space="0" w:color="auto"/>
            </w:tcBorders>
            <w:vAlign w:val="center"/>
          </w:tcPr>
          <w:p w14:paraId="004B904A"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6DEB1257" w14:textId="5B95EDE9" w:rsidR="00DB576D" w:rsidRPr="00887008" w:rsidRDefault="00DB576D" w:rsidP="00887008">
            <w:pPr>
              <w:spacing w:before="40"/>
              <w:jc w:val="left"/>
              <w:rPr>
                <w:sz w:val="20"/>
                <w:szCs w:val="20"/>
              </w:rPr>
            </w:pPr>
            <w:r w:rsidRPr="00887008">
              <w:rPr>
                <w:sz w:val="20"/>
                <w:szCs w:val="20"/>
              </w:rPr>
              <w:t>Entity List action covered extensively in Bloomberg, Seeking Alpha, and Wall Street Journal</w:t>
            </w:r>
            <w:r w:rsidR="006F7B99">
              <w:rPr>
                <w:sz w:val="20"/>
                <w:szCs w:val="20"/>
              </w:rPr>
              <w:t>.</w:t>
            </w:r>
            <w:r w:rsidRPr="00887008">
              <w:rPr>
                <w:sz w:val="20"/>
                <w:szCs w:val="20"/>
                <w:vertAlign w:val="superscript"/>
              </w:rPr>
              <w:endnoteReference w:id="42"/>
            </w:r>
            <w:r w:rsidRPr="00887008">
              <w:rPr>
                <w:sz w:val="20"/>
                <w:szCs w:val="20"/>
              </w:rPr>
              <w:t xml:space="preserve"> </w:t>
            </w:r>
          </w:p>
        </w:tc>
      </w:tr>
      <w:tr w:rsidR="00DB576D" w:rsidRPr="00887008" w14:paraId="35F7D636" w14:textId="77777777" w:rsidTr="00287713">
        <w:trPr>
          <w:trHeight w:val="20"/>
        </w:trPr>
        <w:tc>
          <w:tcPr>
            <w:tcW w:w="1313" w:type="dxa"/>
            <w:tcBorders>
              <w:top w:val="single" w:sz="4" w:space="0" w:color="auto"/>
              <w:bottom w:val="single" w:sz="4" w:space="0" w:color="auto"/>
            </w:tcBorders>
            <w:vAlign w:val="center"/>
          </w:tcPr>
          <w:p w14:paraId="1517F745" w14:textId="77777777" w:rsidR="00DB576D" w:rsidRPr="00887008" w:rsidRDefault="00DB576D" w:rsidP="00887008">
            <w:pPr>
              <w:spacing w:before="40"/>
              <w:jc w:val="left"/>
              <w:rPr>
                <w:sz w:val="20"/>
                <w:szCs w:val="20"/>
                <w:lang w:val="de-DE"/>
              </w:rPr>
            </w:pPr>
            <w:r w:rsidRPr="00887008">
              <w:rPr>
                <w:sz w:val="20"/>
                <w:szCs w:val="20"/>
                <w:lang w:val="de-DE"/>
              </w:rPr>
              <w:t>10/09/2019</w:t>
            </w:r>
          </w:p>
        </w:tc>
        <w:tc>
          <w:tcPr>
            <w:tcW w:w="720" w:type="dxa"/>
            <w:tcBorders>
              <w:top w:val="single" w:sz="4" w:space="0" w:color="auto"/>
              <w:bottom w:val="single" w:sz="4" w:space="0" w:color="auto"/>
            </w:tcBorders>
            <w:vAlign w:val="center"/>
          </w:tcPr>
          <w:p w14:paraId="5375E0D1" w14:textId="77777777" w:rsidR="00DB576D" w:rsidRPr="00887008" w:rsidRDefault="00DB576D" w:rsidP="00887008">
            <w:pPr>
              <w:spacing w:before="40"/>
              <w:jc w:val="left"/>
              <w:rPr>
                <w:sz w:val="20"/>
                <w:szCs w:val="20"/>
              </w:rPr>
            </w:pPr>
            <w:r w:rsidRPr="00887008">
              <w:rPr>
                <w:sz w:val="20"/>
                <w:szCs w:val="20"/>
              </w:rPr>
              <w:t>1</w:t>
            </w:r>
          </w:p>
        </w:tc>
        <w:tc>
          <w:tcPr>
            <w:tcW w:w="5904" w:type="dxa"/>
            <w:tcBorders>
              <w:top w:val="single" w:sz="4" w:space="0" w:color="auto"/>
              <w:bottom w:val="single" w:sz="4" w:space="0" w:color="auto"/>
            </w:tcBorders>
            <w:vAlign w:val="center"/>
          </w:tcPr>
          <w:p w14:paraId="6C3E8817" w14:textId="77777777" w:rsidR="00DB576D" w:rsidRPr="00887008" w:rsidRDefault="00DB576D" w:rsidP="00887008">
            <w:pPr>
              <w:spacing w:before="40"/>
              <w:jc w:val="left"/>
              <w:rPr>
                <w:sz w:val="20"/>
                <w:szCs w:val="20"/>
              </w:rPr>
            </w:pPr>
            <w:r w:rsidRPr="00887008">
              <w:rPr>
                <w:sz w:val="20"/>
                <w:szCs w:val="20"/>
              </w:rPr>
              <w:t>Effective date of these companies’ addition to the Entity List and official Federal Register notice publication.</w:t>
            </w:r>
            <w:r w:rsidRPr="00887008">
              <w:rPr>
                <w:sz w:val="20"/>
                <w:szCs w:val="20"/>
                <w:vertAlign w:val="superscript"/>
              </w:rPr>
              <w:endnoteReference w:id="43"/>
            </w:r>
          </w:p>
        </w:tc>
      </w:tr>
    </w:tbl>
    <w:p w14:paraId="7FE1B931" w14:textId="6B67EBEE" w:rsidR="00DB576D" w:rsidRPr="00714695" w:rsidRDefault="00DB576D" w:rsidP="00DB576D">
      <w:pPr>
        <w:pStyle w:val="Heading3"/>
        <w:spacing w:before="360"/>
      </w:pPr>
      <w:r w:rsidRPr="00714695">
        <w:t xml:space="preserve">Additional </w:t>
      </w:r>
      <w:r w:rsidR="00826855">
        <w:t>R</w:t>
      </w:r>
      <w:r w:rsidRPr="00714695">
        <w:t xml:space="preserve">elevant </w:t>
      </w:r>
      <w:r w:rsidR="00826855">
        <w:t>N</w:t>
      </w:r>
      <w:r w:rsidRPr="00714695">
        <w:t xml:space="preserve">ews </w:t>
      </w:r>
      <w:r w:rsidR="00826855">
        <w:t>D</w:t>
      </w:r>
      <w:r w:rsidRPr="00714695">
        <w:t xml:space="preserve">uring the </w:t>
      </w:r>
      <w:r w:rsidR="00826855">
        <w:t>E</w:t>
      </w:r>
      <w:r w:rsidRPr="00714695">
        <w:t xml:space="preserve">vent </w:t>
      </w:r>
      <w:r w:rsidR="00826855">
        <w:t>W</w:t>
      </w:r>
      <w:r w:rsidRPr="00714695">
        <w:t>indow</w:t>
      </w:r>
    </w:p>
    <w:p w14:paraId="118A9C5E" w14:textId="4C5950A7" w:rsidR="00DB576D" w:rsidRPr="00714695" w:rsidRDefault="00DB576D" w:rsidP="00DB576D">
      <w:r w:rsidRPr="00714695">
        <w:t xml:space="preserve">Tables </w:t>
      </w:r>
      <w:r w:rsidR="00A9615B">
        <w:t>A</w:t>
      </w:r>
      <w:r w:rsidR="00412AC9">
        <w:t>4</w:t>
      </w:r>
      <w:r w:rsidRPr="00714695">
        <w:t>-</w:t>
      </w:r>
      <w:r w:rsidR="00A9615B">
        <w:t>A</w:t>
      </w:r>
      <w:r w:rsidR="00412AC9">
        <w:t>6</w:t>
      </w:r>
      <w:r w:rsidRPr="00714695">
        <w:t xml:space="preserve"> document other relevant news during the event windows that could have </w:t>
      </w:r>
      <w:r w:rsidRPr="00714695">
        <w:rPr>
          <w:i/>
          <w:iCs/>
        </w:rPr>
        <w:t>abnormally</w:t>
      </w:r>
      <w:r w:rsidRPr="00714695">
        <w:t xml:space="preserve"> affected the sample of firms’ returns. The tables do not cite news dealing with the Entity List, which is covered in the previous section. </w:t>
      </w:r>
      <w:r w:rsidRPr="00714695">
        <w:rPr>
          <w:rFonts w:eastAsiaTheme="minorEastAsia"/>
        </w:rPr>
        <w:t xml:space="preserve">As discussed in the main </w:t>
      </w:r>
      <w:r>
        <w:rPr>
          <w:rFonts w:eastAsiaTheme="minorEastAsia"/>
        </w:rPr>
        <w:t>analysis</w:t>
      </w:r>
      <w:r w:rsidRPr="00714695">
        <w:rPr>
          <w:rFonts w:eastAsiaTheme="minorEastAsia"/>
        </w:rPr>
        <w:t xml:space="preserve">, though I find some evidence of other events on </w:t>
      </w:r>
      <m:oMath>
        <m:r>
          <w:rPr>
            <w:rFonts w:ascii="Cambria Math" w:eastAsiaTheme="minorEastAsia" w:hAnsi="Cambria Math"/>
          </w:rPr>
          <m:t>t=0</m:t>
        </m:r>
      </m:oMath>
      <w:r w:rsidRPr="00714695">
        <w:rPr>
          <w:rFonts w:eastAsiaTheme="minorEastAsia"/>
        </w:rPr>
        <w:t xml:space="preserve"> that could have abnormally affected the firms’ returns, I believe these events pose minimal threat to assuming the principal driver of abnormal returns among these sets of U.S. firms on </w:t>
      </w:r>
      <m:oMath>
        <m:r>
          <w:rPr>
            <w:rFonts w:ascii="Cambria Math" w:eastAsiaTheme="minorEastAsia" w:hAnsi="Cambria Math"/>
          </w:rPr>
          <m:t>t=0</m:t>
        </m:r>
      </m:oMath>
      <w:r w:rsidRPr="00714695">
        <w:rPr>
          <w:rFonts w:eastAsiaTheme="minorEastAsia"/>
        </w:rPr>
        <w:t xml:space="preserve"> were the Entity List actions. The reason for this is the other events’ connections to the U.S. suppliers under investigation are much more indirect than the Entity List sanctions. The magnitude check contained in the main </w:t>
      </w:r>
      <w:r>
        <w:rPr>
          <w:rFonts w:eastAsiaTheme="minorEastAsia"/>
        </w:rPr>
        <w:t>analysis</w:t>
      </w:r>
      <w:r w:rsidRPr="00714695">
        <w:rPr>
          <w:rFonts w:eastAsiaTheme="minorEastAsia"/>
        </w:rPr>
        <w:t xml:space="preserve"> helps to substantiate my assumption. A brief description of the alternative events follows. </w:t>
      </w:r>
    </w:p>
    <w:p w14:paraId="0D9D7687" w14:textId="4154C59C" w:rsidR="00DB576D" w:rsidRPr="00714695" w:rsidRDefault="00DB576D" w:rsidP="00DB576D">
      <w:pPr>
        <w:ind w:firstLine="360"/>
        <w:rPr>
          <w:rFonts w:eastAsiaTheme="minorEastAsia"/>
        </w:rPr>
      </w:pPr>
      <w:r w:rsidRPr="00714695">
        <w:rPr>
          <w:rFonts w:eastAsiaTheme="minorEastAsia"/>
        </w:rPr>
        <w:t>For the ZTE event, worse than expected data on China’s trade activity were released.</w:t>
      </w:r>
      <w:r w:rsidRPr="00714695">
        <w:t xml:space="preserve"> </w:t>
      </w:r>
      <w:r w:rsidRPr="00714695">
        <w:rPr>
          <w:rFonts w:eastAsiaTheme="minorEastAsia"/>
        </w:rPr>
        <w:t>For the Huawei event, the White House issued an Executive Order on protecting the U</w:t>
      </w:r>
      <w:r w:rsidR="000614F8">
        <w:rPr>
          <w:rFonts w:eastAsiaTheme="minorEastAsia"/>
        </w:rPr>
        <w:t>nited States’</w:t>
      </w:r>
      <w:r w:rsidRPr="00714695">
        <w:rPr>
          <w:rFonts w:eastAsiaTheme="minorEastAsia"/>
        </w:rPr>
        <w:t xml:space="preserve"> telecommunications infrastructure. The Executive Order does not mention any companies by name, but most analysts speculated the action was geared toward prohibiting U.S. entities from purchasing Huawei’s and ZTE’s telecommunications products and services. Thus, contrary to the Entity List action, the Executive Order is geared toward Huawei’s customers, rather than its suppliers. For the Surveillance event, the U.S. State Department enacted Visa restrictions on certain Chinese officials. These latter two events can be thought of as part of a sanctions package that included the Entity List additions.  </w:t>
      </w:r>
    </w:p>
    <w:p w14:paraId="6CD8CB3E" w14:textId="77777777" w:rsidR="00DB576D" w:rsidRPr="00714695" w:rsidRDefault="00DB576D" w:rsidP="00DB576D">
      <w:pPr>
        <w:ind w:firstLine="360"/>
      </w:pPr>
      <w:r w:rsidRPr="00714695">
        <w:rPr>
          <w:rFonts w:eastAsiaTheme="minorEastAsia"/>
        </w:rPr>
        <w:lastRenderedPageBreak/>
        <w:t>I also find evidence of economic and political news that could have abnormally affected the U.S. firms’ returns at other days in the event window. For the ZTE event, China’s National People’s Congress took place during the event window. Against the backdrop of a weakening Chinese economy, the Chinese government released various economic data and announced certain stimulus measures during the event window. The U.S. suppliers associated with the Huawei and Surveillance events are likely sensitive to developments in the U.S.-China trade dispute. Positive and negative events related to the dispute occurred during the event windows for the Huawei and Surveillance events.</w:t>
      </w:r>
    </w:p>
    <w:p w14:paraId="53F9FE30" w14:textId="33B7CFDA" w:rsidR="00DB576D" w:rsidRPr="00770501" w:rsidRDefault="00887008" w:rsidP="00887008">
      <w:pPr>
        <w:pStyle w:val="Caption"/>
        <w:rPr>
          <w:b w:val="0"/>
          <w:iCs w:val="0"/>
          <w:szCs w:val="24"/>
        </w:rPr>
      </w:pPr>
      <w:r>
        <w:t xml:space="preserve">Table </w:t>
      </w:r>
      <w:r w:rsidR="0002383E">
        <w:t>A</w:t>
      </w:r>
      <w:r w:rsidR="00F839C8">
        <w:fldChar w:fldCharType="begin"/>
      </w:r>
      <w:r w:rsidR="00F839C8">
        <w:instrText xml:space="preserve"> SEQ Table \* ARABIC </w:instrText>
      </w:r>
      <w:r w:rsidR="00F839C8">
        <w:fldChar w:fldCharType="separate"/>
      </w:r>
      <w:r w:rsidR="00F25795">
        <w:rPr>
          <w:noProof/>
        </w:rPr>
        <w:t>4</w:t>
      </w:r>
      <w:r w:rsidR="00F839C8">
        <w:rPr>
          <w:noProof/>
        </w:rPr>
        <w:fldChar w:fldCharType="end"/>
      </w:r>
      <w:r w:rsidR="00DB576D" w:rsidRPr="00770501">
        <w:rPr>
          <w:szCs w:val="24"/>
        </w:rPr>
        <w:t>: Relevant news surrounding ZTE event</w:t>
      </w:r>
    </w:p>
    <w:tbl>
      <w:tblPr>
        <w:tblStyle w:val="TableGrid7"/>
        <w:tblW w:w="79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96"/>
        <w:gridCol w:w="720"/>
        <w:gridCol w:w="5904"/>
      </w:tblGrid>
      <w:tr w:rsidR="00DB576D" w:rsidRPr="00887008" w14:paraId="542AD700" w14:textId="77777777" w:rsidTr="00287713">
        <w:trPr>
          <w:tblHeader/>
        </w:trPr>
        <w:tc>
          <w:tcPr>
            <w:tcW w:w="1296" w:type="dxa"/>
            <w:tcBorders>
              <w:top w:val="single" w:sz="4" w:space="0" w:color="auto"/>
              <w:bottom w:val="single" w:sz="4" w:space="0" w:color="auto"/>
            </w:tcBorders>
            <w:vAlign w:val="center"/>
          </w:tcPr>
          <w:p w14:paraId="38994A3C" w14:textId="77777777" w:rsidR="00DB576D" w:rsidRPr="00887008" w:rsidRDefault="00DB576D" w:rsidP="00887008">
            <w:pPr>
              <w:spacing w:before="40"/>
              <w:jc w:val="left"/>
              <w:rPr>
                <w:b/>
                <w:bCs/>
                <w:sz w:val="20"/>
                <w:szCs w:val="20"/>
              </w:rPr>
            </w:pPr>
            <w:r w:rsidRPr="00887008">
              <w:rPr>
                <w:b/>
                <w:bCs/>
                <w:sz w:val="20"/>
                <w:szCs w:val="20"/>
              </w:rPr>
              <w:t>Date</w:t>
            </w:r>
          </w:p>
        </w:tc>
        <w:tc>
          <w:tcPr>
            <w:tcW w:w="720" w:type="dxa"/>
            <w:tcBorders>
              <w:top w:val="single" w:sz="4" w:space="0" w:color="auto"/>
              <w:bottom w:val="single" w:sz="4" w:space="0" w:color="auto"/>
            </w:tcBorders>
            <w:vAlign w:val="center"/>
          </w:tcPr>
          <w:p w14:paraId="6BC1AE9E" w14:textId="77777777" w:rsidR="00DB576D" w:rsidRPr="00887008" w:rsidRDefault="00DB576D" w:rsidP="00887008">
            <w:pPr>
              <w:spacing w:before="40"/>
              <w:jc w:val="left"/>
              <w:rPr>
                <w:b/>
                <w:bCs/>
                <w:sz w:val="20"/>
                <w:szCs w:val="20"/>
              </w:rPr>
            </w:pPr>
            <w:r w:rsidRPr="00887008">
              <w:rPr>
                <w:b/>
                <w:bCs/>
                <w:sz w:val="20"/>
                <w:szCs w:val="20"/>
              </w:rPr>
              <w:t>t</w:t>
            </w:r>
          </w:p>
        </w:tc>
        <w:tc>
          <w:tcPr>
            <w:tcW w:w="5904" w:type="dxa"/>
            <w:tcBorders>
              <w:top w:val="single" w:sz="4" w:space="0" w:color="auto"/>
              <w:bottom w:val="single" w:sz="4" w:space="0" w:color="auto"/>
            </w:tcBorders>
            <w:vAlign w:val="center"/>
          </w:tcPr>
          <w:p w14:paraId="0054E6E7" w14:textId="77777777" w:rsidR="00DB576D" w:rsidRPr="00887008" w:rsidRDefault="00DB576D" w:rsidP="00887008">
            <w:pPr>
              <w:spacing w:before="40"/>
              <w:jc w:val="left"/>
              <w:rPr>
                <w:b/>
                <w:bCs/>
                <w:sz w:val="20"/>
                <w:szCs w:val="20"/>
              </w:rPr>
            </w:pPr>
            <w:r w:rsidRPr="00887008">
              <w:rPr>
                <w:b/>
                <w:bCs/>
                <w:sz w:val="20"/>
                <w:szCs w:val="20"/>
              </w:rPr>
              <w:t>Relevant stories</w:t>
            </w:r>
          </w:p>
        </w:tc>
      </w:tr>
      <w:tr w:rsidR="00DB576D" w:rsidRPr="00887008" w14:paraId="7CC784D5" w14:textId="77777777" w:rsidTr="00287713">
        <w:trPr>
          <w:trHeight w:val="576"/>
        </w:trPr>
        <w:tc>
          <w:tcPr>
            <w:tcW w:w="1296" w:type="dxa"/>
            <w:tcBorders>
              <w:top w:val="single" w:sz="4" w:space="0" w:color="auto"/>
              <w:bottom w:val="nil"/>
            </w:tcBorders>
            <w:vAlign w:val="center"/>
          </w:tcPr>
          <w:p w14:paraId="0A8705DA" w14:textId="4178C934" w:rsidR="00DB576D" w:rsidRPr="00887008" w:rsidRDefault="006A018D" w:rsidP="00887008">
            <w:pPr>
              <w:spacing w:before="40"/>
              <w:jc w:val="left"/>
              <w:rPr>
                <w:sz w:val="20"/>
                <w:szCs w:val="20"/>
                <w:lang w:val="de-DE"/>
              </w:rPr>
            </w:pPr>
            <w:r>
              <w:rPr>
                <w:sz w:val="20"/>
                <w:szCs w:val="20"/>
              </w:rPr>
              <w:t>0</w:t>
            </w:r>
            <w:r w:rsidR="00DB576D" w:rsidRPr="00887008">
              <w:rPr>
                <w:sz w:val="20"/>
                <w:szCs w:val="20"/>
              </w:rPr>
              <w:t>3/</w:t>
            </w:r>
            <w:r>
              <w:rPr>
                <w:sz w:val="20"/>
                <w:szCs w:val="20"/>
              </w:rPr>
              <w:t>0</w:t>
            </w:r>
            <w:r w:rsidR="00DB576D" w:rsidRPr="00887008">
              <w:rPr>
                <w:sz w:val="20"/>
                <w:szCs w:val="20"/>
              </w:rPr>
              <w:t>1/2016</w:t>
            </w:r>
          </w:p>
        </w:tc>
        <w:tc>
          <w:tcPr>
            <w:tcW w:w="720" w:type="dxa"/>
            <w:tcBorders>
              <w:top w:val="single" w:sz="4" w:space="0" w:color="auto"/>
              <w:bottom w:val="nil"/>
            </w:tcBorders>
            <w:vAlign w:val="center"/>
          </w:tcPr>
          <w:p w14:paraId="78F83ECE" w14:textId="77777777" w:rsidR="00DB576D" w:rsidRPr="00887008" w:rsidRDefault="00DB576D" w:rsidP="00887008">
            <w:pPr>
              <w:spacing w:before="40"/>
              <w:jc w:val="left"/>
              <w:rPr>
                <w:sz w:val="20"/>
                <w:szCs w:val="20"/>
              </w:rPr>
            </w:pPr>
            <w:r w:rsidRPr="00887008">
              <w:rPr>
                <w:sz w:val="20"/>
                <w:szCs w:val="20"/>
              </w:rPr>
              <w:t>-5</w:t>
            </w:r>
          </w:p>
        </w:tc>
        <w:tc>
          <w:tcPr>
            <w:tcW w:w="5904" w:type="dxa"/>
            <w:tcBorders>
              <w:top w:val="single" w:sz="4" w:space="0" w:color="auto"/>
              <w:bottom w:val="nil"/>
            </w:tcBorders>
            <w:vAlign w:val="center"/>
          </w:tcPr>
          <w:p w14:paraId="668E5108" w14:textId="77777777" w:rsidR="00DB576D" w:rsidRPr="00887008" w:rsidRDefault="00DB576D" w:rsidP="00887008">
            <w:pPr>
              <w:spacing w:before="40"/>
              <w:jc w:val="left"/>
              <w:rPr>
                <w:sz w:val="20"/>
                <w:szCs w:val="20"/>
              </w:rPr>
            </w:pPr>
            <w:r w:rsidRPr="00887008">
              <w:rPr>
                <w:sz w:val="20"/>
                <w:szCs w:val="20"/>
              </w:rPr>
              <w:t>People’s Bank of China (PBOC) cuts reserve requirement ratio, and negative manufacturing surveys increase expectations of additional stimulus.</w:t>
            </w:r>
            <w:r w:rsidRPr="00887008">
              <w:rPr>
                <w:sz w:val="20"/>
                <w:szCs w:val="20"/>
                <w:vertAlign w:val="superscript"/>
              </w:rPr>
              <w:endnoteReference w:id="44"/>
            </w:r>
            <w:r w:rsidRPr="00887008">
              <w:rPr>
                <w:sz w:val="20"/>
                <w:szCs w:val="20"/>
              </w:rPr>
              <w:t xml:space="preserve"> </w:t>
            </w:r>
          </w:p>
        </w:tc>
      </w:tr>
      <w:tr w:rsidR="00DB576D" w:rsidRPr="00887008" w14:paraId="7213E305" w14:textId="77777777" w:rsidTr="00287713">
        <w:trPr>
          <w:trHeight w:val="288"/>
        </w:trPr>
        <w:tc>
          <w:tcPr>
            <w:tcW w:w="1296" w:type="dxa"/>
            <w:tcBorders>
              <w:top w:val="nil"/>
              <w:bottom w:val="single" w:sz="4" w:space="0" w:color="auto"/>
            </w:tcBorders>
            <w:vAlign w:val="center"/>
          </w:tcPr>
          <w:p w14:paraId="0D3FD2EC" w14:textId="77777777" w:rsidR="00DB576D" w:rsidRPr="00887008" w:rsidRDefault="00DB576D" w:rsidP="00887008">
            <w:pPr>
              <w:spacing w:before="40"/>
              <w:jc w:val="left"/>
              <w:rPr>
                <w:sz w:val="20"/>
                <w:szCs w:val="20"/>
              </w:rPr>
            </w:pPr>
          </w:p>
        </w:tc>
        <w:tc>
          <w:tcPr>
            <w:tcW w:w="720" w:type="dxa"/>
            <w:tcBorders>
              <w:top w:val="nil"/>
              <w:bottom w:val="single" w:sz="4" w:space="0" w:color="auto"/>
            </w:tcBorders>
            <w:vAlign w:val="center"/>
          </w:tcPr>
          <w:p w14:paraId="648B5ECE"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51C0F215" w14:textId="77777777" w:rsidR="00DB576D" w:rsidRPr="00887008" w:rsidRDefault="00DB576D" w:rsidP="00887008">
            <w:pPr>
              <w:spacing w:before="40"/>
              <w:jc w:val="left"/>
              <w:rPr>
                <w:sz w:val="20"/>
                <w:szCs w:val="20"/>
              </w:rPr>
            </w:pPr>
            <w:r w:rsidRPr="00887008">
              <w:rPr>
                <w:sz w:val="20"/>
                <w:szCs w:val="20"/>
              </w:rPr>
              <w:t>U.S. imposes steel tariffs against China.</w:t>
            </w:r>
            <w:r w:rsidRPr="00887008">
              <w:rPr>
                <w:sz w:val="20"/>
                <w:szCs w:val="20"/>
                <w:vertAlign w:val="superscript"/>
              </w:rPr>
              <w:endnoteReference w:id="45"/>
            </w:r>
          </w:p>
        </w:tc>
      </w:tr>
      <w:tr w:rsidR="00DB576D" w:rsidRPr="00887008" w14:paraId="367FB7CE" w14:textId="77777777" w:rsidTr="00287713">
        <w:trPr>
          <w:trHeight w:val="576"/>
        </w:trPr>
        <w:tc>
          <w:tcPr>
            <w:tcW w:w="1296" w:type="dxa"/>
            <w:tcBorders>
              <w:top w:val="single" w:sz="4" w:space="0" w:color="auto"/>
              <w:bottom w:val="nil"/>
            </w:tcBorders>
            <w:vAlign w:val="center"/>
          </w:tcPr>
          <w:p w14:paraId="7FF93D62" w14:textId="51CB9E57" w:rsidR="00DB576D" w:rsidRPr="00887008" w:rsidRDefault="006A018D" w:rsidP="00887008">
            <w:pPr>
              <w:spacing w:before="40"/>
              <w:jc w:val="left"/>
              <w:rPr>
                <w:sz w:val="20"/>
                <w:szCs w:val="20"/>
                <w:lang w:val="de-DE"/>
              </w:rPr>
            </w:pPr>
            <w:r>
              <w:rPr>
                <w:sz w:val="20"/>
                <w:szCs w:val="20"/>
              </w:rPr>
              <w:t>0</w:t>
            </w:r>
            <w:r w:rsidR="00DB576D" w:rsidRPr="00887008">
              <w:rPr>
                <w:sz w:val="20"/>
                <w:szCs w:val="20"/>
              </w:rPr>
              <w:t>3/</w:t>
            </w:r>
            <w:r>
              <w:rPr>
                <w:sz w:val="20"/>
                <w:szCs w:val="20"/>
              </w:rPr>
              <w:t>0</w:t>
            </w:r>
            <w:r w:rsidR="00DB576D" w:rsidRPr="00887008">
              <w:rPr>
                <w:sz w:val="20"/>
                <w:szCs w:val="20"/>
              </w:rPr>
              <w:t>2/2016</w:t>
            </w:r>
          </w:p>
        </w:tc>
        <w:tc>
          <w:tcPr>
            <w:tcW w:w="720" w:type="dxa"/>
            <w:tcBorders>
              <w:top w:val="single" w:sz="4" w:space="0" w:color="auto"/>
              <w:bottom w:val="nil"/>
            </w:tcBorders>
            <w:vAlign w:val="center"/>
          </w:tcPr>
          <w:p w14:paraId="17B4E180" w14:textId="77777777" w:rsidR="00DB576D" w:rsidRPr="00887008" w:rsidRDefault="00DB576D" w:rsidP="00887008">
            <w:pPr>
              <w:spacing w:before="40"/>
              <w:jc w:val="left"/>
              <w:rPr>
                <w:sz w:val="20"/>
                <w:szCs w:val="20"/>
              </w:rPr>
            </w:pPr>
            <w:r w:rsidRPr="00887008">
              <w:rPr>
                <w:sz w:val="20"/>
                <w:szCs w:val="20"/>
              </w:rPr>
              <w:t>-4</w:t>
            </w:r>
          </w:p>
        </w:tc>
        <w:tc>
          <w:tcPr>
            <w:tcW w:w="5904" w:type="dxa"/>
            <w:tcBorders>
              <w:top w:val="single" w:sz="4" w:space="0" w:color="auto"/>
              <w:bottom w:val="nil"/>
            </w:tcBorders>
            <w:vAlign w:val="center"/>
          </w:tcPr>
          <w:p w14:paraId="113B9996" w14:textId="77777777" w:rsidR="00DB576D" w:rsidRPr="00887008" w:rsidRDefault="00DB576D" w:rsidP="00887008">
            <w:pPr>
              <w:spacing w:before="40"/>
              <w:jc w:val="left"/>
              <w:rPr>
                <w:sz w:val="20"/>
                <w:szCs w:val="20"/>
              </w:rPr>
            </w:pPr>
            <w:r w:rsidRPr="00887008">
              <w:rPr>
                <w:sz w:val="20"/>
                <w:szCs w:val="20"/>
              </w:rPr>
              <w:t>Speculation that China will take measures to support economy at upcoming National People’s Congress.</w:t>
            </w:r>
            <w:r w:rsidRPr="00887008">
              <w:rPr>
                <w:sz w:val="20"/>
                <w:szCs w:val="20"/>
                <w:vertAlign w:val="superscript"/>
              </w:rPr>
              <w:endnoteReference w:id="46"/>
            </w:r>
            <w:r w:rsidRPr="00887008">
              <w:rPr>
                <w:sz w:val="20"/>
                <w:szCs w:val="20"/>
              </w:rPr>
              <w:t xml:space="preserve"> </w:t>
            </w:r>
          </w:p>
        </w:tc>
      </w:tr>
      <w:tr w:rsidR="00DB576D" w:rsidRPr="00887008" w14:paraId="4576E930" w14:textId="77777777" w:rsidTr="00287713">
        <w:trPr>
          <w:trHeight w:val="576"/>
        </w:trPr>
        <w:tc>
          <w:tcPr>
            <w:tcW w:w="1296" w:type="dxa"/>
            <w:tcBorders>
              <w:top w:val="nil"/>
              <w:bottom w:val="nil"/>
            </w:tcBorders>
            <w:vAlign w:val="center"/>
          </w:tcPr>
          <w:p w14:paraId="5CBB2909"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132217E3"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1DFB1C3C" w14:textId="77777777" w:rsidR="00DB576D" w:rsidRPr="00887008" w:rsidRDefault="00DB576D" w:rsidP="00887008">
            <w:pPr>
              <w:spacing w:before="40"/>
              <w:jc w:val="left"/>
              <w:rPr>
                <w:sz w:val="20"/>
                <w:szCs w:val="20"/>
              </w:rPr>
            </w:pPr>
            <w:r w:rsidRPr="00887008">
              <w:rPr>
                <w:sz w:val="20"/>
                <w:szCs w:val="20"/>
              </w:rPr>
              <w:t>Moody’s lowers outlook on China’s credit rating, though markets appear unaffected by the news, as China’s rating is still sufficiently high.</w:t>
            </w:r>
            <w:r w:rsidRPr="00887008">
              <w:rPr>
                <w:sz w:val="20"/>
                <w:szCs w:val="20"/>
                <w:vertAlign w:val="superscript"/>
              </w:rPr>
              <w:endnoteReference w:id="47"/>
            </w:r>
          </w:p>
        </w:tc>
      </w:tr>
      <w:tr w:rsidR="00DB576D" w:rsidRPr="00887008" w14:paraId="230BE285" w14:textId="77777777" w:rsidTr="00287713">
        <w:trPr>
          <w:trHeight w:val="288"/>
        </w:trPr>
        <w:tc>
          <w:tcPr>
            <w:tcW w:w="1296" w:type="dxa"/>
            <w:tcBorders>
              <w:top w:val="nil"/>
              <w:bottom w:val="single" w:sz="4" w:space="0" w:color="auto"/>
            </w:tcBorders>
            <w:vAlign w:val="center"/>
          </w:tcPr>
          <w:p w14:paraId="7DDCA389" w14:textId="77777777" w:rsidR="00DB576D" w:rsidRPr="00887008" w:rsidRDefault="00DB576D" w:rsidP="00887008">
            <w:pPr>
              <w:spacing w:before="40"/>
              <w:jc w:val="left"/>
              <w:rPr>
                <w:sz w:val="20"/>
                <w:szCs w:val="20"/>
              </w:rPr>
            </w:pPr>
          </w:p>
        </w:tc>
        <w:tc>
          <w:tcPr>
            <w:tcW w:w="720" w:type="dxa"/>
            <w:tcBorders>
              <w:top w:val="nil"/>
              <w:bottom w:val="single" w:sz="4" w:space="0" w:color="auto"/>
            </w:tcBorders>
            <w:vAlign w:val="center"/>
          </w:tcPr>
          <w:p w14:paraId="147ABB74"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43760E35" w14:textId="77777777" w:rsidR="00DB576D" w:rsidRPr="00887008" w:rsidRDefault="00DB576D" w:rsidP="00887008">
            <w:pPr>
              <w:spacing w:before="40"/>
              <w:jc w:val="left"/>
              <w:rPr>
                <w:sz w:val="20"/>
                <w:szCs w:val="20"/>
              </w:rPr>
            </w:pPr>
            <w:r w:rsidRPr="00887008">
              <w:rPr>
                <w:sz w:val="20"/>
                <w:szCs w:val="20"/>
              </w:rPr>
              <w:t>Yesterday’s steel tariffs reported in Seeking Alpha.</w:t>
            </w:r>
            <w:r w:rsidRPr="00887008">
              <w:rPr>
                <w:sz w:val="20"/>
                <w:szCs w:val="20"/>
                <w:vertAlign w:val="superscript"/>
              </w:rPr>
              <w:endnoteReference w:id="48"/>
            </w:r>
          </w:p>
        </w:tc>
      </w:tr>
      <w:tr w:rsidR="00DB576D" w:rsidRPr="00887008" w14:paraId="7187B74D" w14:textId="77777777" w:rsidTr="00287713">
        <w:trPr>
          <w:trHeight w:val="288"/>
        </w:trPr>
        <w:tc>
          <w:tcPr>
            <w:tcW w:w="1296" w:type="dxa"/>
            <w:tcBorders>
              <w:top w:val="single" w:sz="4" w:space="0" w:color="auto"/>
            </w:tcBorders>
            <w:vAlign w:val="center"/>
          </w:tcPr>
          <w:p w14:paraId="19FDC4F0" w14:textId="0B865044" w:rsidR="00DB576D" w:rsidRPr="00887008" w:rsidRDefault="006A018D" w:rsidP="00887008">
            <w:pPr>
              <w:spacing w:before="40"/>
              <w:jc w:val="left"/>
              <w:rPr>
                <w:sz w:val="20"/>
                <w:szCs w:val="20"/>
                <w:lang w:val="de-DE"/>
              </w:rPr>
            </w:pPr>
            <w:r>
              <w:rPr>
                <w:sz w:val="20"/>
                <w:szCs w:val="20"/>
              </w:rPr>
              <w:t>0</w:t>
            </w:r>
            <w:r w:rsidR="00DB576D" w:rsidRPr="00887008">
              <w:rPr>
                <w:sz w:val="20"/>
                <w:szCs w:val="20"/>
              </w:rPr>
              <w:t>3/</w:t>
            </w:r>
            <w:r>
              <w:rPr>
                <w:sz w:val="20"/>
                <w:szCs w:val="20"/>
              </w:rPr>
              <w:t>0</w:t>
            </w:r>
            <w:r w:rsidR="00DB576D" w:rsidRPr="00887008">
              <w:rPr>
                <w:sz w:val="20"/>
                <w:szCs w:val="20"/>
              </w:rPr>
              <w:t>3/2016</w:t>
            </w:r>
          </w:p>
        </w:tc>
        <w:tc>
          <w:tcPr>
            <w:tcW w:w="720" w:type="dxa"/>
            <w:tcBorders>
              <w:top w:val="single" w:sz="4" w:space="0" w:color="auto"/>
            </w:tcBorders>
            <w:vAlign w:val="center"/>
          </w:tcPr>
          <w:p w14:paraId="3778DCA4" w14:textId="77777777" w:rsidR="00DB576D" w:rsidRPr="00887008" w:rsidRDefault="00DB576D" w:rsidP="00887008">
            <w:pPr>
              <w:spacing w:before="40"/>
              <w:jc w:val="left"/>
              <w:rPr>
                <w:sz w:val="20"/>
                <w:szCs w:val="20"/>
              </w:rPr>
            </w:pPr>
            <w:r w:rsidRPr="00887008">
              <w:rPr>
                <w:sz w:val="20"/>
                <w:szCs w:val="20"/>
              </w:rPr>
              <w:t>-3</w:t>
            </w:r>
          </w:p>
        </w:tc>
        <w:tc>
          <w:tcPr>
            <w:tcW w:w="5904" w:type="dxa"/>
            <w:tcBorders>
              <w:top w:val="single" w:sz="4" w:space="0" w:color="auto"/>
            </w:tcBorders>
            <w:vAlign w:val="center"/>
          </w:tcPr>
          <w:p w14:paraId="32B554EC" w14:textId="77777777" w:rsidR="00DB576D" w:rsidRPr="00887008" w:rsidRDefault="00DB576D" w:rsidP="00887008">
            <w:pPr>
              <w:spacing w:before="40"/>
              <w:jc w:val="left"/>
              <w:rPr>
                <w:sz w:val="20"/>
                <w:szCs w:val="20"/>
              </w:rPr>
            </w:pPr>
            <w:r w:rsidRPr="00887008">
              <w:rPr>
                <w:sz w:val="20"/>
                <w:szCs w:val="20"/>
              </w:rPr>
              <w:t>No evidence of major stories that would abnormally affect firms.</w:t>
            </w:r>
          </w:p>
        </w:tc>
      </w:tr>
      <w:tr w:rsidR="00DB576D" w:rsidRPr="00887008" w14:paraId="64F5EC83" w14:textId="77777777" w:rsidTr="00287713">
        <w:trPr>
          <w:trHeight w:val="576"/>
        </w:trPr>
        <w:tc>
          <w:tcPr>
            <w:tcW w:w="1296" w:type="dxa"/>
            <w:vAlign w:val="center"/>
          </w:tcPr>
          <w:p w14:paraId="7E8FEF71" w14:textId="3AC20051" w:rsidR="00DB576D" w:rsidRPr="00887008" w:rsidRDefault="006A018D" w:rsidP="00887008">
            <w:pPr>
              <w:spacing w:before="40"/>
              <w:jc w:val="left"/>
              <w:rPr>
                <w:sz w:val="20"/>
                <w:szCs w:val="20"/>
                <w:lang w:val="de-DE"/>
              </w:rPr>
            </w:pPr>
            <w:r>
              <w:rPr>
                <w:sz w:val="20"/>
                <w:szCs w:val="20"/>
                <w:lang w:val="de-DE"/>
              </w:rPr>
              <w:t>0</w:t>
            </w:r>
            <w:r w:rsidR="00DB576D" w:rsidRPr="00887008">
              <w:rPr>
                <w:sz w:val="20"/>
                <w:szCs w:val="20"/>
                <w:lang w:val="de-DE"/>
              </w:rPr>
              <w:t>3/</w:t>
            </w:r>
            <w:r>
              <w:rPr>
                <w:sz w:val="20"/>
                <w:szCs w:val="20"/>
                <w:lang w:val="de-DE"/>
              </w:rPr>
              <w:t>0</w:t>
            </w:r>
            <w:r w:rsidR="00DB576D" w:rsidRPr="00887008">
              <w:rPr>
                <w:sz w:val="20"/>
                <w:szCs w:val="20"/>
                <w:lang w:val="de-DE"/>
              </w:rPr>
              <w:t>4/2016</w:t>
            </w:r>
          </w:p>
        </w:tc>
        <w:tc>
          <w:tcPr>
            <w:tcW w:w="720" w:type="dxa"/>
            <w:vAlign w:val="center"/>
          </w:tcPr>
          <w:p w14:paraId="72E1C699" w14:textId="77777777" w:rsidR="00DB576D" w:rsidRPr="00887008" w:rsidRDefault="00DB576D" w:rsidP="00887008">
            <w:pPr>
              <w:spacing w:before="40"/>
              <w:jc w:val="left"/>
              <w:rPr>
                <w:sz w:val="20"/>
                <w:szCs w:val="20"/>
              </w:rPr>
            </w:pPr>
            <w:r w:rsidRPr="00887008">
              <w:rPr>
                <w:sz w:val="20"/>
                <w:szCs w:val="20"/>
              </w:rPr>
              <w:t>-2</w:t>
            </w:r>
          </w:p>
        </w:tc>
        <w:tc>
          <w:tcPr>
            <w:tcW w:w="5904" w:type="dxa"/>
            <w:vAlign w:val="center"/>
          </w:tcPr>
          <w:p w14:paraId="5A8CC1DC" w14:textId="77777777" w:rsidR="00DB576D" w:rsidRPr="00887008" w:rsidRDefault="00DB576D" w:rsidP="00887008">
            <w:pPr>
              <w:spacing w:before="40"/>
              <w:jc w:val="left"/>
              <w:rPr>
                <w:sz w:val="20"/>
                <w:szCs w:val="20"/>
              </w:rPr>
            </w:pPr>
            <w:r w:rsidRPr="00887008">
              <w:rPr>
                <w:sz w:val="20"/>
                <w:szCs w:val="20"/>
              </w:rPr>
              <w:t>PBOC provides equity markets support and raises the Yuan benchmark ahead of the National People’s Congress.</w:t>
            </w:r>
            <w:r w:rsidRPr="00887008">
              <w:rPr>
                <w:sz w:val="20"/>
                <w:szCs w:val="20"/>
                <w:vertAlign w:val="superscript"/>
              </w:rPr>
              <w:endnoteReference w:id="49"/>
            </w:r>
          </w:p>
        </w:tc>
      </w:tr>
      <w:tr w:rsidR="00DB576D" w:rsidRPr="00887008" w14:paraId="3B3373D4" w14:textId="77777777" w:rsidTr="00287713">
        <w:trPr>
          <w:trHeight w:val="576"/>
        </w:trPr>
        <w:tc>
          <w:tcPr>
            <w:tcW w:w="1296" w:type="dxa"/>
            <w:vAlign w:val="center"/>
          </w:tcPr>
          <w:p w14:paraId="497F4464" w14:textId="77777777" w:rsidR="00DB576D" w:rsidRPr="00887008" w:rsidRDefault="00DB576D" w:rsidP="00887008">
            <w:pPr>
              <w:spacing w:before="40"/>
              <w:jc w:val="left"/>
              <w:rPr>
                <w:sz w:val="20"/>
                <w:szCs w:val="20"/>
              </w:rPr>
            </w:pPr>
            <w:r w:rsidRPr="00887008">
              <w:rPr>
                <w:sz w:val="20"/>
                <w:szCs w:val="20"/>
                <w:lang w:val="de-DE"/>
              </w:rPr>
              <w:t>03/07/2016</w:t>
            </w:r>
          </w:p>
        </w:tc>
        <w:tc>
          <w:tcPr>
            <w:tcW w:w="720" w:type="dxa"/>
            <w:vAlign w:val="center"/>
          </w:tcPr>
          <w:p w14:paraId="326F9243" w14:textId="77777777" w:rsidR="00DB576D" w:rsidRPr="00887008" w:rsidRDefault="00DB576D" w:rsidP="00887008">
            <w:pPr>
              <w:spacing w:before="40"/>
              <w:jc w:val="left"/>
              <w:rPr>
                <w:sz w:val="20"/>
                <w:szCs w:val="20"/>
              </w:rPr>
            </w:pPr>
            <w:r w:rsidRPr="00887008">
              <w:rPr>
                <w:sz w:val="20"/>
                <w:szCs w:val="20"/>
              </w:rPr>
              <w:t>-1</w:t>
            </w:r>
          </w:p>
        </w:tc>
        <w:tc>
          <w:tcPr>
            <w:tcW w:w="5904" w:type="dxa"/>
            <w:vAlign w:val="center"/>
          </w:tcPr>
          <w:p w14:paraId="7D4AD753" w14:textId="77777777" w:rsidR="00DB576D" w:rsidRPr="00887008" w:rsidRDefault="00DB576D" w:rsidP="00887008">
            <w:pPr>
              <w:spacing w:before="40"/>
              <w:jc w:val="left"/>
              <w:rPr>
                <w:sz w:val="20"/>
                <w:szCs w:val="20"/>
              </w:rPr>
            </w:pPr>
            <w:r w:rsidRPr="00887008">
              <w:rPr>
                <w:sz w:val="20"/>
                <w:szCs w:val="20"/>
              </w:rPr>
              <w:t>Chinese officials assured National People’s Congress over the weekend that the government has the policy tools to maintain solid growth.</w:t>
            </w:r>
            <w:r w:rsidRPr="00887008">
              <w:rPr>
                <w:sz w:val="20"/>
                <w:szCs w:val="20"/>
                <w:vertAlign w:val="superscript"/>
              </w:rPr>
              <w:endnoteReference w:id="50"/>
            </w:r>
          </w:p>
        </w:tc>
      </w:tr>
      <w:tr w:rsidR="00DB576D" w:rsidRPr="00887008" w14:paraId="355ED754" w14:textId="77777777" w:rsidTr="00287713">
        <w:trPr>
          <w:trHeight w:val="288"/>
        </w:trPr>
        <w:tc>
          <w:tcPr>
            <w:tcW w:w="1296" w:type="dxa"/>
            <w:vAlign w:val="center"/>
          </w:tcPr>
          <w:p w14:paraId="3FEF5C6A" w14:textId="6FCAB15C" w:rsidR="00DB576D" w:rsidRPr="00887008" w:rsidRDefault="00DB576D" w:rsidP="00887008">
            <w:pPr>
              <w:spacing w:before="40"/>
              <w:jc w:val="left"/>
              <w:rPr>
                <w:sz w:val="20"/>
                <w:szCs w:val="20"/>
              </w:rPr>
            </w:pPr>
            <w:r w:rsidRPr="00887008">
              <w:rPr>
                <w:sz w:val="20"/>
                <w:szCs w:val="20"/>
              </w:rPr>
              <w:t>03/08/201</w:t>
            </w:r>
            <w:r w:rsidR="006A018D">
              <w:rPr>
                <w:sz w:val="20"/>
                <w:szCs w:val="20"/>
              </w:rPr>
              <w:t>6</w:t>
            </w:r>
          </w:p>
        </w:tc>
        <w:tc>
          <w:tcPr>
            <w:tcW w:w="720" w:type="dxa"/>
            <w:vAlign w:val="center"/>
          </w:tcPr>
          <w:p w14:paraId="5CB92486" w14:textId="77777777" w:rsidR="00DB576D" w:rsidRPr="00887008" w:rsidRDefault="00DB576D" w:rsidP="00887008">
            <w:pPr>
              <w:spacing w:before="40"/>
              <w:jc w:val="left"/>
              <w:rPr>
                <w:sz w:val="20"/>
                <w:szCs w:val="20"/>
              </w:rPr>
            </w:pPr>
            <w:r w:rsidRPr="00887008">
              <w:rPr>
                <w:sz w:val="20"/>
                <w:szCs w:val="20"/>
              </w:rPr>
              <w:t>0</w:t>
            </w:r>
          </w:p>
        </w:tc>
        <w:tc>
          <w:tcPr>
            <w:tcW w:w="5904" w:type="dxa"/>
            <w:vAlign w:val="center"/>
          </w:tcPr>
          <w:p w14:paraId="45BB1699" w14:textId="77777777" w:rsidR="00DB576D" w:rsidRPr="00887008" w:rsidRDefault="00DB576D" w:rsidP="00887008">
            <w:pPr>
              <w:spacing w:before="40"/>
              <w:jc w:val="left"/>
              <w:rPr>
                <w:sz w:val="20"/>
                <w:szCs w:val="20"/>
              </w:rPr>
            </w:pPr>
            <w:r w:rsidRPr="00887008">
              <w:rPr>
                <w:sz w:val="20"/>
                <w:szCs w:val="20"/>
              </w:rPr>
              <w:t>Weaker than expected Chinese trade data released.</w:t>
            </w:r>
            <w:r w:rsidRPr="00887008">
              <w:rPr>
                <w:sz w:val="20"/>
                <w:szCs w:val="20"/>
                <w:vertAlign w:val="superscript"/>
              </w:rPr>
              <w:endnoteReference w:id="51"/>
            </w:r>
          </w:p>
        </w:tc>
      </w:tr>
      <w:tr w:rsidR="00DB576D" w:rsidRPr="00887008" w14:paraId="07CB0110" w14:textId="77777777" w:rsidTr="00287713">
        <w:trPr>
          <w:trHeight w:val="288"/>
        </w:trPr>
        <w:tc>
          <w:tcPr>
            <w:tcW w:w="1296" w:type="dxa"/>
            <w:vAlign w:val="center"/>
          </w:tcPr>
          <w:p w14:paraId="12779300" w14:textId="67820A21" w:rsidR="00DB576D" w:rsidRPr="00887008" w:rsidRDefault="00DB576D" w:rsidP="00887008">
            <w:pPr>
              <w:spacing w:before="40"/>
              <w:jc w:val="left"/>
              <w:rPr>
                <w:sz w:val="20"/>
                <w:szCs w:val="20"/>
              </w:rPr>
            </w:pPr>
            <w:r w:rsidRPr="00887008">
              <w:rPr>
                <w:sz w:val="20"/>
                <w:szCs w:val="20"/>
              </w:rPr>
              <w:t>03/09/201</w:t>
            </w:r>
            <w:r w:rsidR="006A018D">
              <w:rPr>
                <w:sz w:val="20"/>
                <w:szCs w:val="20"/>
              </w:rPr>
              <w:t>6</w:t>
            </w:r>
          </w:p>
        </w:tc>
        <w:tc>
          <w:tcPr>
            <w:tcW w:w="720" w:type="dxa"/>
            <w:vAlign w:val="center"/>
          </w:tcPr>
          <w:p w14:paraId="104F268B" w14:textId="77777777" w:rsidR="00DB576D" w:rsidRPr="00887008" w:rsidRDefault="00DB576D" w:rsidP="00887008">
            <w:pPr>
              <w:spacing w:before="40"/>
              <w:jc w:val="left"/>
              <w:rPr>
                <w:sz w:val="20"/>
                <w:szCs w:val="20"/>
              </w:rPr>
            </w:pPr>
            <w:r w:rsidRPr="00887008">
              <w:rPr>
                <w:sz w:val="20"/>
                <w:szCs w:val="20"/>
              </w:rPr>
              <w:t>1</w:t>
            </w:r>
          </w:p>
        </w:tc>
        <w:tc>
          <w:tcPr>
            <w:tcW w:w="5904" w:type="dxa"/>
            <w:vAlign w:val="center"/>
          </w:tcPr>
          <w:p w14:paraId="4786572C" w14:textId="77777777" w:rsidR="00DB576D" w:rsidRPr="00887008" w:rsidRDefault="00DB576D" w:rsidP="00887008">
            <w:pPr>
              <w:spacing w:before="40"/>
              <w:jc w:val="left"/>
              <w:rPr>
                <w:sz w:val="20"/>
                <w:szCs w:val="20"/>
              </w:rPr>
            </w:pPr>
            <w:r w:rsidRPr="00887008">
              <w:rPr>
                <w:sz w:val="20"/>
                <w:szCs w:val="20"/>
              </w:rPr>
              <w:t>No evidence of major stories that would abnormally affect firms.</w:t>
            </w:r>
          </w:p>
        </w:tc>
      </w:tr>
      <w:tr w:rsidR="00DB576D" w:rsidRPr="00887008" w14:paraId="6A7E971A" w14:textId="77777777" w:rsidTr="00287713">
        <w:trPr>
          <w:trHeight w:val="288"/>
        </w:trPr>
        <w:tc>
          <w:tcPr>
            <w:tcW w:w="1296" w:type="dxa"/>
            <w:tcBorders>
              <w:bottom w:val="single" w:sz="4" w:space="0" w:color="auto"/>
            </w:tcBorders>
            <w:vAlign w:val="center"/>
          </w:tcPr>
          <w:p w14:paraId="11F480A2" w14:textId="635178C3" w:rsidR="00DB576D" w:rsidRPr="00887008" w:rsidRDefault="006A018D" w:rsidP="00887008">
            <w:pPr>
              <w:spacing w:before="40"/>
              <w:jc w:val="left"/>
              <w:rPr>
                <w:sz w:val="20"/>
                <w:szCs w:val="20"/>
              </w:rPr>
            </w:pPr>
            <w:r>
              <w:rPr>
                <w:sz w:val="20"/>
                <w:szCs w:val="20"/>
              </w:rPr>
              <w:t>0</w:t>
            </w:r>
            <w:r w:rsidR="00DB576D" w:rsidRPr="00887008">
              <w:rPr>
                <w:sz w:val="20"/>
                <w:szCs w:val="20"/>
              </w:rPr>
              <w:t>3/10/2016</w:t>
            </w:r>
          </w:p>
        </w:tc>
        <w:tc>
          <w:tcPr>
            <w:tcW w:w="720" w:type="dxa"/>
            <w:tcBorders>
              <w:bottom w:val="single" w:sz="4" w:space="0" w:color="auto"/>
            </w:tcBorders>
            <w:vAlign w:val="center"/>
          </w:tcPr>
          <w:p w14:paraId="6BF774B5" w14:textId="77777777" w:rsidR="00DB576D" w:rsidRPr="00887008" w:rsidRDefault="00DB576D" w:rsidP="00887008">
            <w:pPr>
              <w:spacing w:before="40"/>
              <w:jc w:val="left"/>
              <w:rPr>
                <w:sz w:val="20"/>
                <w:szCs w:val="20"/>
              </w:rPr>
            </w:pPr>
            <w:r w:rsidRPr="00887008">
              <w:rPr>
                <w:sz w:val="20"/>
                <w:szCs w:val="20"/>
              </w:rPr>
              <w:t>2</w:t>
            </w:r>
          </w:p>
        </w:tc>
        <w:tc>
          <w:tcPr>
            <w:tcW w:w="5904" w:type="dxa"/>
            <w:tcBorders>
              <w:bottom w:val="single" w:sz="4" w:space="0" w:color="auto"/>
            </w:tcBorders>
            <w:vAlign w:val="center"/>
          </w:tcPr>
          <w:p w14:paraId="0F4523E4" w14:textId="77777777" w:rsidR="00DB576D" w:rsidRPr="00887008" w:rsidRDefault="00DB576D" w:rsidP="00887008">
            <w:pPr>
              <w:spacing w:before="40"/>
              <w:jc w:val="left"/>
              <w:rPr>
                <w:sz w:val="20"/>
                <w:szCs w:val="20"/>
              </w:rPr>
            </w:pPr>
            <w:r w:rsidRPr="00887008">
              <w:rPr>
                <w:sz w:val="20"/>
                <w:szCs w:val="20"/>
              </w:rPr>
              <w:t>Higher than expected consumer inflation reported in China.</w:t>
            </w:r>
            <w:r w:rsidRPr="00887008">
              <w:rPr>
                <w:sz w:val="20"/>
                <w:szCs w:val="20"/>
                <w:vertAlign w:val="superscript"/>
              </w:rPr>
              <w:endnoteReference w:id="52"/>
            </w:r>
          </w:p>
        </w:tc>
      </w:tr>
      <w:tr w:rsidR="00DB576D" w:rsidRPr="00887008" w14:paraId="3F92C63C" w14:textId="77777777" w:rsidTr="00287713">
        <w:tc>
          <w:tcPr>
            <w:tcW w:w="1296" w:type="dxa"/>
            <w:tcBorders>
              <w:top w:val="single" w:sz="4" w:space="0" w:color="auto"/>
              <w:bottom w:val="nil"/>
            </w:tcBorders>
            <w:vAlign w:val="center"/>
          </w:tcPr>
          <w:p w14:paraId="15779FE8" w14:textId="4792CB46" w:rsidR="00DB576D" w:rsidRPr="00887008" w:rsidRDefault="006A018D" w:rsidP="00887008">
            <w:pPr>
              <w:spacing w:before="40"/>
              <w:jc w:val="left"/>
              <w:rPr>
                <w:sz w:val="20"/>
                <w:szCs w:val="20"/>
              </w:rPr>
            </w:pPr>
            <w:r>
              <w:rPr>
                <w:sz w:val="20"/>
                <w:szCs w:val="20"/>
              </w:rPr>
              <w:t>0</w:t>
            </w:r>
            <w:r w:rsidR="00DB576D" w:rsidRPr="00887008">
              <w:rPr>
                <w:sz w:val="20"/>
                <w:szCs w:val="20"/>
              </w:rPr>
              <w:t>3/11/2016</w:t>
            </w:r>
          </w:p>
        </w:tc>
        <w:tc>
          <w:tcPr>
            <w:tcW w:w="720" w:type="dxa"/>
            <w:tcBorders>
              <w:top w:val="single" w:sz="4" w:space="0" w:color="auto"/>
              <w:bottom w:val="nil"/>
            </w:tcBorders>
            <w:vAlign w:val="center"/>
          </w:tcPr>
          <w:p w14:paraId="293E4A7E" w14:textId="77777777" w:rsidR="00DB576D" w:rsidRPr="00887008" w:rsidRDefault="00DB576D" w:rsidP="00887008">
            <w:pPr>
              <w:spacing w:before="40"/>
              <w:jc w:val="left"/>
              <w:rPr>
                <w:sz w:val="20"/>
                <w:szCs w:val="20"/>
              </w:rPr>
            </w:pPr>
            <w:r w:rsidRPr="00887008">
              <w:rPr>
                <w:sz w:val="20"/>
                <w:szCs w:val="20"/>
              </w:rPr>
              <w:t>3</w:t>
            </w:r>
          </w:p>
        </w:tc>
        <w:tc>
          <w:tcPr>
            <w:tcW w:w="5904" w:type="dxa"/>
            <w:tcBorders>
              <w:top w:val="single" w:sz="4" w:space="0" w:color="auto"/>
              <w:bottom w:val="nil"/>
            </w:tcBorders>
            <w:vAlign w:val="center"/>
          </w:tcPr>
          <w:p w14:paraId="55BC9AFD" w14:textId="77777777" w:rsidR="00DB576D" w:rsidRPr="00887008" w:rsidRDefault="00DB576D" w:rsidP="00887008">
            <w:pPr>
              <w:spacing w:before="40"/>
              <w:jc w:val="left"/>
              <w:rPr>
                <w:sz w:val="20"/>
                <w:szCs w:val="20"/>
              </w:rPr>
            </w:pPr>
            <w:r w:rsidRPr="00887008">
              <w:rPr>
                <w:sz w:val="20"/>
                <w:szCs w:val="20"/>
              </w:rPr>
              <w:t>PBOC raises reference rate.</w:t>
            </w:r>
            <w:r w:rsidRPr="00887008">
              <w:rPr>
                <w:sz w:val="20"/>
                <w:szCs w:val="20"/>
                <w:vertAlign w:val="superscript"/>
              </w:rPr>
              <w:t xml:space="preserve"> </w:t>
            </w:r>
            <w:r w:rsidRPr="00887008">
              <w:rPr>
                <w:sz w:val="20"/>
                <w:szCs w:val="20"/>
                <w:vertAlign w:val="superscript"/>
              </w:rPr>
              <w:endnoteReference w:id="53"/>
            </w:r>
            <w:r w:rsidRPr="00887008">
              <w:rPr>
                <w:sz w:val="20"/>
                <w:szCs w:val="20"/>
                <w:vertAlign w:val="superscript"/>
              </w:rPr>
              <w:t xml:space="preserve"> </w:t>
            </w:r>
          </w:p>
        </w:tc>
      </w:tr>
      <w:tr w:rsidR="00DB576D" w:rsidRPr="00887008" w14:paraId="5876E57F" w14:textId="77777777" w:rsidTr="00287713">
        <w:tc>
          <w:tcPr>
            <w:tcW w:w="1296" w:type="dxa"/>
            <w:tcBorders>
              <w:top w:val="nil"/>
              <w:bottom w:val="nil"/>
            </w:tcBorders>
            <w:vAlign w:val="center"/>
          </w:tcPr>
          <w:p w14:paraId="7CCBBBF7"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2EF70092"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54DDB508" w14:textId="77777777" w:rsidR="00DB576D" w:rsidRPr="00887008" w:rsidRDefault="00DB576D" w:rsidP="00887008">
            <w:pPr>
              <w:spacing w:before="40"/>
              <w:jc w:val="left"/>
              <w:rPr>
                <w:sz w:val="20"/>
                <w:szCs w:val="20"/>
              </w:rPr>
            </w:pPr>
            <w:r w:rsidRPr="00887008">
              <w:rPr>
                <w:sz w:val="20"/>
                <w:szCs w:val="20"/>
              </w:rPr>
              <w:t>Chinese government drafts rules aimed to clean up non-performing loans.</w:t>
            </w:r>
            <w:r w:rsidRPr="00887008">
              <w:rPr>
                <w:sz w:val="20"/>
                <w:szCs w:val="20"/>
                <w:vertAlign w:val="superscript"/>
              </w:rPr>
              <w:endnoteReference w:id="54"/>
            </w:r>
          </w:p>
        </w:tc>
      </w:tr>
      <w:tr w:rsidR="00DB576D" w:rsidRPr="00887008" w14:paraId="5AA4D09A" w14:textId="77777777" w:rsidTr="00287713">
        <w:tc>
          <w:tcPr>
            <w:tcW w:w="1296" w:type="dxa"/>
            <w:tcBorders>
              <w:top w:val="nil"/>
              <w:bottom w:val="single" w:sz="4" w:space="0" w:color="auto"/>
            </w:tcBorders>
            <w:vAlign w:val="center"/>
          </w:tcPr>
          <w:p w14:paraId="644F210F" w14:textId="77777777" w:rsidR="00DB576D" w:rsidRPr="00887008" w:rsidRDefault="00DB576D" w:rsidP="00887008">
            <w:pPr>
              <w:spacing w:before="40"/>
              <w:jc w:val="left"/>
              <w:rPr>
                <w:sz w:val="20"/>
                <w:szCs w:val="20"/>
              </w:rPr>
            </w:pPr>
          </w:p>
        </w:tc>
        <w:tc>
          <w:tcPr>
            <w:tcW w:w="720" w:type="dxa"/>
            <w:tcBorders>
              <w:top w:val="nil"/>
              <w:bottom w:val="single" w:sz="4" w:space="0" w:color="auto"/>
            </w:tcBorders>
            <w:vAlign w:val="center"/>
          </w:tcPr>
          <w:p w14:paraId="4AB43A2E"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7F28C89B" w14:textId="77777777" w:rsidR="00DB576D" w:rsidRPr="00887008" w:rsidRDefault="00DB576D" w:rsidP="00887008">
            <w:pPr>
              <w:spacing w:before="40"/>
              <w:jc w:val="left"/>
              <w:rPr>
                <w:sz w:val="20"/>
                <w:szCs w:val="20"/>
              </w:rPr>
            </w:pPr>
            <w:r w:rsidRPr="00887008">
              <w:rPr>
                <w:sz w:val="20"/>
                <w:szCs w:val="20"/>
              </w:rPr>
              <w:t>Lower than expected Chinese bank lending data released.</w:t>
            </w:r>
            <w:r w:rsidRPr="00887008">
              <w:rPr>
                <w:sz w:val="20"/>
                <w:szCs w:val="20"/>
                <w:vertAlign w:val="superscript"/>
              </w:rPr>
              <w:endnoteReference w:id="55"/>
            </w:r>
          </w:p>
        </w:tc>
      </w:tr>
      <w:tr w:rsidR="00DB576D" w:rsidRPr="00887008" w14:paraId="21D09F33" w14:textId="77777777" w:rsidTr="00287713">
        <w:trPr>
          <w:trHeight w:val="288"/>
        </w:trPr>
        <w:tc>
          <w:tcPr>
            <w:tcW w:w="1296" w:type="dxa"/>
            <w:tcBorders>
              <w:top w:val="single" w:sz="4" w:space="0" w:color="auto"/>
              <w:bottom w:val="single" w:sz="4" w:space="0" w:color="auto"/>
            </w:tcBorders>
            <w:vAlign w:val="center"/>
          </w:tcPr>
          <w:p w14:paraId="7FE38C2B" w14:textId="658D0EA0" w:rsidR="00DB576D" w:rsidRPr="00887008" w:rsidRDefault="006A018D" w:rsidP="00887008">
            <w:pPr>
              <w:spacing w:before="40"/>
              <w:jc w:val="left"/>
              <w:rPr>
                <w:sz w:val="20"/>
                <w:szCs w:val="20"/>
              </w:rPr>
            </w:pPr>
            <w:r>
              <w:rPr>
                <w:sz w:val="20"/>
                <w:szCs w:val="20"/>
              </w:rPr>
              <w:t>0</w:t>
            </w:r>
            <w:r w:rsidR="00DB576D" w:rsidRPr="00887008">
              <w:rPr>
                <w:sz w:val="20"/>
                <w:szCs w:val="20"/>
              </w:rPr>
              <w:t>3/14/2016</w:t>
            </w:r>
          </w:p>
        </w:tc>
        <w:tc>
          <w:tcPr>
            <w:tcW w:w="720" w:type="dxa"/>
            <w:tcBorders>
              <w:top w:val="single" w:sz="4" w:space="0" w:color="auto"/>
              <w:bottom w:val="single" w:sz="4" w:space="0" w:color="auto"/>
            </w:tcBorders>
            <w:vAlign w:val="center"/>
          </w:tcPr>
          <w:p w14:paraId="578540DC" w14:textId="77777777" w:rsidR="00DB576D" w:rsidRPr="00887008" w:rsidRDefault="00DB576D" w:rsidP="00887008">
            <w:pPr>
              <w:spacing w:before="40"/>
              <w:jc w:val="left"/>
              <w:rPr>
                <w:sz w:val="20"/>
                <w:szCs w:val="20"/>
              </w:rPr>
            </w:pPr>
            <w:r w:rsidRPr="00887008">
              <w:rPr>
                <w:sz w:val="20"/>
                <w:szCs w:val="20"/>
              </w:rPr>
              <w:t>4</w:t>
            </w:r>
          </w:p>
        </w:tc>
        <w:tc>
          <w:tcPr>
            <w:tcW w:w="5904" w:type="dxa"/>
            <w:tcBorders>
              <w:top w:val="single" w:sz="4" w:space="0" w:color="auto"/>
              <w:bottom w:val="single" w:sz="4" w:space="0" w:color="auto"/>
            </w:tcBorders>
            <w:vAlign w:val="center"/>
          </w:tcPr>
          <w:p w14:paraId="2E161FD9" w14:textId="77777777" w:rsidR="00DB576D" w:rsidRPr="00887008" w:rsidRDefault="00DB576D" w:rsidP="00887008">
            <w:pPr>
              <w:spacing w:before="40"/>
              <w:jc w:val="left"/>
              <w:rPr>
                <w:sz w:val="20"/>
                <w:szCs w:val="20"/>
              </w:rPr>
            </w:pPr>
            <w:r w:rsidRPr="00887008">
              <w:rPr>
                <w:sz w:val="20"/>
                <w:szCs w:val="20"/>
              </w:rPr>
              <w:t>No evidence of major stories that would abnormally affect firms.</w:t>
            </w:r>
          </w:p>
        </w:tc>
      </w:tr>
      <w:tr w:rsidR="00DB576D" w:rsidRPr="00887008" w14:paraId="7D78BCF0" w14:textId="77777777" w:rsidTr="00287713">
        <w:trPr>
          <w:trHeight w:val="288"/>
        </w:trPr>
        <w:tc>
          <w:tcPr>
            <w:tcW w:w="1296" w:type="dxa"/>
            <w:tcBorders>
              <w:top w:val="single" w:sz="4" w:space="0" w:color="auto"/>
              <w:bottom w:val="single" w:sz="4" w:space="0" w:color="auto"/>
            </w:tcBorders>
            <w:vAlign w:val="center"/>
          </w:tcPr>
          <w:p w14:paraId="5B78396C" w14:textId="6F76F3ED" w:rsidR="00DB576D" w:rsidRPr="00887008" w:rsidRDefault="006A018D" w:rsidP="00887008">
            <w:pPr>
              <w:spacing w:before="40"/>
              <w:jc w:val="left"/>
              <w:rPr>
                <w:sz w:val="20"/>
                <w:szCs w:val="20"/>
              </w:rPr>
            </w:pPr>
            <w:r>
              <w:rPr>
                <w:sz w:val="20"/>
                <w:szCs w:val="20"/>
              </w:rPr>
              <w:t>0</w:t>
            </w:r>
            <w:r w:rsidR="00DB576D" w:rsidRPr="00887008">
              <w:rPr>
                <w:sz w:val="20"/>
                <w:szCs w:val="20"/>
              </w:rPr>
              <w:t>3/15/2016</w:t>
            </w:r>
          </w:p>
        </w:tc>
        <w:tc>
          <w:tcPr>
            <w:tcW w:w="720" w:type="dxa"/>
            <w:tcBorders>
              <w:top w:val="single" w:sz="4" w:space="0" w:color="auto"/>
              <w:bottom w:val="single" w:sz="4" w:space="0" w:color="auto"/>
            </w:tcBorders>
            <w:vAlign w:val="center"/>
          </w:tcPr>
          <w:p w14:paraId="2E3FD288" w14:textId="77777777" w:rsidR="00DB576D" w:rsidRPr="00887008" w:rsidRDefault="00DB576D" w:rsidP="00887008">
            <w:pPr>
              <w:spacing w:before="40"/>
              <w:jc w:val="left"/>
              <w:rPr>
                <w:sz w:val="20"/>
                <w:szCs w:val="20"/>
              </w:rPr>
            </w:pPr>
            <w:r w:rsidRPr="00887008">
              <w:rPr>
                <w:sz w:val="20"/>
                <w:szCs w:val="20"/>
              </w:rPr>
              <w:t>5</w:t>
            </w:r>
          </w:p>
        </w:tc>
        <w:tc>
          <w:tcPr>
            <w:tcW w:w="5904" w:type="dxa"/>
            <w:tcBorders>
              <w:top w:val="single" w:sz="4" w:space="0" w:color="auto"/>
              <w:bottom w:val="single" w:sz="4" w:space="0" w:color="auto"/>
            </w:tcBorders>
            <w:vAlign w:val="center"/>
          </w:tcPr>
          <w:p w14:paraId="617C6D44" w14:textId="77777777" w:rsidR="00DB576D" w:rsidRPr="00887008" w:rsidRDefault="00DB576D" w:rsidP="00887008">
            <w:pPr>
              <w:spacing w:before="40"/>
              <w:jc w:val="left"/>
              <w:rPr>
                <w:sz w:val="20"/>
                <w:szCs w:val="20"/>
              </w:rPr>
            </w:pPr>
            <w:r w:rsidRPr="00887008">
              <w:rPr>
                <w:sz w:val="20"/>
                <w:szCs w:val="20"/>
              </w:rPr>
              <w:t>No evidence of major stories that would abnormally affect firms.</w:t>
            </w:r>
          </w:p>
        </w:tc>
      </w:tr>
    </w:tbl>
    <w:p w14:paraId="3BBA1C05" w14:textId="77777777" w:rsidR="00CD3ED2" w:rsidRDefault="00CD3ED2" w:rsidP="00887008">
      <w:pPr>
        <w:pStyle w:val="Caption"/>
      </w:pPr>
    </w:p>
    <w:p w14:paraId="1BF55154" w14:textId="28937346" w:rsidR="00DB576D" w:rsidRPr="00770501" w:rsidRDefault="00887008" w:rsidP="00887008">
      <w:pPr>
        <w:pStyle w:val="Caption"/>
        <w:rPr>
          <w:b w:val="0"/>
          <w:iCs w:val="0"/>
          <w:szCs w:val="24"/>
        </w:rPr>
      </w:pPr>
      <w:r>
        <w:lastRenderedPageBreak/>
        <w:t xml:space="preserve">Table </w:t>
      </w:r>
      <w:r w:rsidR="0002383E">
        <w:t>A</w:t>
      </w:r>
      <w:r w:rsidR="00F839C8">
        <w:fldChar w:fldCharType="begin"/>
      </w:r>
      <w:r w:rsidR="00F839C8">
        <w:instrText xml:space="preserve"> SEQ Table \* ARABIC </w:instrText>
      </w:r>
      <w:r w:rsidR="00F839C8">
        <w:fldChar w:fldCharType="separate"/>
      </w:r>
      <w:r w:rsidR="00F25795">
        <w:rPr>
          <w:noProof/>
        </w:rPr>
        <w:t>5</w:t>
      </w:r>
      <w:r w:rsidR="00F839C8">
        <w:rPr>
          <w:noProof/>
        </w:rPr>
        <w:fldChar w:fldCharType="end"/>
      </w:r>
      <w:r w:rsidR="00DB576D" w:rsidRPr="00770501">
        <w:rPr>
          <w:szCs w:val="24"/>
        </w:rPr>
        <w:t>: Relevant news surrounding Huawei event</w:t>
      </w:r>
    </w:p>
    <w:tbl>
      <w:tblPr>
        <w:tblStyle w:val="TableGrid7"/>
        <w:tblW w:w="79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96"/>
        <w:gridCol w:w="720"/>
        <w:gridCol w:w="5904"/>
      </w:tblGrid>
      <w:tr w:rsidR="00DB576D" w:rsidRPr="00887008" w14:paraId="74565A2C" w14:textId="77777777" w:rsidTr="00287713">
        <w:trPr>
          <w:tblHeader/>
        </w:trPr>
        <w:tc>
          <w:tcPr>
            <w:tcW w:w="1296" w:type="dxa"/>
            <w:tcBorders>
              <w:top w:val="single" w:sz="4" w:space="0" w:color="auto"/>
              <w:bottom w:val="single" w:sz="4" w:space="0" w:color="auto"/>
            </w:tcBorders>
            <w:vAlign w:val="center"/>
          </w:tcPr>
          <w:p w14:paraId="2D3DCD06" w14:textId="77777777" w:rsidR="00DB576D" w:rsidRPr="00887008" w:rsidRDefault="00DB576D" w:rsidP="00887008">
            <w:pPr>
              <w:spacing w:before="40"/>
              <w:jc w:val="left"/>
              <w:rPr>
                <w:b/>
                <w:bCs/>
                <w:sz w:val="20"/>
                <w:szCs w:val="20"/>
              </w:rPr>
            </w:pPr>
            <w:r w:rsidRPr="00887008">
              <w:rPr>
                <w:b/>
                <w:bCs/>
                <w:sz w:val="20"/>
                <w:szCs w:val="20"/>
              </w:rPr>
              <w:t>Date</w:t>
            </w:r>
          </w:p>
        </w:tc>
        <w:tc>
          <w:tcPr>
            <w:tcW w:w="720" w:type="dxa"/>
            <w:tcBorders>
              <w:top w:val="single" w:sz="4" w:space="0" w:color="auto"/>
              <w:bottom w:val="single" w:sz="4" w:space="0" w:color="auto"/>
            </w:tcBorders>
            <w:vAlign w:val="center"/>
          </w:tcPr>
          <w:p w14:paraId="36EF19ED" w14:textId="77777777" w:rsidR="00DB576D" w:rsidRPr="00887008" w:rsidRDefault="00DB576D" w:rsidP="00887008">
            <w:pPr>
              <w:spacing w:before="40"/>
              <w:jc w:val="left"/>
              <w:rPr>
                <w:b/>
                <w:bCs/>
                <w:sz w:val="20"/>
                <w:szCs w:val="20"/>
              </w:rPr>
            </w:pPr>
            <w:r w:rsidRPr="00887008">
              <w:rPr>
                <w:b/>
                <w:bCs/>
                <w:sz w:val="20"/>
                <w:szCs w:val="20"/>
              </w:rPr>
              <w:t>t</w:t>
            </w:r>
          </w:p>
        </w:tc>
        <w:tc>
          <w:tcPr>
            <w:tcW w:w="5904" w:type="dxa"/>
            <w:tcBorders>
              <w:top w:val="single" w:sz="4" w:space="0" w:color="auto"/>
              <w:bottom w:val="single" w:sz="4" w:space="0" w:color="auto"/>
            </w:tcBorders>
            <w:vAlign w:val="center"/>
          </w:tcPr>
          <w:p w14:paraId="0DC25C29" w14:textId="77777777" w:rsidR="00DB576D" w:rsidRPr="00887008" w:rsidRDefault="00DB576D" w:rsidP="00887008">
            <w:pPr>
              <w:spacing w:before="40"/>
              <w:jc w:val="left"/>
              <w:rPr>
                <w:b/>
                <w:bCs/>
                <w:sz w:val="20"/>
                <w:szCs w:val="20"/>
              </w:rPr>
            </w:pPr>
            <w:r w:rsidRPr="00887008">
              <w:rPr>
                <w:b/>
                <w:bCs/>
                <w:sz w:val="20"/>
                <w:szCs w:val="20"/>
              </w:rPr>
              <w:t>Relevant stories</w:t>
            </w:r>
          </w:p>
        </w:tc>
      </w:tr>
      <w:tr w:rsidR="00DB576D" w:rsidRPr="00887008" w14:paraId="6ABF9386" w14:textId="77777777" w:rsidTr="00287713">
        <w:trPr>
          <w:trHeight w:val="288"/>
        </w:trPr>
        <w:tc>
          <w:tcPr>
            <w:tcW w:w="1296" w:type="dxa"/>
            <w:tcBorders>
              <w:top w:val="single" w:sz="4" w:space="0" w:color="auto"/>
              <w:bottom w:val="nil"/>
            </w:tcBorders>
            <w:vAlign w:val="center"/>
          </w:tcPr>
          <w:p w14:paraId="2FCE3C8D" w14:textId="77777777" w:rsidR="00DB576D" w:rsidRPr="00887008" w:rsidRDefault="00DB576D" w:rsidP="00887008">
            <w:pPr>
              <w:spacing w:before="40"/>
              <w:jc w:val="left"/>
              <w:rPr>
                <w:sz w:val="20"/>
                <w:szCs w:val="20"/>
              </w:rPr>
            </w:pPr>
            <w:r w:rsidRPr="00887008">
              <w:rPr>
                <w:sz w:val="20"/>
                <w:szCs w:val="20"/>
              </w:rPr>
              <w:t>05/09/2019</w:t>
            </w:r>
          </w:p>
        </w:tc>
        <w:tc>
          <w:tcPr>
            <w:tcW w:w="720" w:type="dxa"/>
            <w:tcBorders>
              <w:top w:val="single" w:sz="4" w:space="0" w:color="auto"/>
              <w:bottom w:val="nil"/>
            </w:tcBorders>
            <w:vAlign w:val="center"/>
          </w:tcPr>
          <w:p w14:paraId="15F5BCB9" w14:textId="77777777" w:rsidR="00DB576D" w:rsidRPr="00887008" w:rsidRDefault="00DB576D" w:rsidP="00887008">
            <w:pPr>
              <w:spacing w:before="40"/>
              <w:jc w:val="left"/>
              <w:rPr>
                <w:sz w:val="20"/>
                <w:szCs w:val="20"/>
              </w:rPr>
            </w:pPr>
            <w:r w:rsidRPr="00887008">
              <w:rPr>
                <w:sz w:val="20"/>
                <w:szCs w:val="20"/>
              </w:rPr>
              <w:t>-5</w:t>
            </w:r>
          </w:p>
        </w:tc>
        <w:tc>
          <w:tcPr>
            <w:tcW w:w="5904" w:type="dxa"/>
            <w:tcBorders>
              <w:top w:val="single" w:sz="4" w:space="0" w:color="auto"/>
              <w:bottom w:val="nil"/>
            </w:tcBorders>
            <w:vAlign w:val="center"/>
          </w:tcPr>
          <w:p w14:paraId="0F55D456" w14:textId="77777777" w:rsidR="00DB576D" w:rsidRPr="00887008" w:rsidRDefault="00DB576D" w:rsidP="00887008">
            <w:pPr>
              <w:spacing w:before="40"/>
              <w:jc w:val="left"/>
              <w:rPr>
                <w:sz w:val="20"/>
                <w:szCs w:val="20"/>
              </w:rPr>
            </w:pPr>
            <w:r w:rsidRPr="00887008">
              <w:rPr>
                <w:sz w:val="20"/>
                <w:szCs w:val="20"/>
              </w:rPr>
              <w:t>Conflicting signals on trade deal progress generate volatility, some pessimism.</w:t>
            </w:r>
            <w:r w:rsidRPr="00887008">
              <w:rPr>
                <w:sz w:val="20"/>
                <w:szCs w:val="20"/>
                <w:vertAlign w:val="superscript"/>
              </w:rPr>
              <w:endnoteReference w:id="56"/>
            </w:r>
            <w:r w:rsidRPr="00887008">
              <w:rPr>
                <w:sz w:val="20"/>
                <w:szCs w:val="20"/>
              </w:rPr>
              <w:t xml:space="preserve"> </w:t>
            </w:r>
          </w:p>
        </w:tc>
      </w:tr>
      <w:tr w:rsidR="00DB576D" w:rsidRPr="00887008" w14:paraId="54B0E37E" w14:textId="77777777" w:rsidTr="00287713">
        <w:trPr>
          <w:trHeight w:val="288"/>
        </w:trPr>
        <w:tc>
          <w:tcPr>
            <w:tcW w:w="1296" w:type="dxa"/>
            <w:tcBorders>
              <w:top w:val="nil"/>
              <w:bottom w:val="nil"/>
            </w:tcBorders>
            <w:vAlign w:val="center"/>
          </w:tcPr>
          <w:p w14:paraId="528B62EE"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485F29D7"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05D4EDBB" w14:textId="77777777" w:rsidR="00DB576D" w:rsidRPr="00887008" w:rsidRDefault="00DB576D" w:rsidP="00887008">
            <w:pPr>
              <w:spacing w:before="40"/>
              <w:jc w:val="left"/>
              <w:rPr>
                <w:sz w:val="20"/>
                <w:szCs w:val="20"/>
              </w:rPr>
            </w:pPr>
            <w:r w:rsidRPr="00887008">
              <w:rPr>
                <w:sz w:val="20"/>
                <w:szCs w:val="20"/>
              </w:rPr>
              <w:t>No sign that tariffs scheduled to go into effect tomorrow will be postponed.</w:t>
            </w:r>
            <w:r w:rsidRPr="00887008">
              <w:rPr>
                <w:sz w:val="20"/>
                <w:szCs w:val="20"/>
                <w:vertAlign w:val="superscript"/>
              </w:rPr>
              <w:endnoteReference w:id="57"/>
            </w:r>
          </w:p>
        </w:tc>
      </w:tr>
      <w:tr w:rsidR="00DB576D" w:rsidRPr="00887008" w14:paraId="2A38258E" w14:textId="77777777" w:rsidTr="00287713">
        <w:trPr>
          <w:trHeight w:val="288"/>
        </w:trPr>
        <w:tc>
          <w:tcPr>
            <w:tcW w:w="1296" w:type="dxa"/>
            <w:tcBorders>
              <w:top w:val="nil"/>
              <w:bottom w:val="single" w:sz="4" w:space="0" w:color="auto"/>
            </w:tcBorders>
            <w:vAlign w:val="center"/>
          </w:tcPr>
          <w:p w14:paraId="21143A55" w14:textId="77777777" w:rsidR="00DB576D" w:rsidRPr="00887008" w:rsidRDefault="00DB576D" w:rsidP="00887008">
            <w:pPr>
              <w:spacing w:before="40"/>
              <w:jc w:val="left"/>
              <w:rPr>
                <w:sz w:val="20"/>
                <w:szCs w:val="20"/>
              </w:rPr>
            </w:pPr>
          </w:p>
        </w:tc>
        <w:tc>
          <w:tcPr>
            <w:tcW w:w="720" w:type="dxa"/>
            <w:tcBorders>
              <w:top w:val="nil"/>
              <w:bottom w:val="single" w:sz="4" w:space="0" w:color="auto"/>
            </w:tcBorders>
            <w:vAlign w:val="center"/>
          </w:tcPr>
          <w:p w14:paraId="200E9564"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6A85CDE1" w14:textId="77777777" w:rsidR="00DB576D" w:rsidRPr="00887008" w:rsidRDefault="00DB576D" w:rsidP="00887008">
            <w:pPr>
              <w:spacing w:before="40"/>
              <w:jc w:val="left"/>
              <w:rPr>
                <w:sz w:val="20"/>
                <w:szCs w:val="20"/>
              </w:rPr>
            </w:pPr>
            <w:r w:rsidRPr="00887008">
              <w:rPr>
                <w:sz w:val="20"/>
                <w:szCs w:val="20"/>
              </w:rPr>
              <w:t>Slowing credit growth data in China released.</w:t>
            </w:r>
            <w:r w:rsidRPr="00887008">
              <w:rPr>
                <w:sz w:val="20"/>
                <w:szCs w:val="20"/>
                <w:vertAlign w:val="superscript"/>
              </w:rPr>
              <w:endnoteReference w:id="58"/>
            </w:r>
          </w:p>
        </w:tc>
      </w:tr>
      <w:tr w:rsidR="00DB576D" w:rsidRPr="00887008" w14:paraId="73055A5D" w14:textId="77777777" w:rsidTr="00287713">
        <w:trPr>
          <w:trHeight w:val="288"/>
        </w:trPr>
        <w:tc>
          <w:tcPr>
            <w:tcW w:w="1296" w:type="dxa"/>
            <w:tcBorders>
              <w:top w:val="single" w:sz="4" w:space="0" w:color="auto"/>
              <w:bottom w:val="nil"/>
            </w:tcBorders>
            <w:vAlign w:val="center"/>
          </w:tcPr>
          <w:p w14:paraId="470572E1" w14:textId="77777777" w:rsidR="00DB576D" w:rsidRPr="00887008" w:rsidRDefault="00DB576D" w:rsidP="00887008">
            <w:pPr>
              <w:spacing w:before="40"/>
              <w:jc w:val="left"/>
              <w:rPr>
                <w:sz w:val="20"/>
                <w:szCs w:val="20"/>
              </w:rPr>
            </w:pPr>
            <w:r w:rsidRPr="00887008">
              <w:rPr>
                <w:sz w:val="20"/>
                <w:szCs w:val="20"/>
              </w:rPr>
              <w:t>05/10/2019</w:t>
            </w:r>
          </w:p>
        </w:tc>
        <w:tc>
          <w:tcPr>
            <w:tcW w:w="720" w:type="dxa"/>
            <w:tcBorders>
              <w:top w:val="single" w:sz="4" w:space="0" w:color="auto"/>
              <w:bottom w:val="nil"/>
            </w:tcBorders>
            <w:vAlign w:val="center"/>
          </w:tcPr>
          <w:p w14:paraId="371507B7" w14:textId="77777777" w:rsidR="00DB576D" w:rsidRPr="00887008" w:rsidRDefault="00DB576D" w:rsidP="00887008">
            <w:pPr>
              <w:spacing w:before="40"/>
              <w:jc w:val="left"/>
              <w:rPr>
                <w:sz w:val="20"/>
                <w:szCs w:val="20"/>
              </w:rPr>
            </w:pPr>
            <w:r w:rsidRPr="00887008">
              <w:rPr>
                <w:sz w:val="20"/>
                <w:szCs w:val="20"/>
              </w:rPr>
              <w:t>-4</w:t>
            </w:r>
          </w:p>
        </w:tc>
        <w:tc>
          <w:tcPr>
            <w:tcW w:w="5904" w:type="dxa"/>
            <w:tcBorders>
              <w:top w:val="single" w:sz="4" w:space="0" w:color="auto"/>
              <w:bottom w:val="nil"/>
            </w:tcBorders>
            <w:vAlign w:val="center"/>
          </w:tcPr>
          <w:p w14:paraId="3CD5D97D" w14:textId="77777777" w:rsidR="00DB576D" w:rsidRPr="00887008" w:rsidRDefault="00DB576D" w:rsidP="00887008">
            <w:pPr>
              <w:spacing w:before="40"/>
              <w:jc w:val="left"/>
              <w:rPr>
                <w:sz w:val="20"/>
                <w:szCs w:val="20"/>
              </w:rPr>
            </w:pPr>
            <w:r w:rsidRPr="00887008">
              <w:rPr>
                <w:sz w:val="20"/>
                <w:szCs w:val="20"/>
              </w:rPr>
              <w:t>U.S. announces increased tariffs on Chinese imports.</w:t>
            </w:r>
            <w:r w:rsidRPr="00887008">
              <w:rPr>
                <w:sz w:val="20"/>
                <w:szCs w:val="20"/>
                <w:vertAlign w:val="superscript"/>
              </w:rPr>
              <w:endnoteReference w:id="59"/>
            </w:r>
            <w:r w:rsidRPr="00887008">
              <w:rPr>
                <w:sz w:val="20"/>
                <w:szCs w:val="20"/>
              </w:rPr>
              <w:t xml:space="preserve"> </w:t>
            </w:r>
          </w:p>
        </w:tc>
      </w:tr>
      <w:tr w:rsidR="00DB576D" w:rsidRPr="00887008" w14:paraId="7CDA4680" w14:textId="77777777" w:rsidTr="00287713">
        <w:trPr>
          <w:trHeight w:val="288"/>
        </w:trPr>
        <w:tc>
          <w:tcPr>
            <w:tcW w:w="1296" w:type="dxa"/>
            <w:tcBorders>
              <w:top w:val="nil"/>
              <w:bottom w:val="nil"/>
            </w:tcBorders>
            <w:vAlign w:val="center"/>
          </w:tcPr>
          <w:p w14:paraId="2F688657"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57F68874"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27DDA39B" w14:textId="77777777" w:rsidR="00DB576D" w:rsidRPr="00887008" w:rsidRDefault="00DB576D" w:rsidP="00887008">
            <w:pPr>
              <w:spacing w:before="40"/>
              <w:jc w:val="left"/>
              <w:rPr>
                <w:sz w:val="20"/>
                <w:szCs w:val="20"/>
              </w:rPr>
            </w:pPr>
            <w:r w:rsidRPr="00887008">
              <w:rPr>
                <w:sz w:val="20"/>
                <w:szCs w:val="20"/>
              </w:rPr>
              <w:t>China indicates it will retaliate against U.S. tariffs.</w:t>
            </w:r>
            <w:r w:rsidRPr="00887008">
              <w:rPr>
                <w:sz w:val="20"/>
                <w:szCs w:val="20"/>
                <w:vertAlign w:val="superscript"/>
              </w:rPr>
              <w:endnoteReference w:id="60"/>
            </w:r>
          </w:p>
        </w:tc>
      </w:tr>
      <w:tr w:rsidR="00DB576D" w:rsidRPr="00887008" w14:paraId="4F93C9D8" w14:textId="77777777" w:rsidTr="00287713">
        <w:trPr>
          <w:trHeight w:val="288"/>
        </w:trPr>
        <w:tc>
          <w:tcPr>
            <w:tcW w:w="1296" w:type="dxa"/>
            <w:tcBorders>
              <w:top w:val="nil"/>
              <w:bottom w:val="single" w:sz="4" w:space="0" w:color="auto"/>
            </w:tcBorders>
            <w:vAlign w:val="center"/>
          </w:tcPr>
          <w:p w14:paraId="5CCF8A7E" w14:textId="77777777" w:rsidR="00DB576D" w:rsidRPr="00887008" w:rsidRDefault="00DB576D" w:rsidP="00887008">
            <w:pPr>
              <w:spacing w:before="40"/>
              <w:jc w:val="left"/>
              <w:rPr>
                <w:sz w:val="20"/>
                <w:szCs w:val="20"/>
              </w:rPr>
            </w:pPr>
          </w:p>
        </w:tc>
        <w:tc>
          <w:tcPr>
            <w:tcW w:w="720" w:type="dxa"/>
            <w:tcBorders>
              <w:top w:val="nil"/>
              <w:bottom w:val="single" w:sz="4" w:space="0" w:color="auto"/>
            </w:tcBorders>
            <w:vAlign w:val="center"/>
          </w:tcPr>
          <w:p w14:paraId="2100F67E"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3CFCF6C5" w14:textId="6DD1D29E" w:rsidR="00DB576D" w:rsidRPr="00887008" w:rsidRDefault="00DB576D" w:rsidP="00887008">
            <w:pPr>
              <w:spacing w:before="40"/>
              <w:jc w:val="left"/>
              <w:rPr>
                <w:sz w:val="20"/>
                <w:szCs w:val="20"/>
              </w:rPr>
            </w:pPr>
            <w:r w:rsidRPr="00887008">
              <w:rPr>
                <w:sz w:val="20"/>
                <w:szCs w:val="20"/>
              </w:rPr>
              <w:t>Still, stocks rally based on mild U.S.-China trade negotiation optimism.</w:t>
            </w:r>
            <w:r w:rsidRPr="00887008">
              <w:rPr>
                <w:sz w:val="20"/>
                <w:szCs w:val="20"/>
                <w:vertAlign w:val="superscript"/>
              </w:rPr>
              <w:endnoteReference w:id="61"/>
            </w:r>
          </w:p>
        </w:tc>
      </w:tr>
      <w:tr w:rsidR="00DB576D" w:rsidRPr="00887008" w14:paraId="76754FBA" w14:textId="77777777" w:rsidTr="00287713">
        <w:trPr>
          <w:trHeight w:val="576"/>
        </w:trPr>
        <w:tc>
          <w:tcPr>
            <w:tcW w:w="1296" w:type="dxa"/>
            <w:tcBorders>
              <w:top w:val="single" w:sz="4" w:space="0" w:color="auto"/>
            </w:tcBorders>
            <w:vAlign w:val="center"/>
          </w:tcPr>
          <w:p w14:paraId="73B33AFB" w14:textId="77777777" w:rsidR="00DB576D" w:rsidRPr="00887008" w:rsidRDefault="00DB576D" w:rsidP="00887008">
            <w:pPr>
              <w:spacing w:before="40"/>
              <w:jc w:val="left"/>
              <w:rPr>
                <w:sz w:val="20"/>
                <w:szCs w:val="20"/>
              </w:rPr>
            </w:pPr>
            <w:r w:rsidRPr="00887008">
              <w:rPr>
                <w:sz w:val="20"/>
                <w:szCs w:val="20"/>
              </w:rPr>
              <w:t>05/13/2019</w:t>
            </w:r>
          </w:p>
        </w:tc>
        <w:tc>
          <w:tcPr>
            <w:tcW w:w="720" w:type="dxa"/>
            <w:tcBorders>
              <w:top w:val="single" w:sz="4" w:space="0" w:color="auto"/>
            </w:tcBorders>
            <w:vAlign w:val="center"/>
          </w:tcPr>
          <w:p w14:paraId="3DEAB561" w14:textId="77777777" w:rsidR="00DB576D" w:rsidRPr="00887008" w:rsidRDefault="00DB576D" w:rsidP="00887008">
            <w:pPr>
              <w:spacing w:before="40"/>
              <w:jc w:val="left"/>
              <w:rPr>
                <w:sz w:val="20"/>
                <w:szCs w:val="20"/>
              </w:rPr>
            </w:pPr>
            <w:r w:rsidRPr="00887008">
              <w:rPr>
                <w:sz w:val="20"/>
                <w:szCs w:val="20"/>
              </w:rPr>
              <w:t>-3</w:t>
            </w:r>
          </w:p>
        </w:tc>
        <w:tc>
          <w:tcPr>
            <w:tcW w:w="5904" w:type="dxa"/>
            <w:tcBorders>
              <w:top w:val="single" w:sz="4" w:space="0" w:color="auto"/>
            </w:tcBorders>
            <w:vAlign w:val="center"/>
          </w:tcPr>
          <w:p w14:paraId="703D305D" w14:textId="77777777" w:rsidR="00DB576D" w:rsidRPr="00887008" w:rsidRDefault="00DB576D" w:rsidP="00887008">
            <w:pPr>
              <w:spacing w:before="40"/>
              <w:jc w:val="left"/>
              <w:rPr>
                <w:sz w:val="20"/>
                <w:szCs w:val="20"/>
              </w:rPr>
            </w:pPr>
            <w:r w:rsidRPr="00887008">
              <w:rPr>
                <w:sz w:val="20"/>
                <w:szCs w:val="20"/>
              </w:rPr>
              <w:t>Trade tensions, including China’s announcement of retaliatory tariffs ahead of market opening, drive significant losses.</w:t>
            </w:r>
            <w:r w:rsidRPr="00887008">
              <w:rPr>
                <w:sz w:val="20"/>
                <w:szCs w:val="20"/>
                <w:vertAlign w:val="superscript"/>
              </w:rPr>
              <w:endnoteReference w:id="62"/>
            </w:r>
          </w:p>
        </w:tc>
      </w:tr>
      <w:tr w:rsidR="00DB576D" w:rsidRPr="00887008" w14:paraId="1C6EF27A" w14:textId="77777777" w:rsidTr="00287713">
        <w:trPr>
          <w:trHeight w:val="576"/>
        </w:trPr>
        <w:tc>
          <w:tcPr>
            <w:tcW w:w="1296" w:type="dxa"/>
            <w:tcBorders>
              <w:bottom w:val="single" w:sz="4" w:space="0" w:color="auto"/>
            </w:tcBorders>
            <w:vAlign w:val="center"/>
          </w:tcPr>
          <w:p w14:paraId="0D807ACD" w14:textId="77777777" w:rsidR="00DB576D" w:rsidRPr="00887008" w:rsidRDefault="00DB576D" w:rsidP="00887008">
            <w:pPr>
              <w:spacing w:before="40"/>
              <w:jc w:val="left"/>
              <w:rPr>
                <w:sz w:val="20"/>
                <w:szCs w:val="20"/>
              </w:rPr>
            </w:pPr>
            <w:r w:rsidRPr="00887008">
              <w:rPr>
                <w:sz w:val="20"/>
                <w:szCs w:val="20"/>
              </w:rPr>
              <w:t>05/14/2019</w:t>
            </w:r>
          </w:p>
        </w:tc>
        <w:tc>
          <w:tcPr>
            <w:tcW w:w="720" w:type="dxa"/>
            <w:tcBorders>
              <w:bottom w:val="single" w:sz="4" w:space="0" w:color="auto"/>
            </w:tcBorders>
            <w:vAlign w:val="center"/>
          </w:tcPr>
          <w:p w14:paraId="14F3B110" w14:textId="77777777" w:rsidR="00DB576D" w:rsidRPr="00887008" w:rsidRDefault="00DB576D" w:rsidP="00887008">
            <w:pPr>
              <w:spacing w:before="40"/>
              <w:jc w:val="left"/>
              <w:rPr>
                <w:sz w:val="20"/>
                <w:szCs w:val="20"/>
              </w:rPr>
            </w:pPr>
            <w:r w:rsidRPr="00887008">
              <w:rPr>
                <w:sz w:val="20"/>
                <w:szCs w:val="20"/>
              </w:rPr>
              <w:t>-2</w:t>
            </w:r>
          </w:p>
        </w:tc>
        <w:tc>
          <w:tcPr>
            <w:tcW w:w="5904" w:type="dxa"/>
            <w:tcBorders>
              <w:bottom w:val="single" w:sz="4" w:space="0" w:color="auto"/>
            </w:tcBorders>
            <w:vAlign w:val="center"/>
          </w:tcPr>
          <w:p w14:paraId="63DC7B31" w14:textId="77777777" w:rsidR="00DB576D" w:rsidRPr="00887008" w:rsidRDefault="00DB576D" w:rsidP="00887008">
            <w:pPr>
              <w:spacing w:before="40"/>
              <w:jc w:val="left"/>
              <w:rPr>
                <w:sz w:val="20"/>
                <w:szCs w:val="20"/>
              </w:rPr>
            </w:pPr>
            <w:r w:rsidRPr="00887008">
              <w:rPr>
                <w:sz w:val="20"/>
                <w:szCs w:val="20"/>
              </w:rPr>
              <w:t>Trade deal optimism, based on comments from President Trump, heavily cited in market-oriented summaries.</w:t>
            </w:r>
            <w:r w:rsidRPr="00887008">
              <w:rPr>
                <w:sz w:val="20"/>
                <w:szCs w:val="20"/>
                <w:vertAlign w:val="superscript"/>
              </w:rPr>
              <w:endnoteReference w:id="63"/>
            </w:r>
            <w:r w:rsidRPr="00887008">
              <w:rPr>
                <w:sz w:val="20"/>
                <w:szCs w:val="20"/>
              </w:rPr>
              <w:t xml:space="preserve"> </w:t>
            </w:r>
          </w:p>
        </w:tc>
      </w:tr>
      <w:tr w:rsidR="00DB576D" w:rsidRPr="00887008" w14:paraId="6343EA68" w14:textId="77777777" w:rsidTr="00287713">
        <w:trPr>
          <w:trHeight w:val="576"/>
        </w:trPr>
        <w:tc>
          <w:tcPr>
            <w:tcW w:w="1296" w:type="dxa"/>
            <w:tcBorders>
              <w:top w:val="single" w:sz="4" w:space="0" w:color="auto"/>
              <w:bottom w:val="nil"/>
            </w:tcBorders>
            <w:vAlign w:val="center"/>
          </w:tcPr>
          <w:p w14:paraId="6758E678" w14:textId="77777777" w:rsidR="00DB576D" w:rsidRPr="00887008" w:rsidRDefault="00DB576D" w:rsidP="00887008">
            <w:pPr>
              <w:spacing w:before="40"/>
              <w:jc w:val="left"/>
              <w:rPr>
                <w:sz w:val="20"/>
                <w:szCs w:val="20"/>
              </w:rPr>
            </w:pPr>
            <w:r w:rsidRPr="00887008">
              <w:rPr>
                <w:sz w:val="20"/>
                <w:szCs w:val="20"/>
              </w:rPr>
              <w:t>05/15/2019</w:t>
            </w:r>
          </w:p>
        </w:tc>
        <w:tc>
          <w:tcPr>
            <w:tcW w:w="720" w:type="dxa"/>
            <w:tcBorders>
              <w:top w:val="single" w:sz="4" w:space="0" w:color="auto"/>
              <w:bottom w:val="nil"/>
            </w:tcBorders>
            <w:vAlign w:val="center"/>
          </w:tcPr>
          <w:p w14:paraId="588E739E" w14:textId="77777777" w:rsidR="00DB576D" w:rsidRPr="00887008" w:rsidRDefault="00DB576D" w:rsidP="00887008">
            <w:pPr>
              <w:spacing w:before="40"/>
              <w:jc w:val="left"/>
              <w:rPr>
                <w:sz w:val="20"/>
                <w:szCs w:val="20"/>
              </w:rPr>
            </w:pPr>
            <w:r w:rsidRPr="00887008">
              <w:rPr>
                <w:sz w:val="20"/>
                <w:szCs w:val="20"/>
              </w:rPr>
              <w:t>-1</w:t>
            </w:r>
          </w:p>
        </w:tc>
        <w:tc>
          <w:tcPr>
            <w:tcW w:w="5904" w:type="dxa"/>
            <w:tcBorders>
              <w:top w:val="single" w:sz="4" w:space="0" w:color="auto"/>
              <w:bottom w:val="nil"/>
            </w:tcBorders>
            <w:vAlign w:val="center"/>
          </w:tcPr>
          <w:p w14:paraId="6BF64F0F" w14:textId="77777777" w:rsidR="00DB576D" w:rsidRPr="00887008" w:rsidRDefault="00DB576D" w:rsidP="00887008">
            <w:pPr>
              <w:spacing w:before="40"/>
              <w:jc w:val="left"/>
              <w:rPr>
                <w:sz w:val="20"/>
                <w:szCs w:val="20"/>
              </w:rPr>
            </w:pPr>
            <w:r w:rsidRPr="00887008">
              <w:rPr>
                <w:sz w:val="20"/>
                <w:szCs w:val="20"/>
              </w:rPr>
              <w:t>White House issues Executive Order on Securing the Information and Communications Technology and Services Supply Chain.</w:t>
            </w:r>
            <w:r w:rsidRPr="00887008">
              <w:rPr>
                <w:sz w:val="20"/>
                <w:szCs w:val="20"/>
                <w:vertAlign w:val="superscript"/>
              </w:rPr>
              <w:endnoteReference w:id="64"/>
            </w:r>
            <w:r w:rsidRPr="00887008">
              <w:rPr>
                <w:sz w:val="20"/>
                <w:szCs w:val="20"/>
              </w:rPr>
              <w:t xml:space="preserve"> </w:t>
            </w:r>
          </w:p>
        </w:tc>
      </w:tr>
      <w:tr w:rsidR="00DB576D" w:rsidRPr="00887008" w14:paraId="7BFE5FA6" w14:textId="77777777" w:rsidTr="00287713">
        <w:trPr>
          <w:trHeight w:val="576"/>
        </w:trPr>
        <w:tc>
          <w:tcPr>
            <w:tcW w:w="1296" w:type="dxa"/>
            <w:tcBorders>
              <w:top w:val="nil"/>
              <w:bottom w:val="nil"/>
            </w:tcBorders>
            <w:vAlign w:val="center"/>
          </w:tcPr>
          <w:p w14:paraId="3F8490A4"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5BADBCE4"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33346473" w14:textId="77777777" w:rsidR="00DB576D" w:rsidRPr="00887008" w:rsidRDefault="00DB576D" w:rsidP="00887008">
            <w:pPr>
              <w:spacing w:before="40"/>
              <w:jc w:val="left"/>
              <w:rPr>
                <w:sz w:val="20"/>
                <w:szCs w:val="20"/>
              </w:rPr>
            </w:pPr>
            <w:r w:rsidRPr="00887008">
              <w:rPr>
                <w:sz w:val="20"/>
                <w:szCs w:val="20"/>
              </w:rPr>
              <w:t>The Executive Order does not specifically identify any international firms, but analysts speculate the Order is directed toward Huawei and ZTE.</w:t>
            </w:r>
          </w:p>
        </w:tc>
      </w:tr>
      <w:tr w:rsidR="00DB576D" w:rsidRPr="00887008" w14:paraId="06FDA082" w14:textId="77777777" w:rsidTr="00287713">
        <w:trPr>
          <w:trHeight w:val="288"/>
        </w:trPr>
        <w:tc>
          <w:tcPr>
            <w:tcW w:w="1296" w:type="dxa"/>
            <w:tcBorders>
              <w:top w:val="nil"/>
              <w:bottom w:val="nil"/>
            </w:tcBorders>
            <w:vAlign w:val="center"/>
          </w:tcPr>
          <w:p w14:paraId="68A85545"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1CDC1C8C"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433FF097" w14:textId="77777777" w:rsidR="00DB576D" w:rsidRPr="00887008" w:rsidRDefault="00DB576D" w:rsidP="00887008">
            <w:pPr>
              <w:spacing w:before="40"/>
              <w:jc w:val="left"/>
              <w:rPr>
                <w:sz w:val="20"/>
                <w:szCs w:val="20"/>
              </w:rPr>
            </w:pPr>
            <w:r w:rsidRPr="00887008">
              <w:rPr>
                <w:sz w:val="20"/>
                <w:szCs w:val="20"/>
              </w:rPr>
              <w:t>Reporting on the Executive Order is concentrated late in the day.</w:t>
            </w:r>
            <w:r w:rsidRPr="00887008">
              <w:rPr>
                <w:sz w:val="20"/>
                <w:szCs w:val="20"/>
                <w:vertAlign w:val="superscript"/>
              </w:rPr>
              <w:endnoteReference w:id="65"/>
            </w:r>
          </w:p>
        </w:tc>
      </w:tr>
      <w:tr w:rsidR="00DB576D" w:rsidRPr="00887008" w14:paraId="3EE7DDD6" w14:textId="77777777" w:rsidTr="00287713">
        <w:trPr>
          <w:trHeight w:val="288"/>
        </w:trPr>
        <w:tc>
          <w:tcPr>
            <w:tcW w:w="1296" w:type="dxa"/>
            <w:tcBorders>
              <w:top w:val="nil"/>
              <w:bottom w:val="nil"/>
            </w:tcBorders>
            <w:vAlign w:val="center"/>
          </w:tcPr>
          <w:p w14:paraId="4B0351ED"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596ABB80"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6EA8057F" w14:textId="7F01DE41" w:rsidR="00DB576D" w:rsidRPr="00887008" w:rsidRDefault="00DB576D" w:rsidP="00887008">
            <w:pPr>
              <w:spacing w:before="40"/>
              <w:jc w:val="left"/>
              <w:rPr>
                <w:sz w:val="20"/>
                <w:szCs w:val="20"/>
              </w:rPr>
            </w:pPr>
            <w:r w:rsidRPr="00887008">
              <w:rPr>
                <w:sz w:val="20"/>
                <w:szCs w:val="20"/>
              </w:rPr>
              <w:t>News articles indicate that the Executive Order was long-anticipated but delayed.</w:t>
            </w:r>
            <w:r w:rsidRPr="00887008">
              <w:rPr>
                <w:sz w:val="20"/>
                <w:szCs w:val="20"/>
                <w:vertAlign w:val="superscript"/>
              </w:rPr>
              <w:endnoteReference w:id="66"/>
            </w:r>
            <w:r w:rsidR="00CD3ED2">
              <w:rPr>
                <w:sz w:val="20"/>
                <w:szCs w:val="20"/>
              </w:rPr>
              <w:t xml:space="preserve"> </w:t>
            </w:r>
            <w:r w:rsidR="00CD3ED2" w:rsidRPr="00887008">
              <w:rPr>
                <w:sz w:val="20"/>
                <w:szCs w:val="20"/>
              </w:rPr>
              <w:t>Its precise signing date does not appear to be known ahead of time.</w:t>
            </w:r>
          </w:p>
        </w:tc>
      </w:tr>
      <w:tr w:rsidR="00DB576D" w:rsidRPr="00887008" w14:paraId="365064EF" w14:textId="77777777" w:rsidTr="00287713">
        <w:trPr>
          <w:trHeight w:val="576"/>
        </w:trPr>
        <w:tc>
          <w:tcPr>
            <w:tcW w:w="1296" w:type="dxa"/>
            <w:tcBorders>
              <w:top w:val="nil"/>
              <w:bottom w:val="nil"/>
            </w:tcBorders>
            <w:vAlign w:val="center"/>
          </w:tcPr>
          <w:p w14:paraId="2C56944E"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10843DEB"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3C482215" w14:textId="77777777" w:rsidR="00DB576D" w:rsidRPr="00887008" w:rsidRDefault="00DB576D" w:rsidP="00887008">
            <w:pPr>
              <w:spacing w:before="40"/>
              <w:jc w:val="left"/>
              <w:rPr>
                <w:sz w:val="20"/>
                <w:szCs w:val="20"/>
              </w:rPr>
            </w:pPr>
            <w:r w:rsidRPr="00887008">
              <w:rPr>
                <w:sz w:val="20"/>
                <w:szCs w:val="20"/>
              </w:rPr>
              <w:t>Seeking Alpha’s Wall Street Breakfast mentions the Executive Order prior to trading but suggests the Order is expected “this week.”</w:t>
            </w:r>
            <w:r w:rsidRPr="00887008">
              <w:rPr>
                <w:sz w:val="20"/>
                <w:szCs w:val="20"/>
                <w:vertAlign w:val="superscript"/>
              </w:rPr>
              <w:endnoteReference w:id="67"/>
            </w:r>
          </w:p>
        </w:tc>
      </w:tr>
      <w:tr w:rsidR="00DB576D" w:rsidRPr="00887008" w14:paraId="6D0D591F" w14:textId="77777777" w:rsidTr="00287713">
        <w:trPr>
          <w:trHeight w:val="576"/>
        </w:trPr>
        <w:tc>
          <w:tcPr>
            <w:tcW w:w="1296" w:type="dxa"/>
            <w:tcBorders>
              <w:top w:val="nil"/>
              <w:bottom w:val="nil"/>
            </w:tcBorders>
            <w:vAlign w:val="center"/>
          </w:tcPr>
          <w:p w14:paraId="453CEE7B"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4D95AD5D"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0228A9F9" w14:textId="77777777" w:rsidR="00DB576D" w:rsidRPr="00887008" w:rsidRDefault="00DB576D" w:rsidP="00887008">
            <w:pPr>
              <w:spacing w:before="40"/>
              <w:jc w:val="left"/>
              <w:rPr>
                <w:sz w:val="20"/>
                <w:szCs w:val="20"/>
              </w:rPr>
            </w:pPr>
            <w:r w:rsidRPr="00887008">
              <w:rPr>
                <w:sz w:val="20"/>
                <w:szCs w:val="20"/>
              </w:rPr>
              <w:t>The Executive Order is not mentioned in the Bloomberg or Wall Street Journal end of day market summaries.</w:t>
            </w:r>
            <w:r w:rsidRPr="00887008">
              <w:rPr>
                <w:sz w:val="20"/>
                <w:szCs w:val="20"/>
                <w:vertAlign w:val="superscript"/>
              </w:rPr>
              <w:endnoteReference w:id="68"/>
            </w:r>
          </w:p>
        </w:tc>
      </w:tr>
      <w:tr w:rsidR="00DB576D" w:rsidRPr="00887008" w14:paraId="52BE9C65" w14:textId="77777777" w:rsidTr="00287713">
        <w:trPr>
          <w:trHeight w:val="576"/>
        </w:trPr>
        <w:tc>
          <w:tcPr>
            <w:tcW w:w="1296" w:type="dxa"/>
            <w:tcBorders>
              <w:top w:val="nil"/>
              <w:bottom w:val="nil"/>
            </w:tcBorders>
            <w:vAlign w:val="center"/>
          </w:tcPr>
          <w:p w14:paraId="3420E5CA"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6D1C3399"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6DF45DC7" w14:textId="77777777" w:rsidR="00DB576D" w:rsidRPr="00887008" w:rsidRDefault="00DB576D" w:rsidP="00887008">
            <w:pPr>
              <w:spacing w:before="40"/>
              <w:jc w:val="left"/>
              <w:rPr>
                <w:sz w:val="20"/>
                <w:szCs w:val="20"/>
              </w:rPr>
            </w:pPr>
            <w:r w:rsidRPr="00887008">
              <w:rPr>
                <w:sz w:val="20"/>
                <w:szCs w:val="20"/>
              </w:rPr>
              <w:t>Treasury Secretary Steven Mnuchin says a U.S. team will go to Beijing soon to resume trade talks.</w:t>
            </w:r>
            <w:r w:rsidRPr="00887008">
              <w:rPr>
                <w:sz w:val="20"/>
                <w:szCs w:val="20"/>
                <w:vertAlign w:val="superscript"/>
              </w:rPr>
              <w:endnoteReference w:id="69"/>
            </w:r>
          </w:p>
        </w:tc>
      </w:tr>
      <w:tr w:rsidR="00DB576D" w:rsidRPr="00887008" w14:paraId="48BD82C1" w14:textId="77777777" w:rsidTr="00287713">
        <w:trPr>
          <w:trHeight w:val="288"/>
        </w:trPr>
        <w:tc>
          <w:tcPr>
            <w:tcW w:w="1296" w:type="dxa"/>
            <w:tcBorders>
              <w:top w:val="nil"/>
              <w:bottom w:val="single" w:sz="4" w:space="0" w:color="auto"/>
            </w:tcBorders>
            <w:vAlign w:val="center"/>
          </w:tcPr>
          <w:p w14:paraId="7582A754" w14:textId="77777777" w:rsidR="00DB576D" w:rsidRPr="00887008" w:rsidRDefault="00DB576D" w:rsidP="00887008">
            <w:pPr>
              <w:spacing w:before="40"/>
              <w:jc w:val="left"/>
              <w:rPr>
                <w:sz w:val="20"/>
                <w:szCs w:val="20"/>
              </w:rPr>
            </w:pPr>
          </w:p>
        </w:tc>
        <w:tc>
          <w:tcPr>
            <w:tcW w:w="720" w:type="dxa"/>
            <w:tcBorders>
              <w:top w:val="nil"/>
              <w:bottom w:val="single" w:sz="4" w:space="0" w:color="auto"/>
            </w:tcBorders>
            <w:vAlign w:val="center"/>
          </w:tcPr>
          <w:p w14:paraId="305A3D26"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10E8A98F" w14:textId="77777777" w:rsidR="00DB576D" w:rsidRPr="00887008" w:rsidRDefault="00DB576D" w:rsidP="00887008">
            <w:pPr>
              <w:spacing w:before="40"/>
              <w:jc w:val="left"/>
              <w:rPr>
                <w:sz w:val="20"/>
                <w:szCs w:val="20"/>
              </w:rPr>
            </w:pPr>
            <w:r w:rsidRPr="00887008">
              <w:rPr>
                <w:sz w:val="20"/>
                <w:szCs w:val="20"/>
              </w:rPr>
              <w:t>Weak Chinese economic data released.</w:t>
            </w:r>
            <w:r w:rsidRPr="00887008">
              <w:rPr>
                <w:sz w:val="20"/>
                <w:szCs w:val="20"/>
                <w:vertAlign w:val="superscript"/>
              </w:rPr>
              <w:endnoteReference w:id="70"/>
            </w:r>
          </w:p>
        </w:tc>
      </w:tr>
      <w:tr w:rsidR="00DB576D" w:rsidRPr="00887008" w14:paraId="3B7BAF9B" w14:textId="77777777" w:rsidTr="00287713">
        <w:trPr>
          <w:trHeight w:val="288"/>
        </w:trPr>
        <w:tc>
          <w:tcPr>
            <w:tcW w:w="1296" w:type="dxa"/>
            <w:tcBorders>
              <w:top w:val="single" w:sz="4" w:space="0" w:color="auto"/>
              <w:bottom w:val="nil"/>
            </w:tcBorders>
            <w:vAlign w:val="center"/>
          </w:tcPr>
          <w:p w14:paraId="294DFB9C" w14:textId="77777777" w:rsidR="00DB576D" w:rsidRPr="00887008" w:rsidRDefault="00DB576D" w:rsidP="00887008">
            <w:pPr>
              <w:spacing w:before="40"/>
              <w:jc w:val="left"/>
              <w:rPr>
                <w:sz w:val="20"/>
                <w:szCs w:val="20"/>
              </w:rPr>
            </w:pPr>
            <w:r w:rsidRPr="00887008">
              <w:rPr>
                <w:sz w:val="20"/>
                <w:szCs w:val="20"/>
              </w:rPr>
              <w:t>05/16/2019</w:t>
            </w:r>
          </w:p>
        </w:tc>
        <w:tc>
          <w:tcPr>
            <w:tcW w:w="720" w:type="dxa"/>
            <w:tcBorders>
              <w:top w:val="single" w:sz="4" w:space="0" w:color="auto"/>
              <w:bottom w:val="nil"/>
            </w:tcBorders>
            <w:vAlign w:val="center"/>
          </w:tcPr>
          <w:p w14:paraId="2FBA4CD1" w14:textId="77777777" w:rsidR="00DB576D" w:rsidRPr="00887008" w:rsidRDefault="00DB576D" w:rsidP="00887008">
            <w:pPr>
              <w:spacing w:before="40"/>
              <w:jc w:val="left"/>
              <w:rPr>
                <w:sz w:val="20"/>
                <w:szCs w:val="20"/>
              </w:rPr>
            </w:pPr>
            <w:r w:rsidRPr="00887008">
              <w:rPr>
                <w:sz w:val="20"/>
                <w:szCs w:val="20"/>
              </w:rPr>
              <w:t>0</w:t>
            </w:r>
          </w:p>
        </w:tc>
        <w:tc>
          <w:tcPr>
            <w:tcW w:w="5904" w:type="dxa"/>
            <w:tcBorders>
              <w:top w:val="single" w:sz="4" w:space="0" w:color="auto"/>
              <w:bottom w:val="nil"/>
            </w:tcBorders>
            <w:vAlign w:val="center"/>
          </w:tcPr>
          <w:p w14:paraId="1921A9CC" w14:textId="77777777" w:rsidR="00DB576D" w:rsidRPr="00887008" w:rsidRDefault="00DB576D" w:rsidP="00887008">
            <w:pPr>
              <w:spacing w:before="40"/>
              <w:jc w:val="left"/>
              <w:rPr>
                <w:sz w:val="20"/>
                <w:szCs w:val="20"/>
              </w:rPr>
            </w:pPr>
            <w:r w:rsidRPr="00887008">
              <w:rPr>
                <w:sz w:val="20"/>
                <w:szCs w:val="20"/>
              </w:rPr>
              <w:t>Yesterday’s Executive Order cited in market-oriented summaries.</w:t>
            </w:r>
            <w:r w:rsidRPr="00887008">
              <w:rPr>
                <w:sz w:val="20"/>
                <w:szCs w:val="20"/>
                <w:vertAlign w:val="superscript"/>
              </w:rPr>
              <w:endnoteReference w:id="71"/>
            </w:r>
            <w:r w:rsidRPr="00887008">
              <w:rPr>
                <w:sz w:val="20"/>
                <w:szCs w:val="20"/>
              </w:rPr>
              <w:t xml:space="preserve"> </w:t>
            </w:r>
          </w:p>
        </w:tc>
      </w:tr>
      <w:tr w:rsidR="00DB576D" w:rsidRPr="00887008" w14:paraId="5BC54AE1" w14:textId="77777777" w:rsidTr="00287713">
        <w:trPr>
          <w:trHeight w:val="288"/>
        </w:trPr>
        <w:tc>
          <w:tcPr>
            <w:tcW w:w="1296" w:type="dxa"/>
            <w:tcBorders>
              <w:top w:val="nil"/>
              <w:bottom w:val="nil"/>
            </w:tcBorders>
            <w:vAlign w:val="center"/>
          </w:tcPr>
          <w:p w14:paraId="130CA581"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6735F152"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1B77BE1E" w14:textId="77777777" w:rsidR="00DB576D" w:rsidRPr="00887008" w:rsidRDefault="00DB576D" w:rsidP="00887008">
            <w:pPr>
              <w:spacing w:before="40"/>
              <w:jc w:val="left"/>
              <w:rPr>
                <w:sz w:val="20"/>
                <w:szCs w:val="20"/>
              </w:rPr>
            </w:pPr>
            <w:r w:rsidRPr="00887008">
              <w:rPr>
                <w:sz w:val="20"/>
                <w:szCs w:val="20"/>
              </w:rPr>
              <w:t>China arrests Canadian citizens on espionage charges.</w:t>
            </w:r>
            <w:r w:rsidRPr="00887008">
              <w:rPr>
                <w:sz w:val="20"/>
                <w:szCs w:val="20"/>
                <w:vertAlign w:val="superscript"/>
              </w:rPr>
              <w:endnoteReference w:id="72"/>
            </w:r>
          </w:p>
        </w:tc>
      </w:tr>
      <w:tr w:rsidR="00DB576D" w:rsidRPr="00887008" w14:paraId="0735C138" w14:textId="77777777" w:rsidTr="00287713">
        <w:trPr>
          <w:trHeight w:val="288"/>
        </w:trPr>
        <w:tc>
          <w:tcPr>
            <w:tcW w:w="1296" w:type="dxa"/>
            <w:tcBorders>
              <w:top w:val="nil"/>
              <w:bottom w:val="single" w:sz="4" w:space="0" w:color="auto"/>
            </w:tcBorders>
            <w:vAlign w:val="center"/>
          </w:tcPr>
          <w:p w14:paraId="3AD68C9B" w14:textId="77777777" w:rsidR="00DB576D" w:rsidRPr="00887008" w:rsidRDefault="00DB576D" w:rsidP="00887008">
            <w:pPr>
              <w:spacing w:before="40"/>
              <w:jc w:val="left"/>
              <w:rPr>
                <w:sz w:val="20"/>
                <w:szCs w:val="20"/>
              </w:rPr>
            </w:pPr>
          </w:p>
        </w:tc>
        <w:tc>
          <w:tcPr>
            <w:tcW w:w="720" w:type="dxa"/>
            <w:tcBorders>
              <w:top w:val="nil"/>
              <w:bottom w:val="single" w:sz="4" w:space="0" w:color="auto"/>
            </w:tcBorders>
            <w:vAlign w:val="center"/>
          </w:tcPr>
          <w:p w14:paraId="53DCDB3E"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5AD3B78F" w14:textId="77777777" w:rsidR="00DB576D" w:rsidRPr="00887008" w:rsidRDefault="00DB576D" w:rsidP="00887008">
            <w:pPr>
              <w:spacing w:before="40"/>
              <w:jc w:val="left"/>
              <w:rPr>
                <w:sz w:val="20"/>
                <w:szCs w:val="20"/>
              </w:rPr>
            </w:pPr>
            <w:r w:rsidRPr="00887008">
              <w:rPr>
                <w:sz w:val="20"/>
                <w:szCs w:val="20"/>
              </w:rPr>
              <w:t>Chinese officials downplay trade talks cited by Secretary Mnuchin yesterday.</w:t>
            </w:r>
            <w:r w:rsidRPr="00887008">
              <w:rPr>
                <w:sz w:val="20"/>
                <w:szCs w:val="20"/>
                <w:vertAlign w:val="superscript"/>
              </w:rPr>
              <w:endnoteReference w:id="73"/>
            </w:r>
          </w:p>
        </w:tc>
      </w:tr>
      <w:tr w:rsidR="00DB576D" w:rsidRPr="00887008" w14:paraId="47A5F0F0" w14:textId="77777777" w:rsidTr="00287713">
        <w:trPr>
          <w:trHeight w:val="288"/>
        </w:trPr>
        <w:tc>
          <w:tcPr>
            <w:tcW w:w="1296" w:type="dxa"/>
            <w:tcBorders>
              <w:top w:val="single" w:sz="4" w:space="0" w:color="auto"/>
            </w:tcBorders>
            <w:vAlign w:val="center"/>
          </w:tcPr>
          <w:p w14:paraId="344233C6" w14:textId="77777777" w:rsidR="00DB576D" w:rsidRPr="00887008" w:rsidRDefault="00DB576D" w:rsidP="00887008">
            <w:pPr>
              <w:spacing w:before="40"/>
              <w:jc w:val="left"/>
              <w:rPr>
                <w:sz w:val="20"/>
                <w:szCs w:val="20"/>
              </w:rPr>
            </w:pPr>
            <w:r w:rsidRPr="00887008">
              <w:rPr>
                <w:sz w:val="20"/>
                <w:szCs w:val="20"/>
              </w:rPr>
              <w:t>05/17/2019</w:t>
            </w:r>
          </w:p>
        </w:tc>
        <w:tc>
          <w:tcPr>
            <w:tcW w:w="720" w:type="dxa"/>
            <w:tcBorders>
              <w:top w:val="single" w:sz="4" w:space="0" w:color="auto"/>
            </w:tcBorders>
            <w:vAlign w:val="center"/>
          </w:tcPr>
          <w:p w14:paraId="6AC8EFC5" w14:textId="77777777" w:rsidR="00DB576D" w:rsidRPr="00887008" w:rsidRDefault="00DB576D" w:rsidP="00887008">
            <w:pPr>
              <w:spacing w:before="40"/>
              <w:jc w:val="left"/>
              <w:rPr>
                <w:sz w:val="20"/>
                <w:szCs w:val="20"/>
              </w:rPr>
            </w:pPr>
            <w:r w:rsidRPr="00887008">
              <w:rPr>
                <w:sz w:val="20"/>
                <w:szCs w:val="20"/>
              </w:rPr>
              <w:t>1</w:t>
            </w:r>
          </w:p>
        </w:tc>
        <w:tc>
          <w:tcPr>
            <w:tcW w:w="5904" w:type="dxa"/>
            <w:tcBorders>
              <w:top w:val="single" w:sz="4" w:space="0" w:color="auto"/>
            </w:tcBorders>
            <w:vAlign w:val="center"/>
          </w:tcPr>
          <w:p w14:paraId="39A3454A" w14:textId="77777777" w:rsidR="00DB576D" w:rsidRPr="00887008" w:rsidRDefault="00DB576D" w:rsidP="00887008">
            <w:pPr>
              <w:spacing w:before="40"/>
              <w:jc w:val="left"/>
              <w:rPr>
                <w:sz w:val="20"/>
                <w:szCs w:val="20"/>
              </w:rPr>
            </w:pPr>
            <w:r w:rsidRPr="00887008">
              <w:rPr>
                <w:sz w:val="20"/>
                <w:szCs w:val="20"/>
              </w:rPr>
              <w:t>U.S.-China trade talks uncertainty cited in market-oriented summaries.</w:t>
            </w:r>
            <w:r w:rsidRPr="00887008">
              <w:rPr>
                <w:sz w:val="20"/>
                <w:szCs w:val="20"/>
                <w:vertAlign w:val="superscript"/>
              </w:rPr>
              <w:endnoteReference w:id="74"/>
            </w:r>
          </w:p>
        </w:tc>
      </w:tr>
      <w:tr w:rsidR="00DB576D" w:rsidRPr="00887008" w14:paraId="0870B315" w14:textId="77777777" w:rsidTr="00287713">
        <w:trPr>
          <w:trHeight w:val="720"/>
        </w:trPr>
        <w:tc>
          <w:tcPr>
            <w:tcW w:w="1296" w:type="dxa"/>
            <w:tcBorders>
              <w:bottom w:val="single" w:sz="4" w:space="0" w:color="auto"/>
            </w:tcBorders>
            <w:vAlign w:val="center"/>
          </w:tcPr>
          <w:p w14:paraId="441904D9" w14:textId="77777777" w:rsidR="00DB576D" w:rsidRPr="00887008" w:rsidRDefault="00DB576D" w:rsidP="00887008">
            <w:pPr>
              <w:spacing w:before="40"/>
              <w:jc w:val="left"/>
              <w:rPr>
                <w:sz w:val="20"/>
                <w:szCs w:val="20"/>
              </w:rPr>
            </w:pPr>
            <w:r w:rsidRPr="00887008">
              <w:rPr>
                <w:sz w:val="20"/>
                <w:szCs w:val="20"/>
              </w:rPr>
              <w:t>05/20/2019</w:t>
            </w:r>
          </w:p>
        </w:tc>
        <w:tc>
          <w:tcPr>
            <w:tcW w:w="720" w:type="dxa"/>
            <w:tcBorders>
              <w:bottom w:val="single" w:sz="4" w:space="0" w:color="auto"/>
            </w:tcBorders>
            <w:vAlign w:val="center"/>
          </w:tcPr>
          <w:p w14:paraId="0EDBD49F" w14:textId="77777777" w:rsidR="00DB576D" w:rsidRPr="00887008" w:rsidRDefault="00DB576D" w:rsidP="00887008">
            <w:pPr>
              <w:spacing w:before="40"/>
              <w:jc w:val="left"/>
              <w:rPr>
                <w:sz w:val="20"/>
                <w:szCs w:val="20"/>
              </w:rPr>
            </w:pPr>
            <w:r w:rsidRPr="00887008">
              <w:rPr>
                <w:sz w:val="20"/>
                <w:szCs w:val="20"/>
              </w:rPr>
              <w:t>2</w:t>
            </w:r>
          </w:p>
        </w:tc>
        <w:tc>
          <w:tcPr>
            <w:tcW w:w="5904" w:type="dxa"/>
            <w:tcBorders>
              <w:bottom w:val="single" w:sz="4" w:space="0" w:color="auto"/>
            </w:tcBorders>
            <w:vAlign w:val="center"/>
          </w:tcPr>
          <w:p w14:paraId="22789ECC" w14:textId="05B872E1" w:rsidR="00DB576D" w:rsidRPr="00887008" w:rsidRDefault="00DB576D" w:rsidP="00887008">
            <w:pPr>
              <w:spacing w:before="40"/>
              <w:jc w:val="left"/>
              <w:rPr>
                <w:sz w:val="20"/>
                <w:szCs w:val="20"/>
              </w:rPr>
            </w:pPr>
            <w:r w:rsidRPr="00887008">
              <w:rPr>
                <w:sz w:val="20"/>
                <w:szCs w:val="20"/>
              </w:rPr>
              <w:t xml:space="preserve">No evidence of major stories that would abnormally affect firms, beyond the significant reporting on the lingering effects of Huawei’s placement on the Entity List (see: Table </w:t>
            </w:r>
            <w:r w:rsidR="00CD3ED2">
              <w:rPr>
                <w:sz w:val="20"/>
                <w:szCs w:val="20"/>
              </w:rPr>
              <w:t>A</w:t>
            </w:r>
            <w:r w:rsidR="00C3183A">
              <w:rPr>
                <w:sz w:val="20"/>
                <w:szCs w:val="20"/>
              </w:rPr>
              <w:t>2</w:t>
            </w:r>
            <w:r w:rsidRPr="00887008">
              <w:rPr>
                <w:sz w:val="20"/>
                <w:szCs w:val="20"/>
              </w:rPr>
              <w:t>).</w:t>
            </w:r>
          </w:p>
        </w:tc>
      </w:tr>
      <w:tr w:rsidR="00DB576D" w:rsidRPr="00887008" w14:paraId="3DEDDF0F" w14:textId="77777777" w:rsidTr="00287713">
        <w:trPr>
          <w:trHeight w:val="576"/>
        </w:trPr>
        <w:tc>
          <w:tcPr>
            <w:tcW w:w="1296" w:type="dxa"/>
            <w:tcBorders>
              <w:top w:val="single" w:sz="4" w:space="0" w:color="auto"/>
              <w:bottom w:val="nil"/>
            </w:tcBorders>
            <w:vAlign w:val="center"/>
          </w:tcPr>
          <w:p w14:paraId="6692DE3B" w14:textId="3F93056F" w:rsidR="00DB576D" w:rsidRPr="00887008" w:rsidRDefault="006A018D" w:rsidP="00887008">
            <w:pPr>
              <w:spacing w:before="40"/>
              <w:jc w:val="left"/>
              <w:rPr>
                <w:sz w:val="20"/>
                <w:szCs w:val="20"/>
              </w:rPr>
            </w:pPr>
            <w:r>
              <w:rPr>
                <w:sz w:val="20"/>
                <w:szCs w:val="20"/>
              </w:rPr>
              <w:lastRenderedPageBreak/>
              <w:t>0</w:t>
            </w:r>
            <w:r w:rsidR="00DB576D" w:rsidRPr="00887008">
              <w:rPr>
                <w:sz w:val="20"/>
                <w:szCs w:val="20"/>
              </w:rPr>
              <w:t>5/21/2019</w:t>
            </w:r>
          </w:p>
        </w:tc>
        <w:tc>
          <w:tcPr>
            <w:tcW w:w="720" w:type="dxa"/>
            <w:tcBorders>
              <w:top w:val="single" w:sz="4" w:space="0" w:color="auto"/>
              <w:bottom w:val="nil"/>
            </w:tcBorders>
            <w:vAlign w:val="center"/>
          </w:tcPr>
          <w:p w14:paraId="2B6460B7" w14:textId="77777777" w:rsidR="00DB576D" w:rsidRPr="00887008" w:rsidRDefault="00DB576D" w:rsidP="00887008">
            <w:pPr>
              <w:spacing w:before="40"/>
              <w:jc w:val="left"/>
              <w:rPr>
                <w:sz w:val="20"/>
                <w:szCs w:val="20"/>
              </w:rPr>
            </w:pPr>
            <w:r w:rsidRPr="00887008">
              <w:rPr>
                <w:sz w:val="20"/>
                <w:szCs w:val="20"/>
              </w:rPr>
              <w:t>3</w:t>
            </w:r>
          </w:p>
        </w:tc>
        <w:tc>
          <w:tcPr>
            <w:tcW w:w="5904" w:type="dxa"/>
            <w:tcBorders>
              <w:top w:val="single" w:sz="4" w:space="0" w:color="auto"/>
              <w:bottom w:val="nil"/>
            </w:tcBorders>
            <w:vAlign w:val="center"/>
          </w:tcPr>
          <w:p w14:paraId="44DF19CE" w14:textId="101BE09B" w:rsidR="00DB576D" w:rsidRPr="00887008" w:rsidRDefault="00DB576D" w:rsidP="00887008">
            <w:pPr>
              <w:spacing w:before="40"/>
              <w:jc w:val="left"/>
              <w:rPr>
                <w:sz w:val="20"/>
                <w:szCs w:val="20"/>
              </w:rPr>
            </w:pPr>
            <w:r w:rsidRPr="00887008">
              <w:rPr>
                <w:sz w:val="20"/>
                <w:szCs w:val="20"/>
              </w:rPr>
              <w:t xml:space="preserve">Beyond the TGL (see: Table </w:t>
            </w:r>
            <w:r w:rsidR="00CD3ED2">
              <w:rPr>
                <w:sz w:val="20"/>
                <w:szCs w:val="20"/>
              </w:rPr>
              <w:t>A</w:t>
            </w:r>
            <w:r w:rsidR="00C3183A">
              <w:rPr>
                <w:sz w:val="20"/>
                <w:szCs w:val="20"/>
              </w:rPr>
              <w:t>2</w:t>
            </w:r>
            <w:r w:rsidRPr="00887008">
              <w:rPr>
                <w:sz w:val="20"/>
                <w:szCs w:val="20"/>
              </w:rPr>
              <w:t>), some tough trade signaling from China, as well as PBOC liquidity injections into the economy.</w:t>
            </w:r>
            <w:r w:rsidRPr="00887008">
              <w:rPr>
                <w:sz w:val="20"/>
                <w:szCs w:val="20"/>
                <w:vertAlign w:val="superscript"/>
              </w:rPr>
              <w:endnoteReference w:id="75"/>
            </w:r>
            <w:r w:rsidRPr="00887008">
              <w:rPr>
                <w:sz w:val="20"/>
                <w:szCs w:val="20"/>
              </w:rPr>
              <w:t xml:space="preserve"> </w:t>
            </w:r>
          </w:p>
        </w:tc>
      </w:tr>
      <w:tr w:rsidR="00DB576D" w:rsidRPr="00887008" w14:paraId="231D018C" w14:textId="77777777" w:rsidTr="00287713">
        <w:trPr>
          <w:trHeight w:val="576"/>
        </w:trPr>
        <w:tc>
          <w:tcPr>
            <w:tcW w:w="1296" w:type="dxa"/>
            <w:tcBorders>
              <w:top w:val="nil"/>
              <w:bottom w:val="single" w:sz="4" w:space="0" w:color="auto"/>
            </w:tcBorders>
            <w:vAlign w:val="center"/>
          </w:tcPr>
          <w:p w14:paraId="69931984" w14:textId="77777777" w:rsidR="00DB576D" w:rsidRPr="00887008" w:rsidRDefault="00DB576D" w:rsidP="00887008">
            <w:pPr>
              <w:spacing w:before="40"/>
              <w:jc w:val="left"/>
              <w:rPr>
                <w:sz w:val="20"/>
                <w:szCs w:val="20"/>
              </w:rPr>
            </w:pPr>
          </w:p>
        </w:tc>
        <w:tc>
          <w:tcPr>
            <w:tcW w:w="720" w:type="dxa"/>
            <w:tcBorders>
              <w:top w:val="nil"/>
              <w:bottom w:val="single" w:sz="4" w:space="0" w:color="auto"/>
            </w:tcBorders>
            <w:vAlign w:val="center"/>
          </w:tcPr>
          <w:p w14:paraId="4B46B957"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73411705" w14:textId="77777777" w:rsidR="00DB576D" w:rsidRPr="00887008" w:rsidRDefault="00DB576D" w:rsidP="00887008">
            <w:pPr>
              <w:spacing w:before="40"/>
              <w:jc w:val="left"/>
              <w:rPr>
                <w:sz w:val="20"/>
                <w:szCs w:val="20"/>
              </w:rPr>
            </w:pPr>
            <w:r w:rsidRPr="00887008">
              <w:rPr>
                <w:sz w:val="20"/>
                <w:szCs w:val="20"/>
              </w:rPr>
              <w:t>OECD report suggests U.S.-China trade war could result in lower growth for the two countries in 2021 and 2022.</w:t>
            </w:r>
            <w:r w:rsidRPr="00887008">
              <w:rPr>
                <w:sz w:val="20"/>
                <w:szCs w:val="20"/>
                <w:vertAlign w:val="superscript"/>
              </w:rPr>
              <w:endnoteReference w:id="76"/>
            </w:r>
          </w:p>
        </w:tc>
      </w:tr>
      <w:tr w:rsidR="00DB576D" w:rsidRPr="00887008" w14:paraId="11C4A787" w14:textId="77777777" w:rsidTr="00287713">
        <w:trPr>
          <w:trHeight w:val="576"/>
        </w:trPr>
        <w:tc>
          <w:tcPr>
            <w:tcW w:w="1296" w:type="dxa"/>
            <w:tcBorders>
              <w:top w:val="single" w:sz="4" w:space="0" w:color="auto"/>
              <w:bottom w:val="nil"/>
            </w:tcBorders>
            <w:vAlign w:val="center"/>
          </w:tcPr>
          <w:p w14:paraId="2AD10C89" w14:textId="06443D48" w:rsidR="00DB576D" w:rsidRPr="00887008" w:rsidRDefault="006A018D" w:rsidP="00887008">
            <w:pPr>
              <w:spacing w:before="40"/>
              <w:jc w:val="left"/>
              <w:rPr>
                <w:sz w:val="20"/>
                <w:szCs w:val="20"/>
              </w:rPr>
            </w:pPr>
            <w:r>
              <w:rPr>
                <w:sz w:val="20"/>
                <w:szCs w:val="20"/>
              </w:rPr>
              <w:t>0</w:t>
            </w:r>
            <w:r w:rsidR="00DB576D" w:rsidRPr="00887008">
              <w:rPr>
                <w:sz w:val="20"/>
                <w:szCs w:val="20"/>
              </w:rPr>
              <w:t>5/22/2019</w:t>
            </w:r>
          </w:p>
        </w:tc>
        <w:tc>
          <w:tcPr>
            <w:tcW w:w="720" w:type="dxa"/>
            <w:tcBorders>
              <w:top w:val="single" w:sz="4" w:space="0" w:color="auto"/>
              <w:bottom w:val="nil"/>
            </w:tcBorders>
            <w:vAlign w:val="center"/>
          </w:tcPr>
          <w:p w14:paraId="30DAB1D9" w14:textId="77777777" w:rsidR="00DB576D" w:rsidRPr="00887008" w:rsidRDefault="00DB576D" w:rsidP="00887008">
            <w:pPr>
              <w:spacing w:before="40"/>
              <w:jc w:val="left"/>
              <w:rPr>
                <w:sz w:val="20"/>
                <w:szCs w:val="20"/>
              </w:rPr>
            </w:pPr>
            <w:r w:rsidRPr="00887008">
              <w:rPr>
                <w:sz w:val="20"/>
                <w:szCs w:val="20"/>
              </w:rPr>
              <w:t>4</w:t>
            </w:r>
          </w:p>
        </w:tc>
        <w:tc>
          <w:tcPr>
            <w:tcW w:w="5904" w:type="dxa"/>
            <w:tcBorders>
              <w:top w:val="single" w:sz="4" w:space="0" w:color="auto"/>
              <w:bottom w:val="nil"/>
            </w:tcBorders>
            <w:vAlign w:val="center"/>
          </w:tcPr>
          <w:p w14:paraId="50E58FA6" w14:textId="77777777" w:rsidR="00DB576D" w:rsidRPr="00887008" w:rsidRDefault="00DB576D" w:rsidP="00887008">
            <w:pPr>
              <w:spacing w:before="40"/>
              <w:jc w:val="left"/>
              <w:rPr>
                <w:sz w:val="20"/>
                <w:szCs w:val="20"/>
              </w:rPr>
            </w:pPr>
            <w:r w:rsidRPr="00887008">
              <w:rPr>
                <w:sz w:val="20"/>
                <w:szCs w:val="20"/>
              </w:rPr>
              <w:t>U.S. federal judge’s ruling against Qualcomm in competition lawsuit hits semiconductor firm shares.</w:t>
            </w:r>
            <w:r w:rsidRPr="00887008">
              <w:rPr>
                <w:sz w:val="20"/>
                <w:szCs w:val="20"/>
                <w:vertAlign w:val="superscript"/>
              </w:rPr>
              <w:endnoteReference w:id="77"/>
            </w:r>
          </w:p>
        </w:tc>
      </w:tr>
      <w:tr w:rsidR="00DB576D" w:rsidRPr="00887008" w14:paraId="0190743C" w14:textId="77777777" w:rsidTr="00287713">
        <w:trPr>
          <w:trHeight w:val="576"/>
        </w:trPr>
        <w:tc>
          <w:tcPr>
            <w:tcW w:w="1296" w:type="dxa"/>
            <w:tcBorders>
              <w:top w:val="nil"/>
              <w:bottom w:val="single" w:sz="4" w:space="0" w:color="auto"/>
            </w:tcBorders>
            <w:vAlign w:val="center"/>
          </w:tcPr>
          <w:p w14:paraId="405B9FD0" w14:textId="77777777" w:rsidR="00DB576D" w:rsidRPr="00887008" w:rsidRDefault="00DB576D" w:rsidP="00887008">
            <w:pPr>
              <w:spacing w:before="40"/>
              <w:jc w:val="left"/>
              <w:rPr>
                <w:sz w:val="20"/>
                <w:szCs w:val="20"/>
              </w:rPr>
            </w:pPr>
          </w:p>
        </w:tc>
        <w:tc>
          <w:tcPr>
            <w:tcW w:w="720" w:type="dxa"/>
            <w:tcBorders>
              <w:top w:val="nil"/>
              <w:bottom w:val="single" w:sz="4" w:space="0" w:color="auto"/>
            </w:tcBorders>
            <w:vAlign w:val="center"/>
          </w:tcPr>
          <w:p w14:paraId="160ECA21"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506D061D" w14:textId="77777777" w:rsidR="00DB576D" w:rsidRPr="00887008" w:rsidRDefault="00DB576D" w:rsidP="00887008">
            <w:pPr>
              <w:spacing w:before="40"/>
              <w:jc w:val="left"/>
              <w:rPr>
                <w:sz w:val="20"/>
                <w:szCs w:val="20"/>
              </w:rPr>
            </w:pPr>
            <w:r w:rsidRPr="00887008">
              <w:rPr>
                <w:sz w:val="20"/>
                <w:szCs w:val="20"/>
              </w:rPr>
              <w:t>Rumors that additional Chinese technology companies, including Hikvision, may be placed on the Entity List.</w:t>
            </w:r>
            <w:r w:rsidRPr="00887008">
              <w:rPr>
                <w:sz w:val="20"/>
                <w:szCs w:val="20"/>
                <w:vertAlign w:val="superscript"/>
              </w:rPr>
              <w:endnoteReference w:id="78"/>
            </w:r>
          </w:p>
        </w:tc>
      </w:tr>
      <w:tr w:rsidR="00DB576D" w:rsidRPr="00887008" w14:paraId="1831CA02" w14:textId="77777777" w:rsidTr="00287713">
        <w:trPr>
          <w:trHeight w:val="576"/>
        </w:trPr>
        <w:tc>
          <w:tcPr>
            <w:tcW w:w="1296" w:type="dxa"/>
            <w:tcBorders>
              <w:top w:val="single" w:sz="4" w:space="0" w:color="auto"/>
              <w:bottom w:val="single" w:sz="4" w:space="0" w:color="auto"/>
            </w:tcBorders>
            <w:vAlign w:val="center"/>
          </w:tcPr>
          <w:p w14:paraId="1DC7D247" w14:textId="2FA8B4FB" w:rsidR="00DB576D" w:rsidRPr="00887008" w:rsidRDefault="006A018D" w:rsidP="00887008">
            <w:pPr>
              <w:spacing w:before="40"/>
              <w:jc w:val="left"/>
              <w:rPr>
                <w:sz w:val="20"/>
                <w:szCs w:val="20"/>
              </w:rPr>
            </w:pPr>
            <w:r>
              <w:rPr>
                <w:sz w:val="20"/>
                <w:szCs w:val="20"/>
              </w:rPr>
              <w:t>0</w:t>
            </w:r>
            <w:r w:rsidR="00DB576D" w:rsidRPr="00887008">
              <w:rPr>
                <w:sz w:val="20"/>
                <w:szCs w:val="20"/>
              </w:rPr>
              <w:t>5/23/2019</w:t>
            </w:r>
          </w:p>
        </w:tc>
        <w:tc>
          <w:tcPr>
            <w:tcW w:w="720" w:type="dxa"/>
            <w:tcBorders>
              <w:top w:val="single" w:sz="4" w:space="0" w:color="auto"/>
              <w:bottom w:val="single" w:sz="4" w:space="0" w:color="auto"/>
            </w:tcBorders>
            <w:vAlign w:val="center"/>
          </w:tcPr>
          <w:p w14:paraId="15DAB547" w14:textId="77777777" w:rsidR="00DB576D" w:rsidRPr="00887008" w:rsidRDefault="00DB576D" w:rsidP="00887008">
            <w:pPr>
              <w:spacing w:before="40"/>
              <w:jc w:val="left"/>
              <w:rPr>
                <w:sz w:val="20"/>
                <w:szCs w:val="20"/>
              </w:rPr>
            </w:pPr>
            <w:r w:rsidRPr="00887008">
              <w:rPr>
                <w:sz w:val="20"/>
                <w:szCs w:val="20"/>
              </w:rPr>
              <w:t>5</w:t>
            </w:r>
          </w:p>
        </w:tc>
        <w:tc>
          <w:tcPr>
            <w:tcW w:w="5904" w:type="dxa"/>
            <w:tcBorders>
              <w:top w:val="single" w:sz="4" w:space="0" w:color="auto"/>
              <w:bottom w:val="single" w:sz="4" w:space="0" w:color="auto"/>
            </w:tcBorders>
            <w:vAlign w:val="center"/>
          </w:tcPr>
          <w:p w14:paraId="02692EB7" w14:textId="77777777" w:rsidR="00DB576D" w:rsidRPr="00887008" w:rsidRDefault="00DB576D" w:rsidP="00887008">
            <w:pPr>
              <w:spacing w:before="40"/>
              <w:jc w:val="left"/>
              <w:rPr>
                <w:sz w:val="20"/>
                <w:szCs w:val="20"/>
              </w:rPr>
            </w:pPr>
            <w:r w:rsidRPr="00887008">
              <w:rPr>
                <w:sz w:val="20"/>
                <w:szCs w:val="20"/>
              </w:rPr>
              <w:t>Pessimism on U.S.-China trade talks based on comments by Chinese officials and Chinese news outlets.</w:t>
            </w:r>
            <w:r w:rsidRPr="00887008">
              <w:rPr>
                <w:sz w:val="20"/>
                <w:szCs w:val="20"/>
                <w:vertAlign w:val="superscript"/>
              </w:rPr>
              <w:endnoteReference w:id="79"/>
            </w:r>
          </w:p>
        </w:tc>
      </w:tr>
    </w:tbl>
    <w:p w14:paraId="491F6E4E" w14:textId="798EA490" w:rsidR="00DB576D" w:rsidRPr="00770501" w:rsidRDefault="00887008" w:rsidP="00887008">
      <w:pPr>
        <w:pStyle w:val="Caption"/>
        <w:rPr>
          <w:b w:val="0"/>
          <w:iCs w:val="0"/>
          <w:szCs w:val="24"/>
        </w:rPr>
      </w:pPr>
      <w:r>
        <w:t xml:space="preserve">Table </w:t>
      </w:r>
      <w:r w:rsidR="0002383E">
        <w:t>A</w:t>
      </w:r>
      <w:r w:rsidR="00F839C8">
        <w:fldChar w:fldCharType="begin"/>
      </w:r>
      <w:r w:rsidR="00F839C8">
        <w:instrText xml:space="preserve"> SEQ Table \* ARABIC </w:instrText>
      </w:r>
      <w:r w:rsidR="00F839C8">
        <w:fldChar w:fldCharType="separate"/>
      </w:r>
      <w:r w:rsidR="00F25795">
        <w:rPr>
          <w:noProof/>
        </w:rPr>
        <w:t>6</w:t>
      </w:r>
      <w:r w:rsidR="00F839C8">
        <w:rPr>
          <w:noProof/>
        </w:rPr>
        <w:fldChar w:fldCharType="end"/>
      </w:r>
      <w:r w:rsidR="00DB576D" w:rsidRPr="00770501">
        <w:rPr>
          <w:szCs w:val="24"/>
        </w:rPr>
        <w:t>: Relevant news surrounding Surveillance event</w:t>
      </w:r>
    </w:p>
    <w:tbl>
      <w:tblPr>
        <w:tblStyle w:val="TableGrid7"/>
        <w:tblW w:w="79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96"/>
        <w:gridCol w:w="720"/>
        <w:gridCol w:w="5904"/>
      </w:tblGrid>
      <w:tr w:rsidR="00DB576D" w:rsidRPr="00887008" w14:paraId="0E15A871" w14:textId="77777777" w:rsidTr="00287713">
        <w:trPr>
          <w:tblHeader/>
        </w:trPr>
        <w:tc>
          <w:tcPr>
            <w:tcW w:w="1296" w:type="dxa"/>
            <w:tcBorders>
              <w:top w:val="single" w:sz="4" w:space="0" w:color="auto"/>
              <w:bottom w:val="single" w:sz="4" w:space="0" w:color="auto"/>
            </w:tcBorders>
            <w:vAlign w:val="center"/>
          </w:tcPr>
          <w:p w14:paraId="55D788AE" w14:textId="77777777" w:rsidR="00DB576D" w:rsidRPr="00887008" w:rsidRDefault="00DB576D" w:rsidP="00887008">
            <w:pPr>
              <w:spacing w:before="40"/>
              <w:jc w:val="left"/>
              <w:rPr>
                <w:b/>
                <w:bCs/>
                <w:sz w:val="20"/>
                <w:szCs w:val="20"/>
              </w:rPr>
            </w:pPr>
            <w:r w:rsidRPr="00887008">
              <w:rPr>
                <w:b/>
                <w:bCs/>
                <w:sz w:val="20"/>
                <w:szCs w:val="20"/>
              </w:rPr>
              <w:t>Date</w:t>
            </w:r>
          </w:p>
        </w:tc>
        <w:tc>
          <w:tcPr>
            <w:tcW w:w="720" w:type="dxa"/>
            <w:tcBorders>
              <w:top w:val="single" w:sz="4" w:space="0" w:color="auto"/>
              <w:bottom w:val="single" w:sz="4" w:space="0" w:color="auto"/>
            </w:tcBorders>
            <w:vAlign w:val="center"/>
          </w:tcPr>
          <w:p w14:paraId="48A35161" w14:textId="77777777" w:rsidR="00DB576D" w:rsidRPr="00887008" w:rsidRDefault="00DB576D" w:rsidP="00887008">
            <w:pPr>
              <w:spacing w:before="40"/>
              <w:jc w:val="left"/>
              <w:rPr>
                <w:b/>
                <w:bCs/>
                <w:sz w:val="20"/>
                <w:szCs w:val="20"/>
              </w:rPr>
            </w:pPr>
            <w:r w:rsidRPr="00887008">
              <w:rPr>
                <w:b/>
                <w:bCs/>
                <w:sz w:val="20"/>
                <w:szCs w:val="20"/>
              </w:rPr>
              <w:t>t</w:t>
            </w:r>
          </w:p>
        </w:tc>
        <w:tc>
          <w:tcPr>
            <w:tcW w:w="5904" w:type="dxa"/>
            <w:tcBorders>
              <w:top w:val="single" w:sz="4" w:space="0" w:color="auto"/>
              <w:bottom w:val="single" w:sz="4" w:space="0" w:color="auto"/>
            </w:tcBorders>
            <w:vAlign w:val="center"/>
          </w:tcPr>
          <w:p w14:paraId="3C75CBBB" w14:textId="77777777" w:rsidR="00DB576D" w:rsidRPr="00887008" w:rsidRDefault="00DB576D" w:rsidP="00887008">
            <w:pPr>
              <w:spacing w:before="40"/>
              <w:jc w:val="left"/>
              <w:rPr>
                <w:b/>
                <w:bCs/>
                <w:sz w:val="20"/>
                <w:szCs w:val="20"/>
              </w:rPr>
            </w:pPr>
            <w:r w:rsidRPr="00887008">
              <w:rPr>
                <w:b/>
                <w:bCs/>
                <w:sz w:val="20"/>
                <w:szCs w:val="20"/>
              </w:rPr>
              <w:t>Relevant stories</w:t>
            </w:r>
          </w:p>
        </w:tc>
      </w:tr>
      <w:tr w:rsidR="00DB576D" w:rsidRPr="00887008" w14:paraId="75AEDEAF" w14:textId="77777777" w:rsidTr="00287713">
        <w:trPr>
          <w:trHeight w:val="288"/>
        </w:trPr>
        <w:tc>
          <w:tcPr>
            <w:tcW w:w="1296" w:type="dxa"/>
            <w:tcBorders>
              <w:top w:val="single" w:sz="4" w:space="0" w:color="auto"/>
            </w:tcBorders>
          </w:tcPr>
          <w:p w14:paraId="6FEBB2EA" w14:textId="0146200D" w:rsidR="00DB576D" w:rsidRPr="00887008" w:rsidRDefault="00DB576D" w:rsidP="00887008">
            <w:pPr>
              <w:spacing w:before="40"/>
              <w:jc w:val="left"/>
              <w:rPr>
                <w:sz w:val="20"/>
                <w:szCs w:val="20"/>
                <w:lang w:val="de-DE"/>
              </w:rPr>
            </w:pPr>
            <w:r w:rsidRPr="00887008">
              <w:rPr>
                <w:sz w:val="20"/>
                <w:szCs w:val="20"/>
              </w:rPr>
              <w:t>10/</w:t>
            </w:r>
            <w:r w:rsidR="00190DB5">
              <w:rPr>
                <w:sz w:val="20"/>
                <w:szCs w:val="20"/>
              </w:rPr>
              <w:t>0</w:t>
            </w:r>
            <w:r w:rsidRPr="00887008">
              <w:rPr>
                <w:sz w:val="20"/>
                <w:szCs w:val="20"/>
              </w:rPr>
              <w:t>1/2019</w:t>
            </w:r>
          </w:p>
        </w:tc>
        <w:tc>
          <w:tcPr>
            <w:tcW w:w="720" w:type="dxa"/>
            <w:tcBorders>
              <w:top w:val="single" w:sz="4" w:space="0" w:color="auto"/>
            </w:tcBorders>
            <w:vAlign w:val="center"/>
          </w:tcPr>
          <w:p w14:paraId="403BC03B" w14:textId="77777777" w:rsidR="00DB576D" w:rsidRPr="00887008" w:rsidRDefault="00DB576D" w:rsidP="00887008">
            <w:pPr>
              <w:spacing w:before="40"/>
              <w:jc w:val="left"/>
              <w:rPr>
                <w:sz w:val="20"/>
                <w:szCs w:val="20"/>
              </w:rPr>
            </w:pPr>
            <w:r w:rsidRPr="00887008">
              <w:rPr>
                <w:sz w:val="20"/>
                <w:szCs w:val="20"/>
              </w:rPr>
              <w:t>-5</w:t>
            </w:r>
          </w:p>
        </w:tc>
        <w:tc>
          <w:tcPr>
            <w:tcW w:w="5904" w:type="dxa"/>
            <w:tcBorders>
              <w:top w:val="single" w:sz="4" w:space="0" w:color="auto"/>
            </w:tcBorders>
            <w:vAlign w:val="center"/>
          </w:tcPr>
          <w:p w14:paraId="4F4A6FC6" w14:textId="77777777" w:rsidR="00DB576D" w:rsidRPr="00887008" w:rsidRDefault="00DB576D" w:rsidP="00887008">
            <w:pPr>
              <w:spacing w:before="40"/>
              <w:jc w:val="left"/>
              <w:rPr>
                <w:sz w:val="20"/>
                <w:szCs w:val="20"/>
              </w:rPr>
            </w:pPr>
            <w:r w:rsidRPr="00887008">
              <w:rPr>
                <w:sz w:val="20"/>
                <w:szCs w:val="20"/>
              </w:rPr>
              <w:t>No evidence of major stories that would abnormally affect firms.</w:t>
            </w:r>
          </w:p>
        </w:tc>
      </w:tr>
      <w:tr w:rsidR="00DB576D" w:rsidRPr="00887008" w14:paraId="7A536A91" w14:textId="77777777" w:rsidTr="00287713">
        <w:trPr>
          <w:trHeight w:val="288"/>
        </w:trPr>
        <w:tc>
          <w:tcPr>
            <w:tcW w:w="1296" w:type="dxa"/>
          </w:tcPr>
          <w:p w14:paraId="50A1E505" w14:textId="7A484A3E" w:rsidR="00DB576D" w:rsidRPr="00887008" w:rsidRDefault="00DB576D" w:rsidP="00887008">
            <w:pPr>
              <w:spacing w:before="40"/>
              <w:jc w:val="left"/>
              <w:rPr>
                <w:sz w:val="20"/>
                <w:szCs w:val="20"/>
                <w:lang w:val="de-DE"/>
              </w:rPr>
            </w:pPr>
            <w:r w:rsidRPr="00887008">
              <w:rPr>
                <w:sz w:val="20"/>
                <w:szCs w:val="20"/>
              </w:rPr>
              <w:t>10/</w:t>
            </w:r>
            <w:r w:rsidR="00190DB5">
              <w:rPr>
                <w:sz w:val="20"/>
                <w:szCs w:val="20"/>
              </w:rPr>
              <w:t>0</w:t>
            </w:r>
            <w:r w:rsidRPr="00887008">
              <w:rPr>
                <w:sz w:val="20"/>
                <w:szCs w:val="20"/>
              </w:rPr>
              <w:t>2/2019</w:t>
            </w:r>
          </w:p>
        </w:tc>
        <w:tc>
          <w:tcPr>
            <w:tcW w:w="720" w:type="dxa"/>
            <w:vAlign w:val="center"/>
          </w:tcPr>
          <w:p w14:paraId="6DDBDDFC" w14:textId="77777777" w:rsidR="00DB576D" w:rsidRPr="00887008" w:rsidRDefault="00DB576D" w:rsidP="00887008">
            <w:pPr>
              <w:spacing w:before="40"/>
              <w:jc w:val="left"/>
              <w:rPr>
                <w:sz w:val="20"/>
                <w:szCs w:val="20"/>
              </w:rPr>
            </w:pPr>
            <w:r w:rsidRPr="00887008">
              <w:rPr>
                <w:sz w:val="20"/>
                <w:szCs w:val="20"/>
              </w:rPr>
              <w:t>-4</w:t>
            </w:r>
          </w:p>
        </w:tc>
        <w:tc>
          <w:tcPr>
            <w:tcW w:w="5904" w:type="dxa"/>
            <w:vAlign w:val="center"/>
          </w:tcPr>
          <w:p w14:paraId="26DFFF57" w14:textId="77777777" w:rsidR="00DB576D" w:rsidRPr="00887008" w:rsidRDefault="00DB576D" w:rsidP="00887008">
            <w:pPr>
              <w:spacing w:before="40"/>
              <w:jc w:val="left"/>
              <w:rPr>
                <w:sz w:val="20"/>
                <w:szCs w:val="20"/>
              </w:rPr>
            </w:pPr>
            <w:r w:rsidRPr="00887008">
              <w:rPr>
                <w:sz w:val="20"/>
                <w:szCs w:val="20"/>
              </w:rPr>
              <w:t>No evidence of major stories that would abnormally affect firms.</w:t>
            </w:r>
          </w:p>
        </w:tc>
      </w:tr>
      <w:tr w:rsidR="00DB576D" w:rsidRPr="00887008" w14:paraId="0BB3AE28" w14:textId="77777777" w:rsidTr="00287713">
        <w:trPr>
          <w:trHeight w:val="288"/>
        </w:trPr>
        <w:tc>
          <w:tcPr>
            <w:tcW w:w="1296" w:type="dxa"/>
          </w:tcPr>
          <w:p w14:paraId="6D2C4531" w14:textId="42551D38" w:rsidR="00DB576D" w:rsidRPr="00887008" w:rsidRDefault="00DB576D" w:rsidP="00887008">
            <w:pPr>
              <w:spacing w:before="40"/>
              <w:jc w:val="left"/>
              <w:rPr>
                <w:sz w:val="20"/>
                <w:szCs w:val="20"/>
                <w:lang w:val="de-DE"/>
              </w:rPr>
            </w:pPr>
            <w:r w:rsidRPr="00887008">
              <w:rPr>
                <w:sz w:val="20"/>
                <w:szCs w:val="20"/>
              </w:rPr>
              <w:t>10/</w:t>
            </w:r>
            <w:r w:rsidR="00190DB5">
              <w:rPr>
                <w:sz w:val="20"/>
                <w:szCs w:val="20"/>
              </w:rPr>
              <w:t>0</w:t>
            </w:r>
            <w:r w:rsidRPr="00887008">
              <w:rPr>
                <w:sz w:val="20"/>
                <w:szCs w:val="20"/>
              </w:rPr>
              <w:t>3/2019</w:t>
            </w:r>
          </w:p>
        </w:tc>
        <w:tc>
          <w:tcPr>
            <w:tcW w:w="720" w:type="dxa"/>
            <w:vAlign w:val="center"/>
          </w:tcPr>
          <w:p w14:paraId="56676734" w14:textId="77777777" w:rsidR="00DB576D" w:rsidRPr="00887008" w:rsidRDefault="00DB576D" w:rsidP="00887008">
            <w:pPr>
              <w:spacing w:before="40"/>
              <w:jc w:val="left"/>
              <w:rPr>
                <w:sz w:val="20"/>
                <w:szCs w:val="20"/>
              </w:rPr>
            </w:pPr>
            <w:r w:rsidRPr="00887008">
              <w:rPr>
                <w:sz w:val="20"/>
                <w:szCs w:val="20"/>
              </w:rPr>
              <w:t>-3</w:t>
            </w:r>
          </w:p>
        </w:tc>
        <w:tc>
          <w:tcPr>
            <w:tcW w:w="5904" w:type="dxa"/>
            <w:vAlign w:val="center"/>
          </w:tcPr>
          <w:p w14:paraId="57EF2036" w14:textId="77777777" w:rsidR="00DB576D" w:rsidRPr="00887008" w:rsidRDefault="00DB576D" w:rsidP="00887008">
            <w:pPr>
              <w:spacing w:before="40"/>
              <w:jc w:val="left"/>
              <w:rPr>
                <w:sz w:val="20"/>
                <w:szCs w:val="20"/>
              </w:rPr>
            </w:pPr>
            <w:r w:rsidRPr="00887008">
              <w:rPr>
                <w:sz w:val="20"/>
                <w:szCs w:val="20"/>
              </w:rPr>
              <w:t>No evidence of major stories that would abnormally affect firms.</w:t>
            </w:r>
          </w:p>
        </w:tc>
      </w:tr>
      <w:tr w:rsidR="00DB576D" w:rsidRPr="00887008" w14:paraId="3936588B" w14:textId="77777777" w:rsidTr="00287713">
        <w:trPr>
          <w:trHeight w:val="288"/>
        </w:trPr>
        <w:tc>
          <w:tcPr>
            <w:tcW w:w="1296" w:type="dxa"/>
          </w:tcPr>
          <w:p w14:paraId="072CF5A6" w14:textId="564EB38D" w:rsidR="00DB576D" w:rsidRPr="00887008" w:rsidRDefault="00DB576D" w:rsidP="00887008">
            <w:pPr>
              <w:spacing w:before="40"/>
              <w:jc w:val="left"/>
              <w:rPr>
                <w:sz w:val="20"/>
                <w:szCs w:val="20"/>
                <w:lang w:val="de-DE"/>
              </w:rPr>
            </w:pPr>
            <w:r w:rsidRPr="00887008">
              <w:rPr>
                <w:sz w:val="20"/>
                <w:szCs w:val="20"/>
              </w:rPr>
              <w:t>10/</w:t>
            </w:r>
            <w:r w:rsidR="00190DB5">
              <w:rPr>
                <w:sz w:val="20"/>
                <w:szCs w:val="20"/>
              </w:rPr>
              <w:t>0</w:t>
            </w:r>
            <w:r w:rsidRPr="00887008">
              <w:rPr>
                <w:sz w:val="20"/>
                <w:szCs w:val="20"/>
              </w:rPr>
              <w:t>4/2019</w:t>
            </w:r>
          </w:p>
        </w:tc>
        <w:tc>
          <w:tcPr>
            <w:tcW w:w="720" w:type="dxa"/>
            <w:vAlign w:val="center"/>
          </w:tcPr>
          <w:p w14:paraId="62D88EDC" w14:textId="77777777" w:rsidR="00DB576D" w:rsidRPr="00887008" w:rsidRDefault="00DB576D" w:rsidP="00887008">
            <w:pPr>
              <w:spacing w:before="40"/>
              <w:jc w:val="left"/>
              <w:rPr>
                <w:sz w:val="20"/>
                <w:szCs w:val="20"/>
              </w:rPr>
            </w:pPr>
            <w:r w:rsidRPr="00887008">
              <w:rPr>
                <w:sz w:val="20"/>
                <w:szCs w:val="20"/>
              </w:rPr>
              <w:t>-2</w:t>
            </w:r>
          </w:p>
        </w:tc>
        <w:tc>
          <w:tcPr>
            <w:tcW w:w="5904" w:type="dxa"/>
            <w:vAlign w:val="center"/>
          </w:tcPr>
          <w:p w14:paraId="28ED788C" w14:textId="77777777" w:rsidR="00DB576D" w:rsidRPr="00887008" w:rsidRDefault="00DB576D" w:rsidP="00887008">
            <w:pPr>
              <w:spacing w:before="40"/>
              <w:jc w:val="left"/>
              <w:rPr>
                <w:sz w:val="20"/>
                <w:szCs w:val="20"/>
              </w:rPr>
            </w:pPr>
            <w:r w:rsidRPr="00887008">
              <w:rPr>
                <w:sz w:val="20"/>
                <w:szCs w:val="20"/>
              </w:rPr>
              <w:t>No evidence of major stories that would abnormally affect firms.</w:t>
            </w:r>
          </w:p>
        </w:tc>
      </w:tr>
      <w:tr w:rsidR="00DB576D" w:rsidRPr="00887008" w14:paraId="7C5CC392" w14:textId="77777777" w:rsidTr="00287713">
        <w:trPr>
          <w:trHeight w:val="288"/>
        </w:trPr>
        <w:tc>
          <w:tcPr>
            <w:tcW w:w="1296" w:type="dxa"/>
            <w:tcBorders>
              <w:bottom w:val="single" w:sz="4" w:space="0" w:color="auto"/>
            </w:tcBorders>
            <w:vAlign w:val="center"/>
          </w:tcPr>
          <w:p w14:paraId="74EFA37C" w14:textId="77777777" w:rsidR="00DB576D" w:rsidRPr="00887008" w:rsidRDefault="00DB576D" w:rsidP="00887008">
            <w:pPr>
              <w:spacing w:before="40"/>
              <w:jc w:val="left"/>
              <w:rPr>
                <w:sz w:val="20"/>
                <w:szCs w:val="20"/>
                <w:lang w:val="de-DE"/>
              </w:rPr>
            </w:pPr>
            <w:r w:rsidRPr="00887008">
              <w:rPr>
                <w:sz w:val="20"/>
                <w:szCs w:val="20"/>
                <w:lang w:val="de-DE"/>
              </w:rPr>
              <w:t>10/07/2019</w:t>
            </w:r>
          </w:p>
        </w:tc>
        <w:tc>
          <w:tcPr>
            <w:tcW w:w="720" w:type="dxa"/>
            <w:tcBorders>
              <w:bottom w:val="single" w:sz="4" w:space="0" w:color="auto"/>
            </w:tcBorders>
            <w:vAlign w:val="center"/>
          </w:tcPr>
          <w:p w14:paraId="285FC7D5" w14:textId="77777777" w:rsidR="00DB576D" w:rsidRPr="00887008" w:rsidRDefault="00DB576D" w:rsidP="00887008">
            <w:pPr>
              <w:spacing w:before="40"/>
              <w:jc w:val="left"/>
              <w:rPr>
                <w:sz w:val="20"/>
                <w:szCs w:val="20"/>
              </w:rPr>
            </w:pPr>
            <w:r w:rsidRPr="00887008">
              <w:rPr>
                <w:sz w:val="20"/>
                <w:szCs w:val="20"/>
              </w:rPr>
              <w:t>-1</w:t>
            </w:r>
          </w:p>
        </w:tc>
        <w:tc>
          <w:tcPr>
            <w:tcW w:w="5904" w:type="dxa"/>
            <w:tcBorders>
              <w:bottom w:val="single" w:sz="4" w:space="0" w:color="auto"/>
            </w:tcBorders>
            <w:vAlign w:val="center"/>
          </w:tcPr>
          <w:p w14:paraId="7D81EC8C" w14:textId="77777777" w:rsidR="00DB576D" w:rsidRPr="00887008" w:rsidRDefault="00DB576D" w:rsidP="00887008">
            <w:pPr>
              <w:spacing w:before="40"/>
              <w:jc w:val="left"/>
              <w:rPr>
                <w:sz w:val="20"/>
                <w:szCs w:val="20"/>
              </w:rPr>
            </w:pPr>
            <w:r w:rsidRPr="00887008">
              <w:rPr>
                <w:sz w:val="20"/>
                <w:szCs w:val="20"/>
              </w:rPr>
              <w:t>Some investor pessimism on upcoming U.S.-China trade talks.</w:t>
            </w:r>
            <w:r w:rsidRPr="00887008">
              <w:rPr>
                <w:sz w:val="20"/>
                <w:szCs w:val="20"/>
                <w:vertAlign w:val="superscript"/>
              </w:rPr>
              <w:endnoteReference w:id="80"/>
            </w:r>
          </w:p>
        </w:tc>
      </w:tr>
      <w:tr w:rsidR="00DB576D" w:rsidRPr="00887008" w14:paraId="2778BBAE" w14:textId="77777777" w:rsidTr="00287713">
        <w:trPr>
          <w:trHeight w:val="576"/>
        </w:trPr>
        <w:tc>
          <w:tcPr>
            <w:tcW w:w="1296" w:type="dxa"/>
            <w:tcBorders>
              <w:top w:val="single" w:sz="4" w:space="0" w:color="auto"/>
              <w:bottom w:val="nil"/>
            </w:tcBorders>
            <w:vAlign w:val="center"/>
          </w:tcPr>
          <w:p w14:paraId="0DC7BD0A" w14:textId="77777777" w:rsidR="00DB576D" w:rsidRPr="00887008" w:rsidRDefault="00DB576D" w:rsidP="00887008">
            <w:pPr>
              <w:spacing w:before="40"/>
              <w:jc w:val="left"/>
              <w:rPr>
                <w:sz w:val="20"/>
                <w:szCs w:val="20"/>
                <w:lang w:val="de-DE"/>
              </w:rPr>
            </w:pPr>
            <w:r w:rsidRPr="00887008">
              <w:rPr>
                <w:sz w:val="20"/>
                <w:szCs w:val="20"/>
                <w:lang w:val="de-DE"/>
              </w:rPr>
              <w:t>10/08/2019</w:t>
            </w:r>
          </w:p>
        </w:tc>
        <w:tc>
          <w:tcPr>
            <w:tcW w:w="720" w:type="dxa"/>
            <w:tcBorders>
              <w:top w:val="single" w:sz="4" w:space="0" w:color="auto"/>
              <w:bottom w:val="nil"/>
            </w:tcBorders>
            <w:vAlign w:val="center"/>
          </w:tcPr>
          <w:p w14:paraId="42ABEBFE" w14:textId="77777777" w:rsidR="00DB576D" w:rsidRPr="00887008" w:rsidRDefault="00DB576D" w:rsidP="00887008">
            <w:pPr>
              <w:spacing w:before="40"/>
              <w:jc w:val="left"/>
              <w:rPr>
                <w:sz w:val="20"/>
                <w:szCs w:val="20"/>
              </w:rPr>
            </w:pPr>
            <w:r w:rsidRPr="00887008">
              <w:rPr>
                <w:sz w:val="20"/>
                <w:szCs w:val="20"/>
              </w:rPr>
              <w:t>0</w:t>
            </w:r>
          </w:p>
        </w:tc>
        <w:tc>
          <w:tcPr>
            <w:tcW w:w="5904" w:type="dxa"/>
            <w:tcBorders>
              <w:top w:val="single" w:sz="4" w:space="0" w:color="auto"/>
              <w:bottom w:val="nil"/>
            </w:tcBorders>
            <w:vAlign w:val="center"/>
          </w:tcPr>
          <w:p w14:paraId="5889546D" w14:textId="77777777" w:rsidR="00DB576D" w:rsidRPr="00887008" w:rsidRDefault="00DB576D" w:rsidP="00887008">
            <w:pPr>
              <w:spacing w:before="40"/>
              <w:jc w:val="left"/>
              <w:rPr>
                <w:sz w:val="20"/>
                <w:szCs w:val="20"/>
              </w:rPr>
            </w:pPr>
            <w:r w:rsidRPr="00887008">
              <w:rPr>
                <w:sz w:val="20"/>
                <w:szCs w:val="20"/>
              </w:rPr>
              <w:t>U.S. State Department imposes visa restrictions on Chinese officials for Xinjiang human rights issues.</w:t>
            </w:r>
            <w:r w:rsidRPr="00887008">
              <w:rPr>
                <w:sz w:val="20"/>
                <w:szCs w:val="20"/>
                <w:vertAlign w:val="superscript"/>
              </w:rPr>
              <w:endnoteReference w:id="81"/>
            </w:r>
          </w:p>
        </w:tc>
      </w:tr>
      <w:tr w:rsidR="00DB576D" w:rsidRPr="00887008" w14:paraId="692D67B9" w14:textId="77777777" w:rsidTr="00287713">
        <w:trPr>
          <w:trHeight w:val="576"/>
        </w:trPr>
        <w:tc>
          <w:tcPr>
            <w:tcW w:w="1296" w:type="dxa"/>
            <w:tcBorders>
              <w:top w:val="nil"/>
              <w:bottom w:val="nil"/>
            </w:tcBorders>
            <w:vAlign w:val="center"/>
          </w:tcPr>
          <w:p w14:paraId="5DC4D322"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62E49FC8"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77D2B317" w14:textId="77777777" w:rsidR="00DB576D" w:rsidRPr="00887008" w:rsidRDefault="00DB576D" w:rsidP="00887008">
            <w:pPr>
              <w:spacing w:before="40"/>
              <w:jc w:val="left"/>
              <w:rPr>
                <w:sz w:val="20"/>
                <w:szCs w:val="20"/>
              </w:rPr>
            </w:pPr>
            <w:r w:rsidRPr="00887008">
              <w:rPr>
                <w:sz w:val="20"/>
                <w:szCs w:val="20"/>
              </w:rPr>
              <w:t>Bloomberg reports that U.S. Government is considering capital flow restrictions to China.</w:t>
            </w:r>
            <w:r w:rsidRPr="00887008">
              <w:rPr>
                <w:sz w:val="20"/>
                <w:szCs w:val="20"/>
                <w:vertAlign w:val="superscript"/>
              </w:rPr>
              <w:endnoteReference w:id="82"/>
            </w:r>
          </w:p>
        </w:tc>
      </w:tr>
      <w:tr w:rsidR="00DB576D" w:rsidRPr="00887008" w14:paraId="05812BE8" w14:textId="77777777" w:rsidTr="00287713">
        <w:trPr>
          <w:trHeight w:val="576"/>
        </w:trPr>
        <w:tc>
          <w:tcPr>
            <w:tcW w:w="1296" w:type="dxa"/>
            <w:tcBorders>
              <w:top w:val="nil"/>
              <w:bottom w:val="nil"/>
            </w:tcBorders>
            <w:vAlign w:val="center"/>
          </w:tcPr>
          <w:p w14:paraId="0DF1137B"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7484FF0B"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2D392D07" w14:textId="77777777" w:rsidR="00DB576D" w:rsidRPr="00887008" w:rsidRDefault="00DB576D" w:rsidP="00887008">
            <w:pPr>
              <w:spacing w:before="40"/>
              <w:jc w:val="left"/>
              <w:rPr>
                <w:sz w:val="20"/>
                <w:szCs w:val="20"/>
              </w:rPr>
            </w:pPr>
            <w:r w:rsidRPr="00887008">
              <w:rPr>
                <w:sz w:val="20"/>
                <w:szCs w:val="20"/>
              </w:rPr>
              <w:t>China suspends broadcasting of NBA pre-season games due to Hong Kong-related tweets from the Houston Rockets General Manager.</w:t>
            </w:r>
            <w:r w:rsidRPr="00887008">
              <w:rPr>
                <w:sz w:val="20"/>
                <w:szCs w:val="20"/>
                <w:vertAlign w:val="superscript"/>
              </w:rPr>
              <w:endnoteReference w:id="83"/>
            </w:r>
          </w:p>
        </w:tc>
      </w:tr>
      <w:tr w:rsidR="00DB576D" w:rsidRPr="00887008" w14:paraId="313EBFC5" w14:textId="77777777" w:rsidTr="00287713">
        <w:trPr>
          <w:trHeight w:val="288"/>
        </w:trPr>
        <w:tc>
          <w:tcPr>
            <w:tcW w:w="1296" w:type="dxa"/>
            <w:tcBorders>
              <w:top w:val="nil"/>
              <w:bottom w:val="single" w:sz="4" w:space="0" w:color="auto"/>
            </w:tcBorders>
            <w:vAlign w:val="center"/>
          </w:tcPr>
          <w:p w14:paraId="477E05E6" w14:textId="77777777" w:rsidR="00DB576D" w:rsidRPr="00887008" w:rsidRDefault="00DB576D" w:rsidP="00887008">
            <w:pPr>
              <w:spacing w:before="40"/>
              <w:jc w:val="left"/>
              <w:rPr>
                <w:sz w:val="20"/>
                <w:szCs w:val="20"/>
              </w:rPr>
            </w:pPr>
          </w:p>
        </w:tc>
        <w:tc>
          <w:tcPr>
            <w:tcW w:w="720" w:type="dxa"/>
            <w:tcBorders>
              <w:top w:val="nil"/>
              <w:bottom w:val="single" w:sz="4" w:space="0" w:color="auto"/>
            </w:tcBorders>
            <w:vAlign w:val="center"/>
          </w:tcPr>
          <w:p w14:paraId="48B51F3F"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677C93CB" w14:textId="77777777" w:rsidR="00DB576D" w:rsidRPr="00887008" w:rsidRDefault="00DB576D" w:rsidP="00887008">
            <w:pPr>
              <w:spacing w:before="40"/>
              <w:jc w:val="left"/>
              <w:rPr>
                <w:sz w:val="20"/>
                <w:szCs w:val="20"/>
              </w:rPr>
            </w:pPr>
            <w:r w:rsidRPr="00887008">
              <w:rPr>
                <w:sz w:val="20"/>
                <w:szCs w:val="20"/>
              </w:rPr>
              <w:t>U.S. explores ways to support Huawei’s European competitors.</w:t>
            </w:r>
            <w:r w:rsidRPr="00887008">
              <w:rPr>
                <w:sz w:val="20"/>
                <w:szCs w:val="20"/>
                <w:vertAlign w:val="superscript"/>
              </w:rPr>
              <w:endnoteReference w:id="84"/>
            </w:r>
          </w:p>
        </w:tc>
      </w:tr>
      <w:tr w:rsidR="00DB576D" w:rsidRPr="00887008" w14:paraId="1A86EDA0" w14:textId="77777777" w:rsidTr="00287713">
        <w:trPr>
          <w:trHeight w:val="288"/>
        </w:trPr>
        <w:tc>
          <w:tcPr>
            <w:tcW w:w="1296" w:type="dxa"/>
            <w:tcBorders>
              <w:top w:val="single" w:sz="4" w:space="0" w:color="auto"/>
              <w:bottom w:val="nil"/>
            </w:tcBorders>
            <w:vAlign w:val="center"/>
          </w:tcPr>
          <w:p w14:paraId="4F4FA70E" w14:textId="77777777" w:rsidR="00DB576D" w:rsidRPr="00887008" w:rsidRDefault="00DB576D" w:rsidP="00887008">
            <w:pPr>
              <w:spacing w:before="40"/>
              <w:jc w:val="left"/>
              <w:rPr>
                <w:sz w:val="20"/>
                <w:szCs w:val="20"/>
                <w:lang w:val="de-DE"/>
              </w:rPr>
            </w:pPr>
            <w:r w:rsidRPr="00887008">
              <w:rPr>
                <w:sz w:val="20"/>
                <w:szCs w:val="20"/>
                <w:lang w:val="de-DE"/>
              </w:rPr>
              <w:t>10/09/2019</w:t>
            </w:r>
          </w:p>
        </w:tc>
        <w:tc>
          <w:tcPr>
            <w:tcW w:w="720" w:type="dxa"/>
            <w:tcBorders>
              <w:top w:val="single" w:sz="4" w:space="0" w:color="auto"/>
              <w:bottom w:val="nil"/>
            </w:tcBorders>
            <w:vAlign w:val="center"/>
          </w:tcPr>
          <w:p w14:paraId="3DC8B0A8" w14:textId="77777777" w:rsidR="00DB576D" w:rsidRPr="00887008" w:rsidRDefault="00DB576D" w:rsidP="00887008">
            <w:pPr>
              <w:spacing w:before="40"/>
              <w:jc w:val="left"/>
              <w:rPr>
                <w:sz w:val="20"/>
                <w:szCs w:val="20"/>
              </w:rPr>
            </w:pPr>
            <w:r w:rsidRPr="00887008">
              <w:rPr>
                <w:sz w:val="20"/>
                <w:szCs w:val="20"/>
              </w:rPr>
              <w:t>1</w:t>
            </w:r>
          </w:p>
        </w:tc>
        <w:tc>
          <w:tcPr>
            <w:tcW w:w="5904" w:type="dxa"/>
            <w:tcBorders>
              <w:top w:val="single" w:sz="4" w:space="0" w:color="auto"/>
              <w:bottom w:val="nil"/>
            </w:tcBorders>
            <w:vAlign w:val="center"/>
          </w:tcPr>
          <w:p w14:paraId="572DFE70" w14:textId="77777777" w:rsidR="00DB576D" w:rsidRPr="00887008" w:rsidRDefault="00DB576D" w:rsidP="00887008">
            <w:pPr>
              <w:spacing w:before="40"/>
              <w:jc w:val="left"/>
              <w:rPr>
                <w:sz w:val="20"/>
                <w:szCs w:val="20"/>
              </w:rPr>
            </w:pPr>
            <w:r w:rsidRPr="00887008">
              <w:rPr>
                <w:sz w:val="20"/>
                <w:szCs w:val="20"/>
              </w:rPr>
              <w:t>U.S.-China trade talk optimism reported markets-oriented summaries.</w:t>
            </w:r>
            <w:r w:rsidRPr="00887008">
              <w:rPr>
                <w:sz w:val="20"/>
                <w:szCs w:val="20"/>
                <w:vertAlign w:val="superscript"/>
              </w:rPr>
              <w:endnoteReference w:id="85"/>
            </w:r>
          </w:p>
        </w:tc>
      </w:tr>
      <w:tr w:rsidR="00DB576D" w:rsidRPr="00887008" w14:paraId="4F1FAB01" w14:textId="77777777" w:rsidTr="00287713">
        <w:trPr>
          <w:trHeight w:val="576"/>
        </w:trPr>
        <w:tc>
          <w:tcPr>
            <w:tcW w:w="1296" w:type="dxa"/>
            <w:tcBorders>
              <w:top w:val="nil"/>
              <w:bottom w:val="nil"/>
            </w:tcBorders>
            <w:vAlign w:val="center"/>
          </w:tcPr>
          <w:p w14:paraId="4556CBEC" w14:textId="77777777" w:rsidR="00DB576D" w:rsidRPr="00887008" w:rsidRDefault="00DB576D" w:rsidP="00887008">
            <w:pPr>
              <w:spacing w:before="40"/>
              <w:jc w:val="left"/>
              <w:rPr>
                <w:sz w:val="20"/>
                <w:szCs w:val="20"/>
              </w:rPr>
            </w:pPr>
          </w:p>
        </w:tc>
        <w:tc>
          <w:tcPr>
            <w:tcW w:w="720" w:type="dxa"/>
            <w:tcBorders>
              <w:top w:val="nil"/>
              <w:bottom w:val="nil"/>
            </w:tcBorders>
            <w:vAlign w:val="center"/>
          </w:tcPr>
          <w:p w14:paraId="2DD9EA70" w14:textId="77777777" w:rsidR="00DB576D" w:rsidRPr="00887008" w:rsidRDefault="00DB576D" w:rsidP="00887008">
            <w:pPr>
              <w:spacing w:before="40"/>
              <w:jc w:val="left"/>
              <w:rPr>
                <w:sz w:val="20"/>
                <w:szCs w:val="20"/>
              </w:rPr>
            </w:pPr>
          </w:p>
        </w:tc>
        <w:tc>
          <w:tcPr>
            <w:tcW w:w="5904" w:type="dxa"/>
            <w:tcBorders>
              <w:top w:val="nil"/>
              <w:bottom w:val="nil"/>
            </w:tcBorders>
            <w:vAlign w:val="center"/>
          </w:tcPr>
          <w:p w14:paraId="1C038C07" w14:textId="77777777" w:rsidR="00DB576D" w:rsidRPr="00887008" w:rsidRDefault="00DB576D" w:rsidP="00887008">
            <w:pPr>
              <w:spacing w:before="40"/>
              <w:jc w:val="left"/>
              <w:rPr>
                <w:sz w:val="20"/>
                <w:szCs w:val="20"/>
              </w:rPr>
            </w:pPr>
            <w:r w:rsidRPr="00887008">
              <w:rPr>
                <w:sz w:val="20"/>
                <w:szCs w:val="20"/>
              </w:rPr>
              <w:t>China considers visa restrictions on U.S. citizens with ties to groups opposing Chinese government.</w:t>
            </w:r>
            <w:r w:rsidRPr="00887008">
              <w:rPr>
                <w:sz w:val="20"/>
                <w:szCs w:val="20"/>
                <w:vertAlign w:val="superscript"/>
              </w:rPr>
              <w:endnoteReference w:id="86"/>
            </w:r>
          </w:p>
        </w:tc>
      </w:tr>
      <w:tr w:rsidR="00DB576D" w:rsidRPr="00887008" w14:paraId="19B0F395" w14:textId="77777777" w:rsidTr="00287713">
        <w:trPr>
          <w:trHeight w:val="288"/>
        </w:trPr>
        <w:tc>
          <w:tcPr>
            <w:tcW w:w="1296" w:type="dxa"/>
            <w:tcBorders>
              <w:top w:val="nil"/>
              <w:bottom w:val="single" w:sz="4" w:space="0" w:color="auto"/>
            </w:tcBorders>
            <w:vAlign w:val="center"/>
          </w:tcPr>
          <w:p w14:paraId="0CF023A0" w14:textId="77777777" w:rsidR="00DB576D" w:rsidRPr="00887008" w:rsidRDefault="00DB576D" w:rsidP="00887008">
            <w:pPr>
              <w:spacing w:before="40"/>
              <w:jc w:val="left"/>
              <w:rPr>
                <w:sz w:val="20"/>
                <w:szCs w:val="20"/>
              </w:rPr>
            </w:pPr>
          </w:p>
        </w:tc>
        <w:tc>
          <w:tcPr>
            <w:tcW w:w="720" w:type="dxa"/>
            <w:tcBorders>
              <w:top w:val="nil"/>
              <w:bottom w:val="single" w:sz="4" w:space="0" w:color="auto"/>
            </w:tcBorders>
            <w:vAlign w:val="center"/>
          </w:tcPr>
          <w:p w14:paraId="739377EE"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7B6CD83F" w14:textId="77777777" w:rsidR="00DB576D" w:rsidRPr="00887008" w:rsidRDefault="00DB576D" w:rsidP="00887008">
            <w:pPr>
              <w:spacing w:before="40"/>
              <w:jc w:val="left"/>
              <w:rPr>
                <w:sz w:val="20"/>
                <w:szCs w:val="20"/>
              </w:rPr>
            </w:pPr>
            <w:r w:rsidRPr="00887008">
              <w:rPr>
                <w:sz w:val="20"/>
                <w:szCs w:val="20"/>
              </w:rPr>
              <w:t xml:space="preserve">Goldman Sachs reconsiders role in </w:t>
            </w:r>
            <w:proofErr w:type="spellStart"/>
            <w:r w:rsidRPr="00887008">
              <w:rPr>
                <w:sz w:val="20"/>
                <w:szCs w:val="20"/>
              </w:rPr>
              <w:t>Megvii</w:t>
            </w:r>
            <w:proofErr w:type="spellEnd"/>
            <w:r w:rsidRPr="00887008">
              <w:rPr>
                <w:sz w:val="20"/>
                <w:szCs w:val="20"/>
              </w:rPr>
              <w:t xml:space="preserve"> IPO.</w:t>
            </w:r>
            <w:r w:rsidRPr="00887008">
              <w:rPr>
                <w:sz w:val="20"/>
                <w:szCs w:val="20"/>
                <w:vertAlign w:val="superscript"/>
              </w:rPr>
              <w:endnoteReference w:id="87"/>
            </w:r>
          </w:p>
        </w:tc>
      </w:tr>
      <w:tr w:rsidR="00DB576D" w:rsidRPr="00887008" w14:paraId="412CF356" w14:textId="77777777" w:rsidTr="00287713">
        <w:trPr>
          <w:trHeight w:val="288"/>
        </w:trPr>
        <w:tc>
          <w:tcPr>
            <w:tcW w:w="1296" w:type="dxa"/>
            <w:tcBorders>
              <w:top w:val="single" w:sz="4" w:space="0" w:color="auto"/>
              <w:bottom w:val="single" w:sz="4" w:space="0" w:color="auto"/>
            </w:tcBorders>
            <w:vAlign w:val="center"/>
          </w:tcPr>
          <w:p w14:paraId="347D56FF" w14:textId="77777777" w:rsidR="00DB576D" w:rsidRPr="00887008" w:rsidRDefault="00DB576D" w:rsidP="00887008">
            <w:pPr>
              <w:spacing w:before="40"/>
              <w:jc w:val="left"/>
              <w:rPr>
                <w:sz w:val="20"/>
                <w:szCs w:val="20"/>
              </w:rPr>
            </w:pPr>
            <w:r w:rsidRPr="00887008">
              <w:rPr>
                <w:sz w:val="20"/>
                <w:szCs w:val="20"/>
              </w:rPr>
              <w:t>10/10/2019</w:t>
            </w:r>
          </w:p>
        </w:tc>
        <w:tc>
          <w:tcPr>
            <w:tcW w:w="720" w:type="dxa"/>
            <w:tcBorders>
              <w:top w:val="single" w:sz="4" w:space="0" w:color="auto"/>
              <w:bottom w:val="single" w:sz="4" w:space="0" w:color="auto"/>
            </w:tcBorders>
            <w:vAlign w:val="center"/>
          </w:tcPr>
          <w:p w14:paraId="477F537F" w14:textId="77777777" w:rsidR="00DB576D" w:rsidRPr="00887008" w:rsidRDefault="00DB576D" w:rsidP="00887008">
            <w:pPr>
              <w:spacing w:before="40"/>
              <w:jc w:val="left"/>
              <w:rPr>
                <w:sz w:val="20"/>
                <w:szCs w:val="20"/>
              </w:rPr>
            </w:pPr>
            <w:r w:rsidRPr="00887008">
              <w:rPr>
                <w:sz w:val="20"/>
                <w:szCs w:val="20"/>
              </w:rPr>
              <w:t>2</w:t>
            </w:r>
          </w:p>
        </w:tc>
        <w:tc>
          <w:tcPr>
            <w:tcW w:w="5904" w:type="dxa"/>
            <w:tcBorders>
              <w:top w:val="single" w:sz="4" w:space="0" w:color="auto"/>
              <w:bottom w:val="single" w:sz="4" w:space="0" w:color="auto"/>
            </w:tcBorders>
            <w:vAlign w:val="center"/>
          </w:tcPr>
          <w:p w14:paraId="7AB30753" w14:textId="77777777" w:rsidR="00DB576D" w:rsidRPr="00887008" w:rsidRDefault="00DB576D" w:rsidP="00887008">
            <w:pPr>
              <w:spacing w:before="40"/>
              <w:jc w:val="left"/>
              <w:rPr>
                <w:sz w:val="20"/>
                <w:szCs w:val="20"/>
              </w:rPr>
            </w:pPr>
            <w:r w:rsidRPr="00887008">
              <w:rPr>
                <w:sz w:val="20"/>
                <w:szCs w:val="20"/>
              </w:rPr>
              <w:t>Cautious optimism on trade talks despite conflicting headlines.</w:t>
            </w:r>
            <w:r w:rsidRPr="00887008">
              <w:rPr>
                <w:sz w:val="20"/>
                <w:szCs w:val="20"/>
                <w:vertAlign w:val="superscript"/>
              </w:rPr>
              <w:endnoteReference w:id="88"/>
            </w:r>
          </w:p>
        </w:tc>
      </w:tr>
      <w:tr w:rsidR="00DB576D" w:rsidRPr="00887008" w14:paraId="4ADADC53" w14:textId="77777777" w:rsidTr="00287713">
        <w:trPr>
          <w:trHeight w:val="720"/>
        </w:trPr>
        <w:tc>
          <w:tcPr>
            <w:tcW w:w="1296" w:type="dxa"/>
            <w:tcBorders>
              <w:top w:val="single" w:sz="4" w:space="0" w:color="auto"/>
              <w:bottom w:val="nil"/>
            </w:tcBorders>
            <w:vAlign w:val="center"/>
          </w:tcPr>
          <w:p w14:paraId="74801191" w14:textId="77777777" w:rsidR="00DB576D" w:rsidRPr="00887008" w:rsidRDefault="00DB576D" w:rsidP="00887008">
            <w:pPr>
              <w:spacing w:before="40"/>
              <w:jc w:val="left"/>
              <w:rPr>
                <w:sz w:val="20"/>
                <w:szCs w:val="20"/>
              </w:rPr>
            </w:pPr>
            <w:r w:rsidRPr="00887008">
              <w:rPr>
                <w:sz w:val="20"/>
                <w:szCs w:val="20"/>
                <w:lang w:val="de-DE"/>
              </w:rPr>
              <w:t>10/11/2019</w:t>
            </w:r>
          </w:p>
        </w:tc>
        <w:tc>
          <w:tcPr>
            <w:tcW w:w="720" w:type="dxa"/>
            <w:tcBorders>
              <w:top w:val="single" w:sz="4" w:space="0" w:color="auto"/>
              <w:bottom w:val="nil"/>
            </w:tcBorders>
            <w:vAlign w:val="center"/>
          </w:tcPr>
          <w:p w14:paraId="702ED405" w14:textId="77777777" w:rsidR="00DB576D" w:rsidRPr="00887008" w:rsidRDefault="00DB576D" w:rsidP="00887008">
            <w:pPr>
              <w:spacing w:before="40"/>
              <w:jc w:val="left"/>
              <w:rPr>
                <w:sz w:val="20"/>
                <w:szCs w:val="20"/>
              </w:rPr>
            </w:pPr>
            <w:r w:rsidRPr="00887008">
              <w:rPr>
                <w:sz w:val="20"/>
                <w:szCs w:val="20"/>
              </w:rPr>
              <w:t>3</w:t>
            </w:r>
          </w:p>
        </w:tc>
        <w:tc>
          <w:tcPr>
            <w:tcW w:w="5904" w:type="dxa"/>
            <w:tcBorders>
              <w:top w:val="single" w:sz="4" w:space="0" w:color="auto"/>
              <w:bottom w:val="nil"/>
            </w:tcBorders>
            <w:vAlign w:val="center"/>
          </w:tcPr>
          <w:p w14:paraId="4F88B6D5" w14:textId="77777777" w:rsidR="00DB576D" w:rsidRPr="00887008" w:rsidRDefault="00DB576D" w:rsidP="00887008">
            <w:pPr>
              <w:spacing w:before="40"/>
              <w:jc w:val="left"/>
              <w:rPr>
                <w:sz w:val="20"/>
                <w:szCs w:val="20"/>
              </w:rPr>
            </w:pPr>
            <w:r w:rsidRPr="00887008">
              <w:rPr>
                <w:sz w:val="20"/>
                <w:szCs w:val="20"/>
              </w:rPr>
              <w:t>President Trump announces that the U.S. and China have “come to a very substantial phase one trade deal,” and U.S. officials clarify that the U.S. will forgo tariffs scheduled to set in the following week.</w:t>
            </w:r>
            <w:r w:rsidRPr="00887008">
              <w:rPr>
                <w:sz w:val="20"/>
                <w:szCs w:val="20"/>
                <w:vertAlign w:val="superscript"/>
              </w:rPr>
              <w:endnoteReference w:id="89"/>
            </w:r>
          </w:p>
        </w:tc>
      </w:tr>
      <w:tr w:rsidR="00DB576D" w:rsidRPr="00887008" w14:paraId="2FA5F178" w14:textId="77777777" w:rsidTr="00287713">
        <w:trPr>
          <w:trHeight w:val="288"/>
        </w:trPr>
        <w:tc>
          <w:tcPr>
            <w:tcW w:w="1296" w:type="dxa"/>
            <w:tcBorders>
              <w:top w:val="nil"/>
              <w:bottom w:val="single" w:sz="4" w:space="0" w:color="auto"/>
            </w:tcBorders>
            <w:vAlign w:val="center"/>
          </w:tcPr>
          <w:p w14:paraId="494338EA" w14:textId="77777777" w:rsidR="00DB576D" w:rsidRPr="00887008" w:rsidRDefault="00DB576D" w:rsidP="00887008">
            <w:pPr>
              <w:spacing w:before="40"/>
              <w:jc w:val="left"/>
              <w:rPr>
                <w:sz w:val="20"/>
                <w:szCs w:val="20"/>
              </w:rPr>
            </w:pPr>
          </w:p>
        </w:tc>
        <w:tc>
          <w:tcPr>
            <w:tcW w:w="720" w:type="dxa"/>
            <w:tcBorders>
              <w:top w:val="nil"/>
              <w:bottom w:val="single" w:sz="4" w:space="0" w:color="auto"/>
            </w:tcBorders>
            <w:vAlign w:val="center"/>
          </w:tcPr>
          <w:p w14:paraId="32EB3DE7"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05B2990B" w14:textId="77777777" w:rsidR="00DB576D" w:rsidRPr="00887008" w:rsidRDefault="00DB576D" w:rsidP="00887008">
            <w:pPr>
              <w:spacing w:before="40"/>
              <w:jc w:val="left"/>
              <w:rPr>
                <w:sz w:val="20"/>
                <w:szCs w:val="20"/>
              </w:rPr>
            </w:pPr>
            <w:r w:rsidRPr="00887008">
              <w:rPr>
                <w:sz w:val="20"/>
                <w:szCs w:val="20"/>
              </w:rPr>
              <w:t>Trade negotiation progress cited as driving equity gains.</w:t>
            </w:r>
            <w:r w:rsidRPr="00887008">
              <w:rPr>
                <w:sz w:val="20"/>
                <w:szCs w:val="20"/>
                <w:vertAlign w:val="superscript"/>
              </w:rPr>
              <w:endnoteReference w:id="90"/>
            </w:r>
          </w:p>
        </w:tc>
      </w:tr>
      <w:tr w:rsidR="00DB576D" w:rsidRPr="00887008" w14:paraId="3680553E" w14:textId="77777777" w:rsidTr="00287713">
        <w:trPr>
          <w:trHeight w:val="288"/>
        </w:trPr>
        <w:tc>
          <w:tcPr>
            <w:tcW w:w="1296" w:type="dxa"/>
            <w:tcBorders>
              <w:top w:val="single" w:sz="4" w:space="0" w:color="auto"/>
              <w:bottom w:val="single" w:sz="4" w:space="0" w:color="auto"/>
            </w:tcBorders>
            <w:vAlign w:val="center"/>
          </w:tcPr>
          <w:p w14:paraId="0C2D6476" w14:textId="77777777" w:rsidR="00DB576D" w:rsidRPr="00887008" w:rsidRDefault="00DB576D" w:rsidP="00887008">
            <w:pPr>
              <w:spacing w:before="40"/>
              <w:jc w:val="left"/>
              <w:rPr>
                <w:sz w:val="20"/>
                <w:szCs w:val="20"/>
                <w:lang w:val="de-DE"/>
              </w:rPr>
            </w:pPr>
            <w:r w:rsidRPr="00887008">
              <w:rPr>
                <w:sz w:val="20"/>
                <w:szCs w:val="20"/>
              </w:rPr>
              <w:t>10/14/2019</w:t>
            </w:r>
          </w:p>
        </w:tc>
        <w:tc>
          <w:tcPr>
            <w:tcW w:w="720" w:type="dxa"/>
            <w:tcBorders>
              <w:top w:val="single" w:sz="4" w:space="0" w:color="auto"/>
              <w:bottom w:val="single" w:sz="4" w:space="0" w:color="auto"/>
            </w:tcBorders>
            <w:vAlign w:val="center"/>
          </w:tcPr>
          <w:p w14:paraId="4473AA81" w14:textId="77777777" w:rsidR="00DB576D" w:rsidRPr="00887008" w:rsidRDefault="00DB576D" w:rsidP="00887008">
            <w:pPr>
              <w:spacing w:before="40"/>
              <w:jc w:val="left"/>
              <w:rPr>
                <w:sz w:val="20"/>
                <w:szCs w:val="20"/>
              </w:rPr>
            </w:pPr>
            <w:r w:rsidRPr="00887008">
              <w:rPr>
                <w:sz w:val="20"/>
                <w:szCs w:val="20"/>
              </w:rPr>
              <w:t>4</w:t>
            </w:r>
          </w:p>
        </w:tc>
        <w:tc>
          <w:tcPr>
            <w:tcW w:w="5904" w:type="dxa"/>
            <w:tcBorders>
              <w:top w:val="single" w:sz="4" w:space="0" w:color="auto"/>
              <w:bottom w:val="single" w:sz="4" w:space="0" w:color="auto"/>
            </w:tcBorders>
            <w:vAlign w:val="center"/>
          </w:tcPr>
          <w:p w14:paraId="2460F413" w14:textId="77777777" w:rsidR="00DB576D" w:rsidRPr="00887008" w:rsidRDefault="00DB576D" w:rsidP="00887008">
            <w:pPr>
              <w:spacing w:before="40"/>
              <w:jc w:val="left"/>
              <w:rPr>
                <w:sz w:val="20"/>
                <w:szCs w:val="20"/>
              </w:rPr>
            </w:pPr>
            <w:r w:rsidRPr="00887008">
              <w:rPr>
                <w:sz w:val="20"/>
                <w:szCs w:val="20"/>
              </w:rPr>
              <w:t>Lighter trading than normal due to Columbus Day.</w:t>
            </w:r>
            <w:r w:rsidRPr="00887008">
              <w:rPr>
                <w:sz w:val="20"/>
                <w:szCs w:val="20"/>
                <w:vertAlign w:val="superscript"/>
              </w:rPr>
              <w:endnoteReference w:id="91"/>
            </w:r>
          </w:p>
        </w:tc>
      </w:tr>
      <w:tr w:rsidR="00DB576D" w:rsidRPr="00887008" w14:paraId="44339E4E" w14:textId="77777777" w:rsidTr="00287713">
        <w:trPr>
          <w:trHeight w:val="288"/>
        </w:trPr>
        <w:tc>
          <w:tcPr>
            <w:tcW w:w="1296" w:type="dxa"/>
            <w:tcBorders>
              <w:top w:val="single" w:sz="4" w:space="0" w:color="auto"/>
              <w:bottom w:val="nil"/>
            </w:tcBorders>
          </w:tcPr>
          <w:p w14:paraId="74530B47" w14:textId="77777777" w:rsidR="00DB576D" w:rsidRPr="00887008" w:rsidRDefault="00DB576D" w:rsidP="00887008">
            <w:pPr>
              <w:spacing w:before="40"/>
              <w:jc w:val="left"/>
              <w:rPr>
                <w:sz w:val="20"/>
                <w:szCs w:val="20"/>
                <w:lang w:val="de-DE"/>
              </w:rPr>
            </w:pPr>
            <w:r w:rsidRPr="00887008">
              <w:rPr>
                <w:sz w:val="20"/>
                <w:szCs w:val="20"/>
              </w:rPr>
              <w:t>10/15/2019</w:t>
            </w:r>
          </w:p>
        </w:tc>
        <w:tc>
          <w:tcPr>
            <w:tcW w:w="720" w:type="dxa"/>
            <w:tcBorders>
              <w:top w:val="single" w:sz="4" w:space="0" w:color="auto"/>
              <w:bottom w:val="nil"/>
            </w:tcBorders>
            <w:vAlign w:val="center"/>
          </w:tcPr>
          <w:p w14:paraId="30E4A83E" w14:textId="77777777" w:rsidR="00DB576D" w:rsidRPr="00887008" w:rsidRDefault="00DB576D" w:rsidP="00887008">
            <w:pPr>
              <w:spacing w:before="40"/>
              <w:jc w:val="left"/>
              <w:rPr>
                <w:sz w:val="20"/>
                <w:szCs w:val="20"/>
              </w:rPr>
            </w:pPr>
            <w:r w:rsidRPr="00887008">
              <w:rPr>
                <w:sz w:val="20"/>
                <w:szCs w:val="20"/>
              </w:rPr>
              <w:t>5</w:t>
            </w:r>
          </w:p>
        </w:tc>
        <w:tc>
          <w:tcPr>
            <w:tcW w:w="5904" w:type="dxa"/>
            <w:tcBorders>
              <w:top w:val="single" w:sz="4" w:space="0" w:color="auto"/>
              <w:bottom w:val="nil"/>
            </w:tcBorders>
            <w:vAlign w:val="center"/>
          </w:tcPr>
          <w:p w14:paraId="4F171955" w14:textId="77777777" w:rsidR="00DB576D" w:rsidRPr="00887008" w:rsidRDefault="00DB576D" w:rsidP="00887008">
            <w:pPr>
              <w:spacing w:before="40"/>
              <w:jc w:val="left"/>
              <w:rPr>
                <w:sz w:val="20"/>
                <w:szCs w:val="20"/>
              </w:rPr>
            </w:pPr>
            <w:r w:rsidRPr="00887008">
              <w:rPr>
                <w:sz w:val="20"/>
                <w:szCs w:val="20"/>
              </w:rPr>
              <w:t>Consumer inflation up in China.</w:t>
            </w:r>
            <w:r w:rsidRPr="00887008">
              <w:rPr>
                <w:sz w:val="20"/>
                <w:szCs w:val="20"/>
                <w:vertAlign w:val="superscript"/>
              </w:rPr>
              <w:endnoteReference w:id="92"/>
            </w:r>
          </w:p>
        </w:tc>
      </w:tr>
      <w:tr w:rsidR="00DB576D" w:rsidRPr="00887008" w14:paraId="0923F0DF" w14:textId="77777777" w:rsidTr="00287713">
        <w:trPr>
          <w:trHeight w:val="432"/>
        </w:trPr>
        <w:tc>
          <w:tcPr>
            <w:tcW w:w="1296" w:type="dxa"/>
            <w:tcBorders>
              <w:top w:val="nil"/>
              <w:bottom w:val="single" w:sz="4" w:space="0" w:color="auto"/>
            </w:tcBorders>
          </w:tcPr>
          <w:p w14:paraId="0B4CFAAB" w14:textId="77777777" w:rsidR="00DB576D" w:rsidRPr="00887008" w:rsidRDefault="00DB576D" w:rsidP="00887008">
            <w:pPr>
              <w:spacing w:before="40"/>
              <w:jc w:val="left"/>
              <w:rPr>
                <w:sz w:val="20"/>
                <w:szCs w:val="20"/>
              </w:rPr>
            </w:pPr>
          </w:p>
        </w:tc>
        <w:tc>
          <w:tcPr>
            <w:tcW w:w="720" w:type="dxa"/>
            <w:tcBorders>
              <w:top w:val="nil"/>
              <w:bottom w:val="single" w:sz="4" w:space="0" w:color="auto"/>
            </w:tcBorders>
            <w:vAlign w:val="center"/>
          </w:tcPr>
          <w:p w14:paraId="23392DEA" w14:textId="77777777" w:rsidR="00DB576D" w:rsidRPr="00887008" w:rsidRDefault="00DB576D" w:rsidP="00887008">
            <w:pPr>
              <w:spacing w:before="40"/>
              <w:jc w:val="left"/>
              <w:rPr>
                <w:sz w:val="20"/>
                <w:szCs w:val="20"/>
              </w:rPr>
            </w:pPr>
          </w:p>
        </w:tc>
        <w:tc>
          <w:tcPr>
            <w:tcW w:w="5904" w:type="dxa"/>
            <w:tcBorders>
              <w:top w:val="nil"/>
              <w:bottom w:val="single" w:sz="4" w:space="0" w:color="auto"/>
            </w:tcBorders>
            <w:vAlign w:val="center"/>
          </w:tcPr>
          <w:p w14:paraId="63A341E6" w14:textId="77777777" w:rsidR="00DB576D" w:rsidRPr="00887008" w:rsidRDefault="00DB576D" w:rsidP="00887008">
            <w:pPr>
              <w:spacing w:before="40"/>
              <w:jc w:val="left"/>
              <w:rPr>
                <w:sz w:val="20"/>
                <w:szCs w:val="20"/>
              </w:rPr>
            </w:pPr>
            <w:r w:rsidRPr="00887008">
              <w:rPr>
                <w:sz w:val="20"/>
                <w:szCs w:val="20"/>
              </w:rPr>
              <w:t>Secretary Mnuchin warns tariffs could go up on China in December if a deal is not reached, but he expects a deal before then.</w:t>
            </w:r>
            <w:r w:rsidRPr="00887008">
              <w:rPr>
                <w:sz w:val="20"/>
                <w:szCs w:val="20"/>
                <w:vertAlign w:val="superscript"/>
              </w:rPr>
              <w:endnoteReference w:id="93"/>
            </w:r>
          </w:p>
        </w:tc>
      </w:tr>
    </w:tbl>
    <w:p w14:paraId="42DC4618" w14:textId="77777777" w:rsidR="00DB576D" w:rsidRPr="00714695" w:rsidRDefault="00DB576D" w:rsidP="00DB576D">
      <w:pPr>
        <w:pStyle w:val="Heading3"/>
        <w:spacing w:before="360"/>
      </w:pPr>
      <w:r w:rsidRPr="00714695">
        <w:t xml:space="preserve">Sanctions </w:t>
      </w:r>
      <w:r>
        <w:t>N</w:t>
      </w:r>
      <w:r w:rsidRPr="00714695">
        <w:t xml:space="preserve">ews </w:t>
      </w:r>
      <w:r>
        <w:t>A</w:t>
      </w:r>
      <w:r w:rsidRPr="00714695">
        <w:t xml:space="preserve">round the </w:t>
      </w:r>
      <w:r>
        <w:t>E</w:t>
      </w:r>
      <w:r w:rsidRPr="00714695">
        <w:t xml:space="preserve">vent </w:t>
      </w:r>
      <w:r>
        <w:t>D</w:t>
      </w:r>
      <w:r w:rsidRPr="00714695">
        <w:t xml:space="preserve">ate </w:t>
      </w:r>
    </w:p>
    <w:p w14:paraId="1779F192" w14:textId="1977F6CE" w:rsidR="00DB576D" w:rsidRPr="00714695" w:rsidRDefault="00DB576D" w:rsidP="00DB576D">
      <w:r w:rsidRPr="00714695">
        <w:t xml:space="preserve">Table </w:t>
      </w:r>
      <w:r w:rsidR="00A9615B">
        <w:t>A</w:t>
      </w:r>
      <w:r w:rsidR="00412AC9">
        <w:t>7</w:t>
      </w:r>
      <w:r w:rsidRPr="00714695">
        <w:t xml:space="preserve"> catalogues the number of search hits on Nexis Uni for English language news publications in the United States for the following general string: “sanctioned firm name” AND “entity” OR “blacklist” OR “sanction” OR “export.”</w:t>
      </w:r>
      <w:r w:rsidRPr="00714695">
        <w:rPr>
          <w:vertAlign w:val="superscript"/>
        </w:rPr>
        <w:footnoteReference w:id="2"/>
      </w:r>
      <w:r w:rsidRPr="00714695">
        <w:t xml:space="preserve"> The search string is meant to capture a range of different references that could have been made to the impending Entity List events in the news. </w:t>
      </w:r>
    </w:p>
    <w:p w14:paraId="3C352244" w14:textId="704C255D" w:rsidR="00DB576D" w:rsidRPr="00770501" w:rsidRDefault="0018274E" w:rsidP="0018274E">
      <w:pPr>
        <w:pStyle w:val="Caption"/>
        <w:rPr>
          <w:b w:val="0"/>
          <w:iCs w:val="0"/>
          <w:szCs w:val="24"/>
        </w:rPr>
      </w:pPr>
      <w:r>
        <w:t xml:space="preserve">Table </w:t>
      </w:r>
      <w:r w:rsidR="0002383E">
        <w:t>A</w:t>
      </w:r>
      <w:r w:rsidR="00F839C8">
        <w:fldChar w:fldCharType="begin"/>
      </w:r>
      <w:r w:rsidR="00F839C8">
        <w:instrText xml:space="preserve"> SEQ Table \*</w:instrText>
      </w:r>
      <w:r w:rsidR="00F839C8">
        <w:instrText xml:space="preserve"> ARABIC </w:instrText>
      </w:r>
      <w:r w:rsidR="00F839C8">
        <w:fldChar w:fldCharType="separate"/>
      </w:r>
      <w:r w:rsidR="00F25795">
        <w:rPr>
          <w:noProof/>
        </w:rPr>
        <w:t>7</w:t>
      </w:r>
      <w:r w:rsidR="00F839C8">
        <w:rPr>
          <w:noProof/>
        </w:rPr>
        <w:fldChar w:fldCharType="end"/>
      </w:r>
      <w:r w:rsidR="00DB576D" w:rsidRPr="00770501">
        <w:rPr>
          <w:b w:val="0"/>
          <w:iCs w:val="0"/>
          <w:szCs w:val="24"/>
        </w:rPr>
        <w:t xml:space="preserve">: </w:t>
      </w:r>
      <w:r w:rsidR="00DB576D" w:rsidRPr="0018274E">
        <w:t>Number of Nexis Uni search hits for Entity List events</w:t>
      </w:r>
    </w:p>
    <w:tbl>
      <w:tblPr>
        <w:tblStyle w:val="TableGrid7"/>
        <w:tblW w:w="7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008"/>
        <w:gridCol w:w="1263"/>
        <w:gridCol w:w="1008"/>
        <w:gridCol w:w="1263"/>
        <w:gridCol w:w="864"/>
        <w:gridCol w:w="1144"/>
      </w:tblGrid>
      <w:tr w:rsidR="00CF760B" w:rsidRPr="00887008" w14:paraId="6BC65FDF" w14:textId="77777777" w:rsidTr="004560ED">
        <w:tc>
          <w:tcPr>
            <w:tcW w:w="1296" w:type="dxa"/>
            <w:tcBorders>
              <w:top w:val="single" w:sz="4" w:space="0" w:color="auto"/>
              <w:bottom w:val="single" w:sz="4" w:space="0" w:color="auto"/>
            </w:tcBorders>
            <w:vAlign w:val="center"/>
          </w:tcPr>
          <w:p w14:paraId="2DF5EABE" w14:textId="77777777" w:rsidR="00CF760B" w:rsidRPr="00887008" w:rsidRDefault="00CF760B" w:rsidP="00887008">
            <w:pPr>
              <w:spacing w:before="40"/>
              <w:jc w:val="center"/>
              <w:rPr>
                <w:b/>
                <w:bCs/>
                <w:sz w:val="20"/>
                <w:szCs w:val="20"/>
              </w:rPr>
            </w:pPr>
          </w:p>
        </w:tc>
        <w:tc>
          <w:tcPr>
            <w:tcW w:w="2271" w:type="dxa"/>
            <w:gridSpan w:val="2"/>
            <w:tcBorders>
              <w:top w:val="single" w:sz="4" w:space="0" w:color="auto"/>
              <w:bottom w:val="single" w:sz="4" w:space="0" w:color="auto"/>
            </w:tcBorders>
            <w:vAlign w:val="center"/>
          </w:tcPr>
          <w:p w14:paraId="50680B2E" w14:textId="68B5B279" w:rsidR="00CF760B" w:rsidRPr="00CF760B" w:rsidRDefault="00CF760B" w:rsidP="00887008">
            <w:pPr>
              <w:spacing w:before="40"/>
              <w:jc w:val="center"/>
              <w:rPr>
                <w:b/>
                <w:bCs/>
                <w:sz w:val="20"/>
                <w:szCs w:val="20"/>
              </w:rPr>
            </w:pPr>
            <w:r w:rsidRPr="00CF760B">
              <w:rPr>
                <w:b/>
                <w:bCs/>
                <w:sz w:val="20"/>
                <w:szCs w:val="20"/>
              </w:rPr>
              <w:t>ZTE</w:t>
            </w:r>
          </w:p>
        </w:tc>
        <w:tc>
          <w:tcPr>
            <w:tcW w:w="2271" w:type="dxa"/>
            <w:gridSpan w:val="2"/>
            <w:tcBorders>
              <w:top w:val="single" w:sz="4" w:space="0" w:color="auto"/>
              <w:bottom w:val="single" w:sz="4" w:space="0" w:color="auto"/>
            </w:tcBorders>
            <w:vAlign w:val="center"/>
          </w:tcPr>
          <w:p w14:paraId="057FC557" w14:textId="3DF822EB" w:rsidR="00CF760B" w:rsidRPr="00CF760B" w:rsidRDefault="00CF760B" w:rsidP="00887008">
            <w:pPr>
              <w:spacing w:before="40"/>
              <w:jc w:val="center"/>
              <w:rPr>
                <w:b/>
                <w:bCs/>
                <w:sz w:val="20"/>
                <w:szCs w:val="20"/>
              </w:rPr>
            </w:pPr>
            <w:r w:rsidRPr="00CF760B">
              <w:rPr>
                <w:b/>
                <w:bCs/>
                <w:sz w:val="20"/>
                <w:szCs w:val="20"/>
              </w:rPr>
              <w:t>Huawei</w:t>
            </w:r>
          </w:p>
        </w:tc>
        <w:tc>
          <w:tcPr>
            <w:tcW w:w="2008" w:type="dxa"/>
            <w:gridSpan w:val="2"/>
            <w:tcBorders>
              <w:top w:val="single" w:sz="4" w:space="0" w:color="auto"/>
              <w:bottom w:val="single" w:sz="4" w:space="0" w:color="auto"/>
            </w:tcBorders>
            <w:vAlign w:val="center"/>
          </w:tcPr>
          <w:p w14:paraId="6540388D" w14:textId="57C6A835" w:rsidR="00CF760B" w:rsidRPr="00CF760B" w:rsidRDefault="00CF760B" w:rsidP="00887008">
            <w:pPr>
              <w:spacing w:before="40"/>
              <w:jc w:val="center"/>
              <w:rPr>
                <w:b/>
                <w:bCs/>
                <w:sz w:val="20"/>
                <w:szCs w:val="20"/>
              </w:rPr>
            </w:pPr>
            <w:r w:rsidRPr="00CF760B">
              <w:rPr>
                <w:b/>
                <w:bCs/>
                <w:sz w:val="20"/>
                <w:szCs w:val="20"/>
              </w:rPr>
              <w:t>Surveillance</w:t>
            </w:r>
          </w:p>
        </w:tc>
      </w:tr>
      <w:tr w:rsidR="00DB576D" w:rsidRPr="00887008" w14:paraId="20CAE386" w14:textId="77777777" w:rsidTr="00CF760B">
        <w:tc>
          <w:tcPr>
            <w:tcW w:w="1296" w:type="dxa"/>
            <w:tcBorders>
              <w:top w:val="single" w:sz="4" w:space="0" w:color="auto"/>
              <w:bottom w:val="single" w:sz="4" w:space="0" w:color="auto"/>
            </w:tcBorders>
            <w:vAlign w:val="center"/>
          </w:tcPr>
          <w:p w14:paraId="20A4EF8E" w14:textId="77777777" w:rsidR="00DB576D" w:rsidRPr="00887008" w:rsidRDefault="00DB576D" w:rsidP="00887008">
            <w:pPr>
              <w:spacing w:before="40"/>
              <w:jc w:val="center"/>
              <w:rPr>
                <w:b/>
                <w:bCs/>
                <w:sz w:val="20"/>
                <w:szCs w:val="20"/>
              </w:rPr>
            </w:pPr>
            <w:r w:rsidRPr="00887008">
              <w:rPr>
                <w:b/>
                <w:bCs/>
                <w:sz w:val="20"/>
                <w:szCs w:val="20"/>
              </w:rPr>
              <w:t>t</w:t>
            </w:r>
          </w:p>
        </w:tc>
        <w:tc>
          <w:tcPr>
            <w:tcW w:w="1008" w:type="dxa"/>
            <w:tcBorders>
              <w:top w:val="single" w:sz="4" w:space="0" w:color="auto"/>
              <w:bottom w:val="single" w:sz="4" w:space="0" w:color="auto"/>
            </w:tcBorders>
            <w:vAlign w:val="center"/>
          </w:tcPr>
          <w:p w14:paraId="7286D45A" w14:textId="77777777" w:rsidR="00DB576D" w:rsidRPr="00887008" w:rsidRDefault="00DB576D" w:rsidP="00887008">
            <w:pPr>
              <w:spacing w:before="40"/>
              <w:jc w:val="center"/>
              <w:rPr>
                <w:i/>
                <w:iCs/>
                <w:sz w:val="20"/>
                <w:szCs w:val="20"/>
              </w:rPr>
            </w:pPr>
            <w:r w:rsidRPr="00887008">
              <w:rPr>
                <w:i/>
                <w:iCs/>
                <w:sz w:val="20"/>
                <w:szCs w:val="20"/>
              </w:rPr>
              <w:t>Raw</w:t>
            </w:r>
          </w:p>
        </w:tc>
        <w:tc>
          <w:tcPr>
            <w:tcW w:w="1263" w:type="dxa"/>
            <w:tcBorders>
              <w:top w:val="single" w:sz="4" w:space="0" w:color="auto"/>
              <w:bottom w:val="single" w:sz="4" w:space="0" w:color="auto"/>
            </w:tcBorders>
            <w:vAlign w:val="center"/>
          </w:tcPr>
          <w:p w14:paraId="398D829F" w14:textId="77777777" w:rsidR="00DB576D" w:rsidRPr="00887008" w:rsidRDefault="00DB576D" w:rsidP="00887008">
            <w:pPr>
              <w:spacing w:before="40"/>
              <w:jc w:val="center"/>
              <w:rPr>
                <w:i/>
                <w:iCs/>
                <w:sz w:val="20"/>
                <w:szCs w:val="20"/>
              </w:rPr>
            </w:pPr>
            <w:r w:rsidRPr="00887008">
              <w:rPr>
                <w:i/>
                <w:iCs/>
                <w:sz w:val="20"/>
                <w:szCs w:val="20"/>
              </w:rPr>
              <w:t>Adjusted</w:t>
            </w:r>
          </w:p>
        </w:tc>
        <w:tc>
          <w:tcPr>
            <w:tcW w:w="1008" w:type="dxa"/>
            <w:tcBorders>
              <w:top w:val="single" w:sz="4" w:space="0" w:color="auto"/>
              <w:bottom w:val="single" w:sz="4" w:space="0" w:color="auto"/>
            </w:tcBorders>
            <w:vAlign w:val="center"/>
          </w:tcPr>
          <w:p w14:paraId="04D8E668" w14:textId="77777777" w:rsidR="00DB576D" w:rsidRPr="00887008" w:rsidRDefault="00DB576D" w:rsidP="00887008">
            <w:pPr>
              <w:spacing w:before="40"/>
              <w:jc w:val="center"/>
              <w:rPr>
                <w:i/>
                <w:iCs/>
                <w:sz w:val="20"/>
                <w:szCs w:val="20"/>
              </w:rPr>
            </w:pPr>
            <w:r w:rsidRPr="00887008">
              <w:rPr>
                <w:i/>
                <w:iCs/>
                <w:sz w:val="20"/>
                <w:szCs w:val="20"/>
              </w:rPr>
              <w:t>Raw</w:t>
            </w:r>
          </w:p>
        </w:tc>
        <w:tc>
          <w:tcPr>
            <w:tcW w:w="1263" w:type="dxa"/>
            <w:tcBorders>
              <w:top w:val="single" w:sz="4" w:space="0" w:color="auto"/>
              <w:bottom w:val="single" w:sz="4" w:space="0" w:color="auto"/>
            </w:tcBorders>
            <w:vAlign w:val="center"/>
          </w:tcPr>
          <w:p w14:paraId="100BD2B1" w14:textId="77777777" w:rsidR="00DB576D" w:rsidRPr="00887008" w:rsidRDefault="00DB576D" w:rsidP="00887008">
            <w:pPr>
              <w:spacing w:before="40"/>
              <w:jc w:val="center"/>
              <w:rPr>
                <w:i/>
                <w:iCs/>
                <w:sz w:val="20"/>
                <w:szCs w:val="20"/>
              </w:rPr>
            </w:pPr>
            <w:r w:rsidRPr="00887008">
              <w:rPr>
                <w:i/>
                <w:iCs/>
                <w:sz w:val="20"/>
                <w:szCs w:val="20"/>
              </w:rPr>
              <w:t>Adjusted</w:t>
            </w:r>
          </w:p>
        </w:tc>
        <w:tc>
          <w:tcPr>
            <w:tcW w:w="864" w:type="dxa"/>
            <w:tcBorders>
              <w:top w:val="single" w:sz="4" w:space="0" w:color="auto"/>
              <w:bottom w:val="single" w:sz="4" w:space="0" w:color="auto"/>
            </w:tcBorders>
            <w:vAlign w:val="center"/>
          </w:tcPr>
          <w:p w14:paraId="309E788A" w14:textId="77777777" w:rsidR="00DB576D" w:rsidRPr="00887008" w:rsidRDefault="00DB576D" w:rsidP="00887008">
            <w:pPr>
              <w:spacing w:before="40"/>
              <w:jc w:val="center"/>
              <w:rPr>
                <w:i/>
                <w:iCs/>
                <w:sz w:val="20"/>
                <w:szCs w:val="20"/>
              </w:rPr>
            </w:pPr>
            <w:r w:rsidRPr="00887008">
              <w:rPr>
                <w:i/>
                <w:iCs/>
                <w:sz w:val="20"/>
                <w:szCs w:val="20"/>
              </w:rPr>
              <w:t>Raw</w:t>
            </w:r>
          </w:p>
        </w:tc>
        <w:tc>
          <w:tcPr>
            <w:tcW w:w="1144" w:type="dxa"/>
            <w:tcBorders>
              <w:top w:val="single" w:sz="4" w:space="0" w:color="auto"/>
              <w:bottom w:val="single" w:sz="4" w:space="0" w:color="auto"/>
            </w:tcBorders>
            <w:vAlign w:val="center"/>
          </w:tcPr>
          <w:p w14:paraId="4A830E5D" w14:textId="77777777" w:rsidR="00DB576D" w:rsidRPr="00887008" w:rsidRDefault="00DB576D" w:rsidP="00887008">
            <w:pPr>
              <w:spacing w:before="40"/>
              <w:jc w:val="center"/>
              <w:rPr>
                <w:i/>
                <w:iCs/>
                <w:sz w:val="20"/>
                <w:szCs w:val="20"/>
              </w:rPr>
            </w:pPr>
            <w:r w:rsidRPr="00887008">
              <w:rPr>
                <w:i/>
                <w:iCs/>
                <w:sz w:val="20"/>
                <w:szCs w:val="20"/>
              </w:rPr>
              <w:t>Adjusted</w:t>
            </w:r>
          </w:p>
        </w:tc>
      </w:tr>
      <w:tr w:rsidR="00DB576D" w:rsidRPr="00887008" w14:paraId="4F1B65BD" w14:textId="77777777" w:rsidTr="00CF760B">
        <w:tc>
          <w:tcPr>
            <w:tcW w:w="1296" w:type="dxa"/>
            <w:tcBorders>
              <w:top w:val="single" w:sz="4" w:space="0" w:color="auto"/>
            </w:tcBorders>
            <w:vAlign w:val="center"/>
          </w:tcPr>
          <w:p w14:paraId="22874813" w14:textId="77777777" w:rsidR="00DB576D" w:rsidRPr="00887008" w:rsidRDefault="00DB576D" w:rsidP="00887008">
            <w:pPr>
              <w:spacing w:before="40"/>
              <w:jc w:val="center"/>
              <w:rPr>
                <w:sz w:val="20"/>
                <w:szCs w:val="20"/>
              </w:rPr>
            </w:pPr>
            <w:r w:rsidRPr="00887008">
              <w:rPr>
                <w:sz w:val="20"/>
                <w:szCs w:val="20"/>
              </w:rPr>
              <w:t>-5</w:t>
            </w:r>
          </w:p>
        </w:tc>
        <w:tc>
          <w:tcPr>
            <w:tcW w:w="1008" w:type="dxa"/>
            <w:tcBorders>
              <w:top w:val="single" w:sz="4" w:space="0" w:color="auto"/>
            </w:tcBorders>
            <w:vAlign w:val="center"/>
          </w:tcPr>
          <w:p w14:paraId="3AE4C3D0" w14:textId="77777777" w:rsidR="00DB576D" w:rsidRPr="00887008" w:rsidRDefault="00DB576D" w:rsidP="00887008">
            <w:pPr>
              <w:spacing w:before="40"/>
              <w:jc w:val="center"/>
              <w:rPr>
                <w:sz w:val="20"/>
                <w:szCs w:val="20"/>
              </w:rPr>
            </w:pPr>
            <w:r w:rsidRPr="00887008">
              <w:rPr>
                <w:sz w:val="20"/>
                <w:szCs w:val="20"/>
              </w:rPr>
              <w:t>1</w:t>
            </w:r>
          </w:p>
        </w:tc>
        <w:tc>
          <w:tcPr>
            <w:tcW w:w="1263" w:type="dxa"/>
            <w:tcBorders>
              <w:top w:val="single" w:sz="4" w:space="0" w:color="auto"/>
            </w:tcBorders>
            <w:vAlign w:val="center"/>
          </w:tcPr>
          <w:p w14:paraId="7538E444" w14:textId="77777777" w:rsidR="00DB576D" w:rsidRPr="00887008" w:rsidRDefault="00DB576D" w:rsidP="00887008">
            <w:pPr>
              <w:spacing w:before="40"/>
              <w:jc w:val="center"/>
              <w:rPr>
                <w:sz w:val="20"/>
                <w:szCs w:val="20"/>
              </w:rPr>
            </w:pPr>
            <w:r w:rsidRPr="00887008">
              <w:rPr>
                <w:sz w:val="20"/>
                <w:szCs w:val="20"/>
              </w:rPr>
              <w:t>0</w:t>
            </w:r>
          </w:p>
        </w:tc>
        <w:tc>
          <w:tcPr>
            <w:tcW w:w="1008" w:type="dxa"/>
            <w:tcBorders>
              <w:top w:val="single" w:sz="4" w:space="0" w:color="auto"/>
            </w:tcBorders>
            <w:vAlign w:val="center"/>
          </w:tcPr>
          <w:p w14:paraId="2299FF83" w14:textId="77777777" w:rsidR="00DB576D" w:rsidRPr="00887008" w:rsidRDefault="00DB576D" w:rsidP="00887008">
            <w:pPr>
              <w:spacing w:before="40"/>
              <w:jc w:val="center"/>
              <w:rPr>
                <w:sz w:val="20"/>
                <w:szCs w:val="20"/>
              </w:rPr>
            </w:pPr>
            <w:r w:rsidRPr="00887008">
              <w:rPr>
                <w:sz w:val="20"/>
                <w:szCs w:val="20"/>
              </w:rPr>
              <w:t>10</w:t>
            </w:r>
          </w:p>
        </w:tc>
        <w:tc>
          <w:tcPr>
            <w:tcW w:w="1263" w:type="dxa"/>
            <w:tcBorders>
              <w:top w:val="single" w:sz="4" w:space="0" w:color="auto"/>
            </w:tcBorders>
            <w:vAlign w:val="center"/>
          </w:tcPr>
          <w:p w14:paraId="08EC1358" w14:textId="77777777" w:rsidR="00DB576D" w:rsidRPr="00887008" w:rsidRDefault="00DB576D" w:rsidP="00887008">
            <w:pPr>
              <w:spacing w:before="40"/>
              <w:jc w:val="center"/>
              <w:rPr>
                <w:sz w:val="20"/>
                <w:szCs w:val="20"/>
              </w:rPr>
            </w:pPr>
            <w:r w:rsidRPr="00887008">
              <w:rPr>
                <w:sz w:val="20"/>
                <w:szCs w:val="20"/>
              </w:rPr>
              <w:t>0</w:t>
            </w:r>
          </w:p>
        </w:tc>
        <w:tc>
          <w:tcPr>
            <w:tcW w:w="864" w:type="dxa"/>
            <w:tcBorders>
              <w:top w:val="single" w:sz="4" w:space="0" w:color="auto"/>
            </w:tcBorders>
            <w:vAlign w:val="center"/>
          </w:tcPr>
          <w:p w14:paraId="63AEC6C5" w14:textId="77777777" w:rsidR="00DB576D" w:rsidRPr="00887008" w:rsidRDefault="00DB576D" w:rsidP="00887008">
            <w:pPr>
              <w:spacing w:before="40"/>
              <w:jc w:val="center"/>
              <w:rPr>
                <w:sz w:val="20"/>
                <w:szCs w:val="20"/>
              </w:rPr>
            </w:pPr>
            <w:r w:rsidRPr="00887008">
              <w:rPr>
                <w:sz w:val="20"/>
                <w:szCs w:val="20"/>
              </w:rPr>
              <w:t>3</w:t>
            </w:r>
          </w:p>
        </w:tc>
        <w:tc>
          <w:tcPr>
            <w:tcW w:w="1144" w:type="dxa"/>
            <w:tcBorders>
              <w:top w:val="single" w:sz="4" w:space="0" w:color="auto"/>
            </w:tcBorders>
            <w:vAlign w:val="center"/>
          </w:tcPr>
          <w:p w14:paraId="430C6F6C" w14:textId="77777777" w:rsidR="00DB576D" w:rsidRPr="00887008" w:rsidRDefault="00DB576D" w:rsidP="00887008">
            <w:pPr>
              <w:spacing w:before="40"/>
              <w:jc w:val="center"/>
              <w:rPr>
                <w:sz w:val="20"/>
                <w:szCs w:val="20"/>
              </w:rPr>
            </w:pPr>
            <w:r w:rsidRPr="00887008">
              <w:rPr>
                <w:sz w:val="20"/>
                <w:szCs w:val="20"/>
              </w:rPr>
              <w:t>0</w:t>
            </w:r>
          </w:p>
        </w:tc>
      </w:tr>
      <w:tr w:rsidR="00DB576D" w:rsidRPr="00887008" w14:paraId="5A5A804B" w14:textId="77777777" w:rsidTr="00CF760B">
        <w:tc>
          <w:tcPr>
            <w:tcW w:w="1296" w:type="dxa"/>
            <w:vAlign w:val="center"/>
          </w:tcPr>
          <w:p w14:paraId="691AE5E4" w14:textId="77777777" w:rsidR="00DB576D" w:rsidRPr="00887008" w:rsidRDefault="00DB576D" w:rsidP="00887008">
            <w:pPr>
              <w:spacing w:before="40"/>
              <w:jc w:val="center"/>
              <w:rPr>
                <w:sz w:val="20"/>
                <w:szCs w:val="20"/>
              </w:rPr>
            </w:pPr>
            <w:r w:rsidRPr="00887008">
              <w:rPr>
                <w:sz w:val="20"/>
                <w:szCs w:val="20"/>
              </w:rPr>
              <w:t>-4</w:t>
            </w:r>
          </w:p>
        </w:tc>
        <w:tc>
          <w:tcPr>
            <w:tcW w:w="1008" w:type="dxa"/>
            <w:vAlign w:val="center"/>
          </w:tcPr>
          <w:p w14:paraId="47F23AB0" w14:textId="77777777" w:rsidR="00DB576D" w:rsidRPr="00887008" w:rsidRDefault="00DB576D" w:rsidP="00887008">
            <w:pPr>
              <w:spacing w:before="40"/>
              <w:jc w:val="center"/>
              <w:rPr>
                <w:sz w:val="20"/>
                <w:szCs w:val="20"/>
              </w:rPr>
            </w:pPr>
            <w:r w:rsidRPr="00887008">
              <w:rPr>
                <w:sz w:val="20"/>
                <w:szCs w:val="20"/>
              </w:rPr>
              <w:t>0</w:t>
            </w:r>
          </w:p>
        </w:tc>
        <w:tc>
          <w:tcPr>
            <w:tcW w:w="1263" w:type="dxa"/>
            <w:vAlign w:val="center"/>
          </w:tcPr>
          <w:p w14:paraId="32C24A21" w14:textId="77777777" w:rsidR="00DB576D" w:rsidRPr="00887008" w:rsidRDefault="00DB576D" w:rsidP="00887008">
            <w:pPr>
              <w:spacing w:before="40"/>
              <w:jc w:val="center"/>
              <w:rPr>
                <w:sz w:val="20"/>
                <w:szCs w:val="20"/>
              </w:rPr>
            </w:pPr>
            <w:r w:rsidRPr="00887008">
              <w:rPr>
                <w:sz w:val="20"/>
                <w:szCs w:val="20"/>
              </w:rPr>
              <w:t>0</w:t>
            </w:r>
          </w:p>
        </w:tc>
        <w:tc>
          <w:tcPr>
            <w:tcW w:w="1008" w:type="dxa"/>
            <w:vAlign w:val="center"/>
          </w:tcPr>
          <w:p w14:paraId="62A2A5CF" w14:textId="77777777" w:rsidR="00DB576D" w:rsidRPr="00887008" w:rsidRDefault="00DB576D" w:rsidP="00887008">
            <w:pPr>
              <w:spacing w:before="40"/>
              <w:jc w:val="center"/>
              <w:rPr>
                <w:sz w:val="20"/>
                <w:szCs w:val="20"/>
              </w:rPr>
            </w:pPr>
            <w:r w:rsidRPr="00887008">
              <w:rPr>
                <w:sz w:val="20"/>
                <w:szCs w:val="20"/>
              </w:rPr>
              <w:t>6</w:t>
            </w:r>
          </w:p>
        </w:tc>
        <w:tc>
          <w:tcPr>
            <w:tcW w:w="1263" w:type="dxa"/>
            <w:vAlign w:val="center"/>
          </w:tcPr>
          <w:p w14:paraId="14BFDD87" w14:textId="77777777" w:rsidR="00DB576D" w:rsidRPr="00887008" w:rsidRDefault="00DB576D" w:rsidP="00887008">
            <w:pPr>
              <w:spacing w:before="40"/>
              <w:jc w:val="center"/>
              <w:rPr>
                <w:sz w:val="20"/>
                <w:szCs w:val="20"/>
              </w:rPr>
            </w:pPr>
            <w:r w:rsidRPr="00887008">
              <w:rPr>
                <w:sz w:val="20"/>
                <w:szCs w:val="20"/>
              </w:rPr>
              <w:t>0</w:t>
            </w:r>
          </w:p>
        </w:tc>
        <w:tc>
          <w:tcPr>
            <w:tcW w:w="864" w:type="dxa"/>
            <w:vAlign w:val="center"/>
          </w:tcPr>
          <w:p w14:paraId="1FA24A07" w14:textId="77777777" w:rsidR="00DB576D" w:rsidRPr="00887008" w:rsidRDefault="00DB576D" w:rsidP="00887008">
            <w:pPr>
              <w:spacing w:before="40"/>
              <w:jc w:val="center"/>
              <w:rPr>
                <w:sz w:val="20"/>
                <w:szCs w:val="20"/>
              </w:rPr>
            </w:pPr>
            <w:r w:rsidRPr="00887008">
              <w:rPr>
                <w:sz w:val="20"/>
                <w:szCs w:val="20"/>
              </w:rPr>
              <w:t>0</w:t>
            </w:r>
          </w:p>
        </w:tc>
        <w:tc>
          <w:tcPr>
            <w:tcW w:w="1144" w:type="dxa"/>
            <w:vAlign w:val="center"/>
          </w:tcPr>
          <w:p w14:paraId="2FFEBB0C" w14:textId="77777777" w:rsidR="00DB576D" w:rsidRPr="00887008" w:rsidRDefault="00DB576D" w:rsidP="00887008">
            <w:pPr>
              <w:spacing w:before="40"/>
              <w:jc w:val="center"/>
              <w:rPr>
                <w:sz w:val="20"/>
                <w:szCs w:val="20"/>
              </w:rPr>
            </w:pPr>
            <w:r w:rsidRPr="00887008">
              <w:rPr>
                <w:sz w:val="20"/>
                <w:szCs w:val="20"/>
              </w:rPr>
              <w:t>0</w:t>
            </w:r>
          </w:p>
        </w:tc>
      </w:tr>
      <w:tr w:rsidR="00DB576D" w:rsidRPr="00887008" w14:paraId="2D67EFA6" w14:textId="77777777" w:rsidTr="00CF760B">
        <w:tc>
          <w:tcPr>
            <w:tcW w:w="1296" w:type="dxa"/>
            <w:vAlign w:val="center"/>
          </w:tcPr>
          <w:p w14:paraId="5CF89B48" w14:textId="77777777" w:rsidR="00DB576D" w:rsidRPr="00887008" w:rsidRDefault="00DB576D" w:rsidP="00887008">
            <w:pPr>
              <w:spacing w:before="40"/>
              <w:jc w:val="center"/>
              <w:rPr>
                <w:sz w:val="20"/>
                <w:szCs w:val="20"/>
              </w:rPr>
            </w:pPr>
            <w:r w:rsidRPr="00887008">
              <w:rPr>
                <w:sz w:val="20"/>
                <w:szCs w:val="20"/>
              </w:rPr>
              <w:t>-3</w:t>
            </w:r>
          </w:p>
        </w:tc>
        <w:tc>
          <w:tcPr>
            <w:tcW w:w="1008" w:type="dxa"/>
            <w:vAlign w:val="center"/>
          </w:tcPr>
          <w:p w14:paraId="4869F16C" w14:textId="77777777" w:rsidR="00DB576D" w:rsidRPr="00887008" w:rsidRDefault="00DB576D" w:rsidP="00887008">
            <w:pPr>
              <w:spacing w:before="40"/>
              <w:jc w:val="center"/>
              <w:rPr>
                <w:sz w:val="20"/>
                <w:szCs w:val="20"/>
              </w:rPr>
            </w:pPr>
            <w:r w:rsidRPr="00887008">
              <w:rPr>
                <w:sz w:val="20"/>
                <w:szCs w:val="20"/>
              </w:rPr>
              <w:t>0</w:t>
            </w:r>
          </w:p>
        </w:tc>
        <w:tc>
          <w:tcPr>
            <w:tcW w:w="1263" w:type="dxa"/>
            <w:vAlign w:val="center"/>
          </w:tcPr>
          <w:p w14:paraId="235F9507" w14:textId="77777777" w:rsidR="00DB576D" w:rsidRPr="00887008" w:rsidRDefault="00DB576D" w:rsidP="00887008">
            <w:pPr>
              <w:spacing w:before="40"/>
              <w:jc w:val="center"/>
              <w:rPr>
                <w:sz w:val="20"/>
                <w:szCs w:val="20"/>
              </w:rPr>
            </w:pPr>
            <w:r w:rsidRPr="00887008">
              <w:rPr>
                <w:sz w:val="20"/>
                <w:szCs w:val="20"/>
              </w:rPr>
              <w:t>0</w:t>
            </w:r>
          </w:p>
        </w:tc>
        <w:tc>
          <w:tcPr>
            <w:tcW w:w="1008" w:type="dxa"/>
            <w:vAlign w:val="center"/>
          </w:tcPr>
          <w:p w14:paraId="24E4EA63" w14:textId="77777777" w:rsidR="00DB576D" w:rsidRPr="00887008" w:rsidRDefault="00DB576D" w:rsidP="00887008">
            <w:pPr>
              <w:spacing w:before="40"/>
              <w:jc w:val="center"/>
              <w:rPr>
                <w:sz w:val="20"/>
                <w:szCs w:val="20"/>
              </w:rPr>
            </w:pPr>
            <w:r w:rsidRPr="00887008">
              <w:rPr>
                <w:sz w:val="20"/>
                <w:szCs w:val="20"/>
              </w:rPr>
              <w:t>5</w:t>
            </w:r>
          </w:p>
        </w:tc>
        <w:tc>
          <w:tcPr>
            <w:tcW w:w="1263" w:type="dxa"/>
            <w:vAlign w:val="center"/>
          </w:tcPr>
          <w:p w14:paraId="7D009E52" w14:textId="77777777" w:rsidR="00DB576D" w:rsidRPr="00887008" w:rsidRDefault="00DB576D" w:rsidP="00887008">
            <w:pPr>
              <w:spacing w:before="40"/>
              <w:jc w:val="center"/>
              <w:rPr>
                <w:sz w:val="20"/>
                <w:szCs w:val="20"/>
              </w:rPr>
            </w:pPr>
            <w:r w:rsidRPr="00887008">
              <w:rPr>
                <w:sz w:val="20"/>
                <w:szCs w:val="20"/>
              </w:rPr>
              <w:t>0</w:t>
            </w:r>
          </w:p>
        </w:tc>
        <w:tc>
          <w:tcPr>
            <w:tcW w:w="864" w:type="dxa"/>
            <w:vAlign w:val="center"/>
          </w:tcPr>
          <w:p w14:paraId="1BC69F23" w14:textId="77777777" w:rsidR="00DB576D" w:rsidRPr="00887008" w:rsidRDefault="00DB576D" w:rsidP="00887008">
            <w:pPr>
              <w:spacing w:before="40"/>
              <w:jc w:val="center"/>
              <w:rPr>
                <w:sz w:val="20"/>
                <w:szCs w:val="20"/>
              </w:rPr>
            </w:pPr>
            <w:r w:rsidRPr="00887008">
              <w:rPr>
                <w:sz w:val="20"/>
                <w:szCs w:val="20"/>
              </w:rPr>
              <w:t>0</w:t>
            </w:r>
          </w:p>
        </w:tc>
        <w:tc>
          <w:tcPr>
            <w:tcW w:w="1144" w:type="dxa"/>
            <w:vAlign w:val="center"/>
          </w:tcPr>
          <w:p w14:paraId="2DD3B232" w14:textId="77777777" w:rsidR="00DB576D" w:rsidRPr="00887008" w:rsidRDefault="00DB576D" w:rsidP="00887008">
            <w:pPr>
              <w:spacing w:before="40"/>
              <w:jc w:val="center"/>
              <w:rPr>
                <w:sz w:val="20"/>
                <w:szCs w:val="20"/>
              </w:rPr>
            </w:pPr>
            <w:r w:rsidRPr="00887008">
              <w:rPr>
                <w:sz w:val="20"/>
                <w:szCs w:val="20"/>
              </w:rPr>
              <w:t>0</w:t>
            </w:r>
          </w:p>
        </w:tc>
      </w:tr>
      <w:tr w:rsidR="00DB576D" w:rsidRPr="00887008" w14:paraId="3E95F296" w14:textId="77777777" w:rsidTr="00CF760B">
        <w:tc>
          <w:tcPr>
            <w:tcW w:w="1296" w:type="dxa"/>
            <w:vAlign w:val="center"/>
          </w:tcPr>
          <w:p w14:paraId="076171B9" w14:textId="77777777" w:rsidR="00DB576D" w:rsidRPr="00887008" w:rsidRDefault="00DB576D" w:rsidP="00887008">
            <w:pPr>
              <w:spacing w:before="40"/>
              <w:jc w:val="center"/>
              <w:rPr>
                <w:sz w:val="20"/>
                <w:szCs w:val="20"/>
              </w:rPr>
            </w:pPr>
            <w:r w:rsidRPr="00887008">
              <w:rPr>
                <w:sz w:val="20"/>
                <w:szCs w:val="20"/>
              </w:rPr>
              <w:t>-2</w:t>
            </w:r>
          </w:p>
        </w:tc>
        <w:tc>
          <w:tcPr>
            <w:tcW w:w="1008" w:type="dxa"/>
            <w:vAlign w:val="center"/>
          </w:tcPr>
          <w:p w14:paraId="40548572" w14:textId="77777777" w:rsidR="00DB576D" w:rsidRPr="00887008" w:rsidRDefault="00DB576D" w:rsidP="00887008">
            <w:pPr>
              <w:spacing w:before="40"/>
              <w:jc w:val="center"/>
              <w:rPr>
                <w:sz w:val="20"/>
                <w:szCs w:val="20"/>
              </w:rPr>
            </w:pPr>
            <w:r w:rsidRPr="00887008">
              <w:rPr>
                <w:sz w:val="20"/>
                <w:szCs w:val="20"/>
              </w:rPr>
              <w:t>0</w:t>
            </w:r>
          </w:p>
        </w:tc>
        <w:tc>
          <w:tcPr>
            <w:tcW w:w="1263" w:type="dxa"/>
            <w:vAlign w:val="center"/>
          </w:tcPr>
          <w:p w14:paraId="05904BF2" w14:textId="77777777" w:rsidR="00DB576D" w:rsidRPr="00887008" w:rsidRDefault="00DB576D" w:rsidP="00887008">
            <w:pPr>
              <w:spacing w:before="40"/>
              <w:jc w:val="center"/>
              <w:rPr>
                <w:sz w:val="20"/>
                <w:szCs w:val="20"/>
              </w:rPr>
            </w:pPr>
            <w:r w:rsidRPr="00887008">
              <w:rPr>
                <w:sz w:val="20"/>
                <w:szCs w:val="20"/>
              </w:rPr>
              <w:t>0</w:t>
            </w:r>
          </w:p>
        </w:tc>
        <w:tc>
          <w:tcPr>
            <w:tcW w:w="1008" w:type="dxa"/>
            <w:vAlign w:val="center"/>
          </w:tcPr>
          <w:p w14:paraId="0BBE3B1D" w14:textId="77777777" w:rsidR="00DB576D" w:rsidRPr="00887008" w:rsidRDefault="00DB576D" w:rsidP="00887008">
            <w:pPr>
              <w:spacing w:before="40"/>
              <w:jc w:val="center"/>
              <w:rPr>
                <w:sz w:val="20"/>
                <w:szCs w:val="20"/>
              </w:rPr>
            </w:pPr>
            <w:r w:rsidRPr="00887008">
              <w:rPr>
                <w:sz w:val="20"/>
                <w:szCs w:val="20"/>
              </w:rPr>
              <w:t>16</w:t>
            </w:r>
          </w:p>
        </w:tc>
        <w:tc>
          <w:tcPr>
            <w:tcW w:w="1263" w:type="dxa"/>
            <w:vAlign w:val="center"/>
          </w:tcPr>
          <w:p w14:paraId="1BEE83DB" w14:textId="77777777" w:rsidR="00DB576D" w:rsidRPr="00887008" w:rsidRDefault="00DB576D" w:rsidP="00887008">
            <w:pPr>
              <w:spacing w:before="40"/>
              <w:jc w:val="center"/>
              <w:rPr>
                <w:sz w:val="20"/>
                <w:szCs w:val="20"/>
              </w:rPr>
            </w:pPr>
            <w:r w:rsidRPr="00887008">
              <w:rPr>
                <w:sz w:val="20"/>
                <w:szCs w:val="20"/>
              </w:rPr>
              <w:t>0</w:t>
            </w:r>
          </w:p>
        </w:tc>
        <w:tc>
          <w:tcPr>
            <w:tcW w:w="864" w:type="dxa"/>
            <w:vAlign w:val="center"/>
          </w:tcPr>
          <w:p w14:paraId="28452481" w14:textId="77777777" w:rsidR="00DB576D" w:rsidRPr="00887008" w:rsidRDefault="00DB576D" w:rsidP="00887008">
            <w:pPr>
              <w:spacing w:before="40"/>
              <w:jc w:val="center"/>
              <w:rPr>
                <w:sz w:val="20"/>
                <w:szCs w:val="20"/>
              </w:rPr>
            </w:pPr>
            <w:r w:rsidRPr="00887008">
              <w:rPr>
                <w:sz w:val="20"/>
                <w:szCs w:val="20"/>
              </w:rPr>
              <w:t>0</w:t>
            </w:r>
          </w:p>
        </w:tc>
        <w:tc>
          <w:tcPr>
            <w:tcW w:w="1144" w:type="dxa"/>
            <w:vAlign w:val="center"/>
          </w:tcPr>
          <w:p w14:paraId="7F962853" w14:textId="77777777" w:rsidR="00DB576D" w:rsidRPr="00887008" w:rsidRDefault="00DB576D" w:rsidP="00887008">
            <w:pPr>
              <w:spacing w:before="40"/>
              <w:jc w:val="center"/>
              <w:rPr>
                <w:sz w:val="20"/>
                <w:szCs w:val="20"/>
              </w:rPr>
            </w:pPr>
            <w:r w:rsidRPr="00887008">
              <w:rPr>
                <w:sz w:val="20"/>
                <w:szCs w:val="20"/>
              </w:rPr>
              <w:t>0</w:t>
            </w:r>
          </w:p>
        </w:tc>
      </w:tr>
      <w:tr w:rsidR="00DB576D" w:rsidRPr="00887008" w14:paraId="72B9F911" w14:textId="77777777" w:rsidTr="00CF760B">
        <w:tc>
          <w:tcPr>
            <w:tcW w:w="1296" w:type="dxa"/>
            <w:vAlign w:val="center"/>
          </w:tcPr>
          <w:p w14:paraId="198836D7" w14:textId="77777777" w:rsidR="00DB576D" w:rsidRPr="00887008" w:rsidRDefault="00DB576D" w:rsidP="00887008">
            <w:pPr>
              <w:spacing w:before="40"/>
              <w:jc w:val="center"/>
              <w:rPr>
                <w:sz w:val="20"/>
                <w:szCs w:val="20"/>
              </w:rPr>
            </w:pPr>
            <w:r w:rsidRPr="00887008">
              <w:rPr>
                <w:sz w:val="20"/>
                <w:szCs w:val="20"/>
              </w:rPr>
              <w:t>-1</w:t>
            </w:r>
          </w:p>
        </w:tc>
        <w:tc>
          <w:tcPr>
            <w:tcW w:w="1008" w:type="dxa"/>
            <w:vAlign w:val="center"/>
          </w:tcPr>
          <w:p w14:paraId="19ACA17C" w14:textId="77777777" w:rsidR="00DB576D" w:rsidRPr="00887008" w:rsidRDefault="00DB576D" w:rsidP="00887008">
            <w:pPr>
              <w:spacing w:before="40"/>
              <w:jc w:val="center"/>
              <w:rPr>
                <w:sz w:val="20"/>
                <w:szCs w:val="20"/>
              </w:rPr>
            </w:pPr>
            <w:r w:rsidRPr="00887008">
              <w:rPr>
                <w:sz w:val="20"/>
                <w:szCs w:val="20"/>
              </w:rPr>
              <w:t>11</w:t>
            </w:r>
          </w:p>
        </w:tc>
        <w:tc>
          <w:tcPr>
            <w:tcW w:w="1263" w:type="dxa"/>
            <w:vAlign w:val="center"/>
          </w:tcPr>
          <w:p w14:paraId="0EBBE18D" w14:textId="77777777" w:rsidR="00DB576D" w:rsidRPr="00887008" w:rsidRDefault="00DB576D" w:rsidP="00887008">
            <w:pPr>
              <w:spacing w:before="40"/>
              <w:jc w:val="center"/>
              <w:rPr>
                <w:sz w:val="20"/>
                <w:szCs w:val="20"/>
              </w:rPr>
            </w:pPr>
            <w:r w:rsidRPr="00887008">
              <w:rPr>
                <w:sz w:val="20"/>
                <w:szCs w:val="20"/>
              </w:rPr>
              <w:t>9</w:t>
            </w:r>
          </w:p>
        </w:tc>
        <w:tc>
          <w:tcPr>
            <w:tcW w:w="1008" w:type="dxa"/>
            <w:vAlign w:val="center"/>
          </w:tcPr>
          <w:p w14:paraId="58C886FC" w14:textId="77777777" w:rsidR="00DB576D" w:rsidRPr="00887008" w:rsidRDefault="00DB576D" w:rsidP="00887008">
            <w:pPr>
              <w:spacing w:before="40"/>
              <w:jc w:val="center"/>
              <w:rPr>
                <w:sz w:val="20"/>
                <w:szCs w:val="20"/>
              </w:rPr>
            </w:pPr>
            <w:r w:rsidRPr="00887008">
              <w:rPr>
                <w:sz w:val="20"/>
                <w:szCs w:val="20"/>
              </w:rPr>
              <w:t>21</w:t>
            </w:r>
          </w:p>
        </w:tc>
        <w:tc>
          <w:tcPr>
            <w:tcW w:w="1263" w:type="dxa"/>
            <w:vAlign w:val="center"/>
          </w:tcPr>
          <w:p w14:paraId="1FEF4432" w14:textId="77777777" w:rsidR="00DB576D" w:rsidRPr="00887008" w:rsidRDefault="00DB576D" w:rsidP="00887008">
            <w:pPr>
              <w:spacing w:before="40"/>
              <w:jc w:val="center"/>
              <w:rPr>
                <w:sz w:val="20"/>
                <w:szCs w:val="20"/>
              </w:rPr>
            </w:pPr>
            <w:r w:rsidRPr="00887008">
              <w:rPr>
                <w:sz w:val="20"/>
                <w:szCs w:val="20"/>
              </w:rPr>
              <w:t>19</w:t>
            </w:r>
          </w:p>
        </w:tc>
        <w:tc>
          <w:tcPr>
            <w:tcW w:w="864" w:type="dxa"/>
            <w:vAlign w:val="center"/>
          </w:tcPr>
          <w:p w14:paraId="3917F30D" w14:textId="77777777" w:rsidR="00DB576D" w:rsidRPr="00887008" w:rsidRDefault="00DB576D" w:rsidP="00887008">
            <w:pPr>
              <w:spacing w:before="40"/>
              <w:jc w:val="center"/>
              <w:rPr>
                <w:sz w:val="20"/>
                <w:szCs w:val="20"/>
              </w:rPr>
            </w:pPr>
            <w:r w:rsidRPr="00887008">
              <w:rPr>
                <w:sz w:val="20"/>
                <w:szCs w:val="20"/>
              </w:rPr>
              <w:t>29</w:t>
            </w:r>
          </w:p>
        </w:tc>
        <w:tc>
          <w:tcPr>
            <w:tcW w:w="1144" w:type="dxa"/>
            <w:vAlign w:val="center"/>
          </w:tcPr>
          <w:p w14:paraId="66D41F19" w14:textId="77777777" w:rsidR="00DB576D" w:rsidRPr="00887008" w:rsidRDefault="00DB576D" w:rsidP="00887008">
            <w:pPr>
              <w:spacing w:before="40"/>
              <w:jc w:val="center"/>
              <w:rPr>
                <w:sz w:val="20"/>
                <w:szCs w:val="20"/>
              </w:rPr>
            </w:pPr>
            <w:r w:rsidRPr="00887008">
              <w:rPr>
                <w:sz w:val="20"/>
                <w:szCs w:val="20"/>
              </w:rPr>
              <w:t>29</w:t>
            </w:r>
          </w:p>
        </w:tc>
      </w:tr>
      <w:tr w:rsidR="00DB576D" w:rsidRPr="00887008" w14:paraId="6FCA0339" w14:textId="77777777" w:rsidTr="00CF760B">
        <w:tc>
          <w:tcPr>
            <w:tcW w:w="1296" w:type="dxa"/>
            <w:vAlign w:val="center"/>
          </w:tcPr>
          <w:p w14:paraId="6394EC19" w14:textId="77777777" w:rsidR="00DB576D" w:rsidRPr="00887008" w:rsidRDefault="00DB576D" w:rsidP="00887008">
            <w:pPr>
              <w:spacing w:before="40"/>
              <w:jc w:val="center"/>
              <w:rPr>
                <w:sz w:val="20"/>
                <w:szCs w:val="20"/>
              </w:rPr>
            </w:pPr>
            <w:r w:rsidRPr="00887008">
              <w:rPr>
                <w:sz w:val="20"/>
                <w:szCs w:val="20"/>
              </w:rPr>
              <w:t>0</w:t>
            </w:r>
          </w:p>
        </w:tc>
        <w:tc>
          <w:tcPr>
            <w:tcW w:w="1008" w:type="dxa"/>
            <w:vAlign w:val="center"/>
          </w:tcPr>
          <w:p w14:paraId="63325CB6" w14:textId="77777777" w:rsidR="00DB576D" w:rsidRPr="00887008" w:rsidRDefault="00DB576D" w:rsidP="00887008">
            <w:pPr>
              <w:spacing w:before="40"/>
              <w:jc w:val="center"/>
              <w:rPr>
                <w:sz w:val="20"/>
                <w:szCs w:val="20"/>
              </w:rPr>
            </w:pPr>
            <w:r w:rsidRPr="00887008">
              <w:rPr>
                <w:sz w:val="20"/>
                <w:szCs w:val="20"/>
              </w:rPr>
              <w:t>49</w:t>
            </w:r>
          </w:p>
        </w:tc>
        <w:tc>
          <w:tcPr>
            <w:tcW w:w="1263" w:type="dxa"/>
            <w:vAlign w:val="center"/>
          </w:tcPr>
          <w:p w14:paraId="1E1BA5F5" w14:textId="77777777" w:rsidR="00DB576D" w:rsidRPr="00887008" w:rsidRDefault="00DB576D" w:rsidP="00887008">
            <w:pPr>
              <w:spacing w:before="40"/>
              <w:jc w:val="center"/>
              <w:rPr>
                <w:sz w:val="20"/>
                <w:szCs w:val="20"/>
              </w:rPr>
            </w:pPr>
            <w:r w:rsidRPr="00887008">
              <w:rPr>
                <w:sz w:val="20"/>
                <w:szCs w:val="20"/>
              </w:rPr>
              <w:t>49</w:t>
            </w:r>
          </w:p>
        </w:tc>
        <w:tc>
          <w:tcPr>
            <w:tcW w:w="1008" w:type="dxa"/>
            <w:vAlign w:val="center"/>
          </w:tcPr>
          <w:p w14:paraId="25BA7ACD" w14:textId="77777777" w:rsidR="00DB576D" w:rsidRPr="00887008" w:rsidRDefault="00DB576D" w:rsidP="00887008">
            <w:pPr>
              <w:spacing w:before="40"/>
              <w:jc w:val="center"/>
              <w:rPr>
                <w:sz w:val="20"/>
                <w:szCs w:val="20"/>
              </w:rPr>
            </w:pPr>
            <w:r w:rsidRPr="00887008">
              <w:rPr>
                <w:sz w:val="20"/>
                <w:szCs w:val="20"/>
              </w:rPr>
              <w:t>102</w:t>
            </w:r>
          </w:p>
        </w:tc>
        <w:tc>
          <w:tcPr>
            <w:tcW w:w="1263" w:type="dxa"/>
            <w:vAlign w:val="center"/>
          </w:tcPr>
          <w:p w14:paraId="7E05D94B" w14:textId="77777777" w:rsidR="00DB576D" w:rsidRPr="00887008" w:rsidRDefault="00DB576D" w:rsidP="00887008">
            <w:pPr>
              <w:spacing w:before="40"/>
              <w:jc w:val="center"/>
              <w:rPr>
                <w:sz w:val="20"/>
                <w:szCs w:val="20"/>
              </w:rPr>
            </w:pPr>
            <w:r w:rsidRPr="00887008">
              <w:rPr>
                <w:sz w:val="20"/>
                <w:szCs w:val="20"/>
              </w:rPr>
              <w:t>97</w:t>
            </w:r>
          </w:p>
        </w:tc>
        <w:tc>
          <w:tcPr>
            <w:tcW w:w="864" w:type="dxa"/>
            <w:vAlign w:val="center"/>
          </w:tcPr>
          <w:p w14:paraId="416E15BF" w14:textId="77777777" w:rsidR="00DB576D" w:rsidRPr="00887008" w:rsidRDefault="00DB576D" w:rsidP="00887008">
            <w:pPr>
              <w:spacing w:before="40"/>
              <w:jc w:val="center"/>
              <w:rPr>
                <w:sz w:val="20"/>
                <w:szCs w:val="20"/>
              </w:rPr>
            </w:pPr>
            <w:r w:rsidRPr="00887008">
              <w:rPr>
                <w:sz w:val="20"/>
                <w:szCs w:val="20"/>
              </w:rPr>
              <w:t>179</w:t>
            </w:r>
          </w:p>
        </w:tc>
        <w:tc>
          <w:tcPr>
            <w:tcW w:w="1144" w:type="dxa"/>
            <w:vAlign w:val="center"/>
          </w:tcPr>
          <w:p w14:paraId="374511D6" w14:textId="77777777" w:rsidR="00DB576D" w:rsidRPr="00887008" w:rsidRDefault="00DB576D" w:rsidP="00887008">
            <w:pPr>
              <w:spacing w:before="40"/>
              <w:jc w:val="center"/>
              <w:rPr>
                <w:sz w:val="20"/>
                <w:szCs w:val="20"/>
              </w:rPr>
            </w:pPr>
            <w:r w:rsidRPr="00887008">
              <w:rPr>
                <w:sz w:val="20"/>
                <w:szCs w:val="20"/>
              </w:rPr>
              <w:t>174</w:t>
            </w:r>
          </w:p>
        </w:tc>
      </w:tr>
      <w:tr w:rsidR="00DB576D" w:rsidRPr="00887008" w14:paraId="36A42E1C" w14:textId="77777777" w:rsidTr="00CF760B">
        <w:tc>
          <w:tcPr>
            <w:tcW w:w="1296" w:type="dxa"/>
            <w:vAlign w:val="center"/>
          </w:tcPr>
          <w:p w14:paraId="33EAA2A9" w14:textId="77777777" w:rsidR="00DB576D" w:rsidRPr="00887008" w:rsidRDefault="00DB576D" w:rsidP="00887008">
            <w:pPr>
              <w:spacing w:before="40"/>
              <w:jc w:val="center"/>
              <w:rPr>
                <w:sz w:val="20"/>
                <w:szCs w:val="20"/>
              </w:rPr>
            </w:pPr>
            <w:r w:rsidRPr="00887008">
              <w:rPr>
                <w:sz w:val="20"/>
                <w:szCs w:val="20"/>
              </w:rPr>
              <w:t>Sun.</w:t>
            </w:r>
          </w:p>
        </w:tc>
        <w:tc>
          <w:tcPr>
            <w:tcW w:w="1008" w:type="dxa"/>
            <w:vAlign w:val="center"/>
          </w:tcPr>
          <w:p w14:paraId="4B6EF819" w14:textId="77777777" w:rsidR="00DB576D" w:rsidRPr="00887008" w:rsidRDefault="00DB576D" w:rsidP="00887008">
            <w:pPr>
              <w:spacing w:before="40"/>
              <w:jc w:val="center"/>
              <w:rPr>
                <w:sz w:val="20"/>
                <w:szCs w:val="20"/>
              </w:rPr>
            </w:pPr>
            <w:r w:rsidRPr="00887008">
              <w:rPr>
                <w:sz w:val="20"/>
                <w:szCs w:val="20"/>
              </w:rPr>
              <w:t>2</w:t>
            </w:r>
          </w:p>
        </w:tc>
        <w:tc>
          <w:tcPr>
            <w:tcW w:w="1263" w:type="dxa"/>
            <w:vAlign w:val="center"/>
          </w:tcPr>
          <w:p w14:paraId="7B30B497" w14:textId="77777777" w:rsidR="00DB576D" w:rsidRPr="00887008" w:rsidRDefault="00DB576D" w:rsidP="00887008">
            <w:pPr>
              <w:spacing w:before="40"/>
              <w:jc w:val="center"/>
              <w:rPr>
                <w:sz w:val="20"/>
                <w:szCs w:val="20"/>
              </w:rPr>
            </w:pPr>
            <w:r w:rsidRPr="00887008">
              <w:rPr>
                <w:sz w:val="20"/>
                <w:szCs w:val="20"/>
              </w:rPr>
              <w:t>2</w:t>
            </w:r>
          </w:p>
        </w:tc>
        <w:tc>
          <w:tcPr>
            <w:tcW w:w="1008" w:type="dxa"/>
            <w:vAlign w:val="center"/>
          </w:tcPr>
          <w:p w14:paraId="168CF912" w14:textId="77777777" w:rsidR="00DB576D" w:rsidRPr="00887008" w:rsidRDefault="00DB576D" w:rsidP="00887008">
            <w:pPr>
              <w:spacing w:before="40"/>
              <w:jc w:val="center"/>
              <w:rPr>
                <w:sz w:val="20"/>
                <w:szCs w:val="20"/>
              </w:rPr>
            </w:pPr>
            <w:r w:rsidRPr="00887008">
              <w:rPr>
                <w:sz w:val="20"/>
                <w:szCs w:val="20"/>
              </w:rPr>
              <w:t>4</w:t>
            </w:r>
          </w:p>
        </w:tc>
        <w:tc>
          <w:tcPr>
            <w:tcW w:w="1263" w:type="dxa"/>
            <w:vAlign w:val="center"/>
          </w:tcPr>
          <w:p w14:paraId="393BF6E4" w14:textId="77777777" w:rsidR="00DB576D" w:rsidRPr="00887008" w:rsidRDefault="00DB576D" w:rsidP="00887008">
            <w:pPr>
              <w:spacing w:before="40"/>
              <w:jc w:val="center"/>
              <w:rPr>
                <w:sz w:val="20"/>
                <w:szCs w:val="20"/>
              </w:rPr>
            </w:pPr>
            <w:r w:rsidRPr="00887008">
              <w:rPr>
                <w:sz w:val="20"/>
                <w:szCs w:val="20"/>
              </w:rPr>
              <w:t>0</w:t>
            </w:r>
          </w:p>
        </w:tc>
        <w:tc>
          <w:tcPr>
            <w:tcW w:w="864" w:type="dxa"/>
            <w:vAlign w:val="center"/>
          </w:tcPr>
          <w:p w14:paraId="4C7B4A04" w14:textId="77777777" w:rsidR="00DB576D" w:rsidRPr="00887008" w:rsidRDefault="00DB576D" w:rsidP="00887008">
            <w:pPr>
              <w:spacing w:before="40"/>
              <w:jc w:val="center"/>
              <w:rPr>
                <w:sz w:val="20"/>
                <w:szCs w:val="20"/>
              </w:rPr>
            </w:pPr>
            <w:r w:rsidRPr="00887008">
              <w:rPr>
                <w:sz w:val="20"/>
                <w:szCs w:val="20"/>
              </w:rPr>
              <w:t>0</w:t>
            </w:r>
          </w:p>
        </w:tc>
        <w:tc>
          <w:tcPr>
            <w:tcW w:w="1144" w:type="dxa"/>
            <w:vAlign w:val="center"/>
          </w:tcPr>
          <w:p w14:paraId="30D35658" w14:textId="77777777" w:rsidR="00DB576D" w:rsidRPr="00887008" w:rsidRDefault="00DB576D" w:rsidP="00887008">
            <w:pPr>
              <w:spacing w:before="40"/>
              <w:jc w:val="center"/>
              <w:rPr>
                <w:sz w:val="20"/>
                <w:szCs w:val="20"/>
              </w:rPr>
            </w:pPr>
            <w:r w:rsidRPr="00887008">
              <w:rPr>
                <w:sz w:val="20"/>
                <w:szCs w:val="20"/>
              </w:rPr>
              <w:t>0</w:t>
            </w:r>
          </w:p>
        </w:tc>
      </w:tr>
      <w:tr w:rsidR="00DB576D" w:rsidRPr="00887008" w14:paraId="4B7770B2" w14:textId="77777777" w:rsidTr="00CF760B">
        <w:tc>
          <w:tcPr>
            <w:tcW w:w="1296" w:type="dxa"/>
            <w:tcBorders>
              <w:bottom w:val="single" w:sz="4" w:space="0" w:color="auto"/>
            </w:tcBorders>
            <w:vAlign w:val="center"/>
          </w:tcPr>
          <w:p w14:paraId="5389AE3B" w14:textId="77777777" w:rsidR="00DB576D" w:rsidRPr="00887008" w:rsidRDefault="00DB576D" w:rsidP="00887008">
            <w:pPr>
              <w:spacing w:before="40"/>
              <w:jc w:val="center"/>
              <w:rPr>
                <w:sz w:val="20"/>
                <w:szCs w:val="20"/>
              </w:rPr>
            </w:pPr>
            <w:r w:rsidRPr="00887008">
              <w:rPr>
                <w:sz w:val="20"/>
                <w:szCs w:val="20"/>
              </w:rPr>
              <w:t>Sat.</w:t>
            </w:r>
          </w:p>
        </w:tc>
        <w:tc>
          <w:tcPr>
            <w:tcW w:w="1008" w:type="dxa"/>
            <w:tcBorders>
              <w:bottom w:val="single" w:sz="4" w:space="0" w:color="auto"/>
            </w:tcBorders>
            <w:vAlign w:val="center"/>
          </w:tcPr>
          <w:p w14:paraId="63EDE0E7" w14:textId="77777777" w:rsidR="00DB576D" w:rsidRPr="00887008" w:rsidRDefault="00DB576D" w:rsidP="00887008">
            <w:pPr>
              <w:spacing w:before="40"/>
              <w:jc w:val="center"/>
              <w:rPr>
                <w:sz w:val="20"/>
                <w:szCs w:val="20"/>
              </w:rPr>
            </w:pPr>
            <w:r w:rsidRPr="00887008">
              <w:rPr>
                <w:sz w:val="20"/>
                <w:szCs w:val="20"/>
              </w:rPr>
              <w:t>0</w:t>
            </w:r>
          </w:p>
        </w:tc>
        <w:tc>
          <w:tcPr>
            <w:tcW w:w="1263" w:type="dxa"/>
            <w:tcBorders>
              <w:bottom w:val="single" w:sz="4" w:space="0" w:color="auto"/>
            </w:tcBorders>
            <w:vAlign w:val="center"/>
          </w:tcPr>
          <w:p w14:paraId="37D9E518" w14:textId="77777777" w:rsidR="00DB576D" w:rsidRPr="00887008" w:rsidRDefault="00DB576D" w:rsidP="00887008">
            <w:pPr>
              <w:spacing w:before="40"/>
              <w:jc w:val="center"/>
              <w:rPr>
                <w:sz w:val="20"/>
                <w:szCs w:val="20"/>
              </w:rPr>
            </w:pPr>
            <w:r w:rsidRPr="00887008">
              <w:rPr>
                <w:sz w:val="20"/>
                <w:szCs w:val="20"/>
              </w:rPr>
              <w:t>0</w:t>
            </w:r>
          </w:p>
        </w:tc>
        <w:tc>
          <w:tcPr>
            <w:tcW w:w="1008" w:type="dxa"/>
            <w:tcBorders>
              <w:bottom w:val="single" w:sz="4" w:space="0" w:color="auto"/>
            </w:tcBorders>
            <w:vAlign w:val="center"/>
          </w:tcPr>
          <w:p w14:paraId="3D36A821" w14:textId="77777777" w:rsidR="00DB576D" w:rsidRPr="00887008" w:rsidRDefault="00DB576D" w:rsidP="00887008">
            <w:pPr>
              <w:spacing w:before="40"/>
              <w:jc w:val="center"/>
              <w:rPr>
                <w:sz w:val="20"/>
                <w:szCs w:val="20"/>
              </w:rPr>
            </w:pPr>
            <w:r w:rsidRPr="00887008">
              <w:rPr>
                <w:sz w:val="20"/>
                <w:szCs w:val="20"/>
              </w:rPr>
              <w:t>3</w:t>
            </w:r>
          </w:p>
        </w:tc>
        <w:tc>
          <w:tcPr>
            <w:tcW w:w="1263" w:type="dxa"/>
            <w:tcBorders>
              <w:bottom w:val="single" w:sz="4" w:space="0" w:color="auto"/>
            </w:tcBorders>
            <w:vAlign w:val="center"/>
          </w:tcPr>
          <w:p w14:paraId="74DCCEBB" w14:textId="77777777" w:rsidR="00DB576D" w:rsidRPr="00887008" w:rsidRDefault="00DB576D" w:rsidP="00887008">
            <w:pPr>
              <w:spacing w:before="40"/>
              <w:jc w:val="center"/>
              <w:rPr>
                <w:sz w:val="20"/>
                <w:szCs w:val="20"/>
              </w:rPr>
            </w:pPr>
            <w:r w:rsidRPr="00887008">
              <w:rPr>
                <w:sz w:val="20"/>
                <w:szCs w:val="20"/>
              </w:rPr>
              <w:t>0</w:t>
            </w:r>
          </w:p>
        </w:tc>
        <w:tc>
          <w:tcPr>
            <w:tcW w:w="864" w:type="dxa"/>
            <w:tcBorders>
              <w:bottom w:val="single" w:sz="4" w:space="0" w:color="auto"/>
            </w:tcBorders>
            <w:vAlign w:val="center"/>
          </w:tcPr>
          <w:p w14:paraId="55F3C67B" w14:textId="77777777" w:rsidR="00DB576D" w:rsidRPr="00887008" w:rsidRDefault="00DB576D" w:rsidP="00887008">
            <w:pPr>
              <w:spacing w:before="40"/>
              <w:jc w:val="center"/>
              <w:rPr>
                <w:sz w:val="20"/>
                <w:szCs w:val="20"/>
              </w:rPr>
            </w:pPr>
            <w:r w:rsidRPr="00887008">
              <w:rPr>
                <w:sz w:val="20"/>
                <w:szCs w:val="20"/>
              </w:rPr>
              <w:t>0</w:t>
            </w:r>
          </w:p>
        </w:tc>
        <w:tc>
          <w:tcPr>
            <w:tcW w:w="1144" w:type="dxa"/>
            <w:tcBorders>
              <w:bottom w:val="single" w:sz="4" w:space="0" w:color="auto"/>
            </w:tcBorders>
            <w:vAlign w:val="center"/>
          </w:tcPr>
          <w:p w14:paraId="041241EA" w14:textId="77777777" w:rsidR="00DB576D" w:rsidRPr="00887008" w:rsidRDefault="00DB576D" w:rsidP="00887008">
            <w:pPr>
              <w:spacing w:before="40"/>
              <w:jc w:val="center"/>
              <w:rPr>
                <w:sz w:val="20"/>
                <w:szCs w:val="20"/>
              </w:rPr>
            </w:pPr>
            <w:r w:rsidRPr="00887008">
              <w:rPr>
                <w:sz w:val="20"/>
                <w:szCs w:val="20"/>
              </w:rPr>
              <w:t>0</w:t>
            </w:r>
          </w:p>
        </w:tc>
      </w:tr>
      <w:tr w:rsidR="00DB576D" w:rsidRPr="00887008" w14:paraId="5825EC5E" w14:textId="77777777" w:rsidTr="00CF760B">
        <w:tc>
          <w:tcPr>
            <w:tcW w:w="1296" w:type="dxa"/>
            <w:tcBorders>
              <w:top w:val="single" w:sz="4" w:space="0" w:color="auto"/>
              <w:bottom w:val="single" w:sz="4" w:space="0" w:color="auto"/>
            </w:tcBorders>
            <w:vAlign w:val="center"/>
          </w:tcPr>
          <w:p w14:paraId="402B2977" w14:textId="77D59C93" w:rsidR="00DB576D" w:rsidRPr="00887008" w:rsidRDefault="00DB576D" w:rsidP="00887008">
            <w:pPr>
              <w:spacing w:before="40"/>
              <w:jc w:val="center"/>
              <w:rPr>
                <w:sz w:val="20"/>
                <w:szCs w:val="20"/>
              </w:rPr>
            </w:pPr>
            <w:proofErr w:type="gramStart"/>
            <w:r w:rsidRPr="00887008">
              <w:rPr>
                <w:sz w:val="20"/>
                <w:szCs w:val="20"/>
              </w:rPr>
              <w:t>t(</w:t>
            </w:r>
            <w:proofErr w:type="gramEnd"/>
            <w:r w:rsidRPr="00887008">
              <w:rPr>
                <w:sz w:val="20"/>
                <w:szCs w:val="20"/>
              </w:rPr>
              <w:t xml:space="preserve">0) </w:t>
            </w:r>
            <w:r w:rsidR="00887008">
              <w:rPr>
                <w:sz w:val="20"/>
                <w:szCs w:val="20"/>
              </w:rPr>
              <w:t>*</w:t>
            </w:r>
            <w:r w:rsidRPr="00887008">
              <w:rPr>
                <w:sz w:val="20"/>
                <w:szCs w:val="20"/>
              </w:rPr>
              <w:t xml:space="preserve"> t(-1)</w:t>
            </w:r>
          </w:p>
        </w:tc>
        <w:tc>
          <w:tcPr>
            <w:tcW w:w="1008" w:type="dxa"/>
            <w:tcBorders>
              <w:top w:val="single" w:sz="4" w:space="0" w:color="auto"/>
              <w:bottom w:val="single" w:sz="4" w:space="0" w:color="auto"/>
            </w:tcBorders>
            <w:vAlign w:val="center"/>
          </w:tcPr>
          <w:p w14:paraId="52E29B09" w14:textId="77777777" w:rsidR="00DB576D" w:rsidRPr="00887008" w:rsidRDefault="00DB576D" w:rsidP="00887008">
            <w:pPr>
              <w:spacing w:before="40"/>
              <w:jc w:val="center"/>
              <w:rPr>
                <w:sz w:val="20"/>
                <w:szCs w:val="20"/>
              </w:rPr>
            </w:pPr>
            <w:r w:rsidRPr="00887008">
              <w:rPr>
                <w:sz w:val="20"/>
                <w:szCs w:val="20"/>
              </w:rPr>
              <w:t>4.5</w:t>
            </w:r>
          </w:p>
        </w:tc>
        <w:tc>
          <w:tcPr>
            <w:tcW w:w="1263" w:type="dxa"/>
            <w:tcBorders>
              <w:top w:val="single" w:sz="4" w:space="0" w:color="auto"/>
              <w:bottom w:val="single" w:sz="4" w:space="0" w:color="auto"/>
            </w:tcBorders>
            <w:vAlign w:val="center"/>
          </w:tcPr>
          <w:p w14:paraId="5A629C2F" w14:textId="77777777" w:rsidR="00DB576D" w:rsidRPr="00887008" w:rsidRDefault="00DB576D" w:rsidP="00887008">
            <w:pPr>
              <w:spacing w:before="40"/>
              <w:jc w:val="center"/>
              <w:rPr>
                <w:sz w:val="20"/>
                <w:szCs w:val="20"/>
              </w:rPr>
            </w:pPr>
            <w:r w:rsidRPr="00887008">
              <w:rPr>
                <w:sz w:val="20"/>
                <w:szCs w:val="20"/>
              </w:rPr>
              <w:t>5.4</w:t>
            </w:r>
          </w:p>
        </w:tc>
        <w:tc>
          <w:tcPr>
            <w:tcW w:w="1008" w:type="dxa"/>
            <w:tcBorders>
              <w:top w:val="single" w:sz="4" w:space="0" w:color="auto"/>
              <w:bottom w:val="single" w:sz="4" w:space="0" w:color="auto"/>
            </w:tcBorders>
            <w:vAlign w:val="center"/>
          </w:tcPr>
          <w:p w14:paraId="140E90D7" w14:textId="77777777" w:rsidR="00DB576D" w:rsidRPr="00887008" w:rsidRDefault="00DB576D" w:rsidP="00887008">
            <w:pPr>
              <w:spacing w:before="40"/>
              <w:jc w:val="center"/>
              <w:rPr>
                <w:sz w:val="20"/>
                <w:szCs w:val="20"/>
              </w:rPr>
            </w:pPr>
            <w:r w:rsidRPr="00887008">
              <w:rPr>
                <w:sz w:val="20"/>
                <w:szCs w:val="20"/>
              </w:rPr>
              <w:t>4.9</w:t>
            </w:r>
          </w:p>
        </w:tc>
        <w:tc>
          <w:tcPr>
            <w:tcW w:w="1263" w:type="dxa"/>
            <w:tcBorders>
              <w:top w:val="single" w:sz="4" w:space="0" w:color="auto"/>
              <w:bottom w:val="single" w:sz="4" w:space="0" w:color="auto"/>
            </w:tcBorders>
            <w:vAlign w:val="center"/>
          </w:tcPr>
          <w:p w14:paraId="0DD752D0" w14:textId="77777777" w:rsidR="00DB576D" w:rsidRPr="00887008" w:rsidRDefault="00DB576D" w:rsidP="00887008">
            <w:pPr>
              <w:spacing w:before="40"/>
              <w:jc w:val="center"/>
              <w:rPr>
                <w:sz w:val="20"/>
                <w:szCs w:val="20"/>
              </w:rPr>
            </w:pPr>
            <w:r w:rsidRPr="00887008">
              <w:rPr>
                <w:sz w:val="20"/>
                <w:szCs w:val="20"/>
              </w:rPr>
              <w:t>5.1</w:t>
            </w:r>
          </w:p>
        </w:tc>
        <w:tc>
          <w:tcPr>
            <w:tcW w:w="864" w:type="dxa"/>
            <w:tcBorders>
              <w:top w:val="single" w:sz="4" w:space="0" w:color="auto"/>
              <w:bottom w:val="single" w:sz="4" w:space="0" w:color="auto"/>
            </w:tcBorders>
            <w:vAlign w:val="center"/>
          </w:tcPr>
          <w:p w14:paraId="1890ACB6" w14:textId="77777777" w:rsidR="00DB576D" w:rsidRPr="00887008" w:rsidRDefault="00DB576D" w:rsidP="00887008">
            <w:pPr>
              <w:spacing w:before="40"/>
              <w:jc w:val="center"/>
              <w:rPr>
                <w:sz w:val="20"/>
                <w:szCs w:val="20"/>
              </w:rPr>
            </w:pPr>
            <w:r w:rsidRPr="00887008">
              <w:rPr>
                <w:sz w:val="20"/>
                <w:szCs w:val="20"/>
              </w:rPr>
              <w:t>6.2</w:t>
            </w:r>
          </w:p>
        </w:tc>
        <w:tc>
          <w:tcPr>
            <w:tcW w:w="1144" w:type="dxa"/>
            <w:tcBorders>
              <w:top w:val="single" w:sz="4" w:space="0" w:color="auto"/>
              <w:bottom w:val="single" w:sz="4" w:space="0" w:color="auto"/>
            </w:tcBorders>
            <w:vAlign w:val="center"/>
          </w:tcPr>
          <w:p w14:paraId="013E8FF9" w14:textId="77777777" w:rsidR="00DB576D" w:rsidRPr="00887008" w:rsidRDefault="00DB576D" w:rsidP="00887008">
            <w:pPr>
              <w:spacing w:before="40"/>
              <w:jc w:val="center"/>
              <w:rPr>
                <w:sz w:val="20"/>
                <w:szCs w:val="20"/>
              </w:rPr>
            </w:pPr>
            <w:r w:rsidRPr="00887008">
              <w:rPr>
                <w:sz w:val="20"/>
                <w:szCs w:val="20"/>
              </w:rPr>
              <w:t>6.0</w:t>
            </w:r>
          </w:p>
        </w:tc>
      </w:tr>
    </w:tbl>
    <w:p w14:paraId="41E9B2BB" w14:textId="2A43F209" w:rsidR="00DB576D" w:rsidRPr="00714695" w:rsidRDefault="00DB576D" w:rsidP="00DB576D">
      <w:pPr>
        <w:spacing w:before="240"/>
        <w:ind w:firstLine="432"/>
      </w:pPr>
      <w:r w:rsidRPr="00714695">
        <w:t xml:space="preserve">Listed in Table </w:t>
      </w:r>
      <w:r w:rsidR="00A9615B">
        <w:t>A</w:t>
      </w:r>
      <w:r w:rsidR="00412AC9">
        <w:t xml:space="preserve">7 </w:t>
      </w:r>
      <w:r w:rsidRPr="00714695">
        <w:t xml:space="preserve">are raw hits and, crucially, adjusted hits. The adjusted hits remove hits not dealing directly with </w:t>
      </w:r>
      <w:r>
        <w:t>E</w:t>
      </w:r>
      <w:r w:rsidRPr="00714695">
        <w:t xml:space="preserve">ntity </w:t>
      </w:r>
      <w:r>
        <w:t>L</w:t>
      </w:r>
      <w:r w:rsidRPr="00714695">
        <w:t>ist sanction</w:t>
      </w:r>
      <w:r>
        <w:t>s</w:t>
      </w:r>
      <w:r w:rsidRPr="00714695">
        <w:t xml:space="preserve">. The primary reason for adjusting a hit is that it contained search string elements that were used in another context. To a much lesser extent, a few hits were adjusted because they are associated with monthly publications listed as occurring on the first of the month, though they were clearly not published on first of month, as they reference events that happen later in the month. The table also includes hits from Saturday and Sunday prior to event, which are not trading days, so they are not considered part of the event window. Finally, table lists the multiple of hits on </w:t>
      </w:r>
      <m:oMath>
        <m:r>
          <w:rPr>
            <w:rFonts w:ascii="Cambria Math" w:hAnsi="Cambria Math"/>
          </w:rPr>
          <m:t>t(0)</m:t>
        </m:r>
      </m:oMath>
      <w:r w:rsidRPr="00714695">
        <w:rPr>
          <w:rFonts w:eastAsiaTheme="minorEastAsia"/>
        </w:rPr>
        <w:t xml:space="preserve"> relative to </w:t>
      </w:r>
      <m:oMath>
        <m:r>
          <w:rPr>
            <w:rFonts w:ascii="Cambria Math" w:eastAsiaTheme="minorEastAsia" w:hAnsi="Cambria Math"/>
          </w:rPr>
          <m:t>t(-1)</m:t>
        </m:r>
      </m:oMath>
      <w:r w:rsidRPr="00714695">
        <w:rPr>
          <w:rFonts w:eastAsiaTheme="minorEastAsia"/>
        </w:rPr>
        <w:t>.</w:t>
      </w:r>
    </w:p>
    <w:p w14:paraId="3D7A9A68" w14:textId="0BA91BC3" w:rsidR="00DB576D" w:rsidRPr="00714695" w:rsidRDefault="00DB576D" w:rsidP="00DB576D">
      <w:pPr>
        <w:ind w:firstLine="360"/>
        <w:rPr>
          <w:rFonts w:eastAsiaTheme="minorEastAsia"/>
        </w:rPr>
      </w:pPr>
      <w:r w:rsidRPr="00714695">
        <w:t xml:space="preserve">Table </w:t>
      </w:r>
      <w:r w:rsidR="00A9615B">
        <w:t>A</w:t>
      </w:r>
      <w:r w:rsidR="00412AC9">
        <w:t>7</w:t>
      </w:r>
      <w:r w:rsidRPr="00714695">
        <w:t xml:space="preserve"> indicates that for the Huawei and Surveillance events, there is no evidence the sanctions were anticipated in the days leading up to their </w:t>
      </w:r>
      <w:r w:rsidRPr="00714695">
        <w:lastRenderedPageBreak/>
        <w:t xml:space="preserve">announcement on </w:t>
      </w:r>
      <m:oMath>
        <m:r>
          <w:rPr>
            <w:rFonts w:ascii="Cambria Math" w:hAnsi="Cambria Math"/>
          </w:rPr>
          <m:t>t=-1</m:t>
        </m:r>
      </m:oMath>
      <w:r w:rsidRPr="00714695">
        <w:rPr>
          <w:rFonts w:eastAsiaTheme="minorEastAsia"/>
        </w:rPr>
        <w:t xml:space="preserve">. </w:t>
      </w:r>
      <w:r w:rsidRPr="00714695">
        <w:t xml:space="preserve">For ZTE, the story broke late on Sunday prior to the announcement on </w:t>
      </w:r>
      <m:oMath>
        <m:r>
          <w:rPr>
            <w:rFonts w:ascii="Cambria Math" w:hAnsi="Cambria Math"/>
          </w:rPr>
          <m:t>t=-1</m:t>
        </m:r>
      </m:oMath>
      <w:r w:rsidRPr="00714695">
        <w:rPr>
          <w:rFonts w:eastAsiaTheme="minorEastAsia"/>
        </w:rPr>
        <w:t xml:space="preserve">, which was a Monday.  For all three events, the bulk of news about the event was on </w:t>
      </w:r>
      <m:oMath>
        <m:r>
          <w:rPr>
            <w:rFonts w:ascii="Cambria Math" w:eastAsiaTheme="minorEastAsia" w:hAnsi="Cambria Math"/>
          </w:rPr>
          <m:t>t=0</m:t>
        </m:r>
      </m:oMath>
      <w:r w:rsidRPr="00714695">
        <w:rPr>
          <w:rFonts w:eastAsiaTheme="minorEastAsia"/>
        </w:rPr>
        <w:t xml:space="preserve">. There was 5-6 times more news coverage on </w:t>
      </w:r>
      <m:oMath>
        <m:r>
          <w:rPr>
            <w:rFonts w:ascii="Cambria Math" w:eastAsiaTheme="minorEastAsia" w:hAnsi="Cambria Math"/>
          </w:rPr>
          <m:t>t=0</m:t>
        </m:r>
      </m:oMath>
      <w:r w:rsidRPr="00714695">
        <w:rPr>
          <w:rFonts w:eastAsiaTheme="minorEastAsia"/>
        </w:rPr>
        <w:t xml:space="preserve"> than on </w:t>
      </w:r>
      <m:oMath>
        <m:r>
          <w:rPr>
            <w:rFonts w:ascii="Cambria Math" w:eastAsiaTheme="minorEastAsia" w:hAnsi="Cambria Math"/>
          </w:rPr>
          <m:t>t=-1</m:t>
        </m:r>
      </m:oMath>
      <w:r w:rsidRPr="00714695">
        <w:rPr>
          <w:rFonts w:eastAsiaTheme="minorEastAsia"/>
        </w:rPr>
        <w:t xml:space="preserve">. </w:t>
      </w:r>
    </w:p>
    <w:p w14:paraId="238265E5" w14:textId="4642CC4D" w:rsidR="00DB576D" w:rsidRPr="00714695" w:rsidRDefault="00DB576D" w:rsidP="00DB576D">
      <w:pPr>
        <w:ind w:firstLine="360"/>
      </w:pPr>
      <w:r w:rsidRPr="00714695">
        <w:t xml:space="preserve">Separately, I search a more limited string in Nexis Uni for English language news publications in the United States over the six months prior to event window. The string is as follows: “sanctioned firm name” AND “entity list.” After adjusting hits as in Table </w:t>
      </w:r>
      <w:r w:rsidR="00A9615B">
        <w:t>A</w:t>
      </w:r>
      <w:r w:rsidR="00412AC9">
        <w:t>7</w:t>
      </w:r>
      <w:r w:rsidRPr="00714695">
        <w:t xml:space="preserve">, I do not find any evidence the ZTE and Huawei events were discussed in the six months prior to the event window. I do find evidence </w:t>
      </w:r>
      <w:r w:rsidR="007E375A">
        <w:t xml:space="preserve">that </w:t>
      </w:r>
      <w:r w:rsidR="007E375A" w:rsidRPr="00714695">
        <w:t>lawmakers and the media</w:t>
      </w:r>
      <w:r w:rsidR="007E375A" w:rsidRPr="00714695">
        <w:t xml:space="preserve"> </w:t>
      </w:r>
      <w:r w:rsidR="007E375A">
        <w:t xml:space="preserve">discussed </w:t>
      </w:r>
      <w:r w:rsidRPr="00714695">
        <w:t xml:space="preserve">the </w:t>
      </w:r>
      <w:r w:rsidR="007E375A">
        <w:t>possibility of the surveillance firms being added to the Entity List</w:t>
      </w:r>
      <w:r w:rsidRPr="00714695">
        <w:t xml:space="preserve"> </w:t>
      </w:r>
      <w:r>
        <w:t xml:space="preserve">some </w:t>
      </w:r>
      <w:r w:rsidRPr="00714695">
        <w:t xml:space="preserve">months prior to </w:t>
      </w:r>
      <w:r w:rsidR="007E375A">
        <w:t>the Surveillance event</w:t>
      </w:r>
      <w:r w:rsidRPr="00714695">
        <w:t xml:space="preserve">, particularly around the time of the Huawei event. However, there was limited discussion in weeks leading up to </w:t>
      </w:r>
      <m:oMath>
        <m:r>
          <w:rPr>
            <w:rFonts w:ascii="Cambria Math" w:hAnsi="Cambria Math"/>
          </w:rPr>
          <m:t>t=0</m:t>
        </m:r>
      </m:oMath>
      <w:r w:rsidRPr="00714695">
        <w:rPr>
          <w:rFonts w:eastAsiaTheme="minorEastAsia"/>
        </w:rPr>
        <w:t xml:space="preserve">. </w:t>
      </w:r>
      <w:r w:rsidRPr="00714695">
        <w:t xml:space="preserve">There is no evidence the precise date of the </w:t>
      </w:r>
      <w:r>
        <w:t xml:space="preserve">Surveillance </w:t>
      </w:r>
      <w:r w:rsidRPr="00714695">
        <w:t xml:space="preserve">event was known or if it would ever happen for sure. </w:t>
      </w:r>
    </w:p>
    <w:p w14:paraId="5C8BBB10" w14:textId="7B58F27E" w:rsidR="00DB576D" w:rsidRPr="007B7E87" w:rsidRDefault="00DB576D" w:rsidP="007B7E87">
      <w:pPr>
        <w:ind w:firstLine="360"/>
        <w:rPr>
          <w:rFonts w:eastAsiaTheme="minorEastAsia"/>
        </w:rPr>
      </w:pPr>
      <w:r w:rsidRPr="00714695">
        <w:t xml:space="preserve">To summarize, for the ZTE event, I find no evidence the action was anticipated in the six months prior to the announcement. I do find evidence the news story broke late on Sunday prior to the announcement on Monday. As discussed above, while this information came out early enough to affect trading at </w:t>
      </w:r>
      <m:oMath>
        <m:r>
          <w:rPr>
            <w:rFonts w:ascii="Cambria Math" w:hAnsi="Cambria Math"/>
          </w:rPr>
          <m:t>t=-1</m:t>
        </m:r>
      </m:oMath>
      <w:r w:rsidRPr="00714695">
        <w:rPr>
          <w:rFonts w:eastAsiaTheme="minorEastAsia"/>
        </w:rPr>
        <w:t xml:space="preserve">, I still believe designating </w:t>
      </w:r>
      <m:oMath>
        <m:r>
          <w:rPr>
            <w:rFonts w:ascii="Cambria Math" w:eastAsiaTheme="minorEastAsia" w:hAnsi="Cambria Math"/>
          </w:rPr>
          <m:t>t=0</m:t>
        </m:r>
      </m:oMath>
      <w:r w:rsidRPr="00714695">
        <w:rPr>
          <w:rFonts w:eastAsiaTheme="minorEastAsia"/>
        </w:rPr>
        <w:t xml:space="preserve"> as the first full day of trading after the announcement is most appropriate because the bulk of news covering the action is concentrated on </w:t>
      </w:r>
      <m:oMath>
        <m:r>
          <w:rPr>
            <w:rFonts w:ascii="Cambria Math" w:eastAsiaTheme="minorEastAsia" w:hAnsi="Cambria Math"/>
          </w:rPr>
          <m:t>t=0</m:t>
        </m:r>
      </m:oMath>
      <w:r w:rsidRPr="00714695">
        <w:rPr>
          <w:rFonts w:eastAsiaTheme="minorEastAsia"/>
        </w:rPr>
        <w:t xml:space="preserve">. </w:t>
      </w:r>
      <w:r w:rsidRPr="00714695">
        <w:t xml:space="preserve">For the Huawei event, I find no evidence the Entity List action was anticipated in the days leading up to its announcement or in the six months prior to the event window. The separate Executive Order discussed in the previous section was anticipated in the months leading up to its signing, but there is limited evidence the public anticipated the precise day of its signing. For the Surveillance event, I find no evidence the precise date of the action was anticipated in the days leading up to the announcement. The sanctions were contemplated in the months prior, but discussion in the weeks leading up to the action was negligible. I do not believe these nuances pose a threat to assuming the effects of the events were felt on </w:t>
      </w:r>
      <m:oMath>
        <m:r>
          <w:rPr>
            <w:rFonts w:ascii="Cambria Math" w:hAnsi="Cambria Math"/>
          </w:rPr>
          <m:t>t=0</m:t>
        </m:r>
      </m:oMath>
      <w:r w:rsidRPr="00714695">
        <w:rPr>
          <w:rFonts w:eastAsiaTheme="minorEastAsia"/>
        </w:rPr>
        <w:t xml:space="preserve">. </w:t>
      </w:r>
    </w:p>
    <w:p w14:paraId="7794297A" w14:textId="4450B4B0" w:rsidR="00DB576D" w:rsidRPr="00714695" w:rsidRDefault="00DB576D" w:rsidP="00DB576D">
      <w:pPr>
        <w:pStyle w:val="Heading3"/>
      </w:pPr>
      <w:r w:rsidRPr="00714695">
        <w:t xml:space="preserve">Magnitude </w:t>
      </w:r>
      <w:r w:rsidR="007B7E87">
        <w:t>C</w:t>
      </w:r>
      <w:r w:rsidRPr="00714695">
        <w:t>heck</w:t>
      </w:r>
    </w:p>
    <w:p w14:paraId="51026329" w14:textId="388B4167" w:rsidR="007B7E87" w:rsidRDefault="00DB576D" w:rsidP="007B7E87">
      <w:r w:rsidRPr="00714695">
        <w:t xml:space="preserve">Table </w:t>
      </w:r>
      <w:r w:rsidR="00A9615B">
        <w:t>A</w:t>
      </w:r>
      <w:r w:rsidR="00412AC9">
        <w:t>8</w:t>
      </w:r>
      <w:r w:rsidRPr="00714695">
        <w:t xml:space="preserve"> describes the events underlying the magnitude check examined in the results section of the main </w:t>
      </w:r>
      <w:r>
        <w:t>analysis</w:t>
      </w:r>
      <w:r w:rsidRPr="00714695">
        <w:t xml:space="preserve">. </w:t>
      </w:r>
    </w:p>
    <w:p w14:paraId="783CEE9C" w14:textId="34426722" w:rsidR="00DB576D" w:rsidRPr="00770501" w:rsidRDefault="00F25795" w:rsidP="00F25795">
      <w:pPr>
        <w:pStyle w:val="Caption"/>
        <w:rPr>
          <w:b w:val="0"/>
          <w:iCs w:val="0"/>
          <w:szCs w:val="24"/>
        </w:rPr>
      </w:pPr>
      <w:r>
        <w:t xml:space="preserve">Table </w:t>
      </w:r>
      <w:r w:rsidR="0002383E">
        <w:t>A</w:t>
      </w:r>
      <w:r w:rsidR="00F839C8">
        <w:fldChar w:fldCharType="begin"/>
      </w:r>
      <w:r w:rsidR="00F839C8">
        <w:instrText xml:space="preserve"> SEQ Table \* ARABIC </w:instrText>
      </w:r>
      <w:r w:rsidR="00F839C8">
        <w:fldChar w:fldCharType="separate"/>
      </w:r>
      <w:r>
        <w:rPr>
          <w:noProof/>
        </w:rPr>
        <w:t>8</w:t>
      </w:r>
      <w:r w:rsidR="00F839C8">
        <w:rPr>
          <w:noProof/>
        </w:rPr>
        <w:fldChar w:fldCharType="end"/>
      </w:r>
      <w:r w:rsidR="00DB576D" w:rsidRPr="00770501">
        <w:rPr>
          <w:b w:val="0"/>
          <w:iCs w:val="0"/>
          <w:szCs w:val="24"/>
        </w:rPr>
        <w:t xml:space="preserve">: </w:t>
      </w:r>
      <w:r w:rsidR="00DB576D" w:rsidRPr="00F25795">
        <w:t>Magnitude check events</w:t>
      </w:r>
    </w:p>
    <w:tbl>
      <w:tblPr>
        <w:tblStyle w:val="TableGrid7"/>
        <w:tblW w:w="7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296"/>
        <w:gridCol w:w="4608"/>
      </w:tblGrid>
      <w:tr w:rsidR="00DB576D" w:rsidRPr="00F25795" w14:paraId="69FF5343" w14:textId="77777777" w:rsidTr="003664E7">
        <w:trPr>
          <w:tblHeader/>
        </w:trPr>
        <w:tc>
          <w:tcPr>
            <w:tcW w:w="2016" w:type="dxa"/>
            <w:tcBorders>
              <w:top w:val="single" w:sz="4" w:space="0" w:color="auto"/>
              <w:bottom w:val="single" w:sz="4" w:space="0" w:color="auto"/>
            </w:tcBorders>
            <w:vAlign w:val="center"/>
          </w:tcPr>
          <w:p w14:paraId="549ADEBE" w14:textId="77777777" w:rsidR="00DB576D" w:rsidRPr="00F25795" w:rsidRDefault="00DB576D" w:rsidP="00887008">
            <w:pPr>
              <w:spacing w:before="40"/>
              <w:jc w:val="left"/>
              <w:rPr>
                <w:b/>
                <w:bCs/>
                <w:sz w:val="20"/>
                <w:szCs w:val="20"/>
              </w:rPr>
            </w:pPr>
            <w:r w:rsidRPr="00F25795">
              <w:rPr>
                <w:b/>
                <w:bCs/>
                <w:sz w:val="20"/>
                <w:szCs w:val="20"/>
              </w:rPr>
              <w:t>Entity List Event</w:t>
            </w:r>
          </w:p>
        </w:tc>
        <w:tc>
          <w:tcPr>
            <w:tcW w:w="1296" w:type="dxa"/>
            <w:tcBorders>
              <w:top w:val="single" w:sz="4" w:space="0" w:color="auto"/>
              <w:bottom w:val="single" w:sz="4" w:space="0" w:color="auto"/>
            </w:tcBorders>
            <w:vAlign w:val="center"/>
          </w:tcPr>
          <w:p w14:paraId="545FF377" w14:textId="77777777" w:rsidR="00DB576D" w:rsidRPr="00F25795" w:rsidRDefault="00DB576D" w:rsidP="00887008">
            <w:pPr>
              <w:spacing w:before="40"/>
              <w:jc w:val="left"/>
              <w:rPr>
                <w:b/>
                <w:bCs/>
                <w:sz w:val="20"/>
                <w:szCs w:val="20"/>
              </w:rPr>
            </w:pPr>
            <w:r w:rsidRPr="00F25795">
              <w:rPr>
                <w:b/>
                <w:bCs/>
                <w:sz w:val="20"/>
                <w:szCs w:val="20"/>
              </w:rPr>
              <w:t>Date</w:t>
            </w:r>
          </w:p>
        </w:tc>
        <w:tc>
          <w:tcPr>
            <w:tcW w:w="4608" w:type="dxa"/>
            <w:tcBorders>
              <w:top w:val="single" w:sz="4" w:space="0" w:color="auto"/>
              <w:bottom w:val="single" w:sz="4" w:space="0" w:color="auto"/>
            </w:tcBorders>
            <w:vAlign w:val="center"/>
          </w:tcPr>
          <w:p w14:paraId="000C1146" w14:textId="0E54CE70" w:rsidR="00DB576D" w:rsidRPr="00F25795" w:rsidRDefault="005B2969" w:rsidP="00887008">
            <w:pPr>
              <w:spacing w:before="40"/>
              <w:jc w:val="left"/>
              <w:rPr>
                <w:b/>
                <w:bCs/>
                <w:sz w:val="20"/>
                <w:szCs w:val="20"/>
              </w:rPr>
            </w:pPr>
            <w:r>
              <w:rPr>
                <w:b/>
                <w:bCs/>
                <w:sz w:val="20"/>
                <w:szCs w:val="20"/>
              </w:rPr>
              <w:t>Magnitude Check Event</w:t>
            </w:r>
          </w:p>
        </w:tc>
      </w:tr>
      <w:tr w:rsidR="00DB576D" w:rsidRPr="00F25795" w14:paraId="127039CE" w14:textId="77777777" w:rsidTr="00287713">
        <w:tc>
          <w:tcPr>
            <w:tcW w:w="2016" w:type="dxa"/>
            <w:tcBorders>
              <w:top w:val="single" w:sz="4" w:space="0" w:color="auto"/>
              <w:bottom w:val="single" w:sz="4" w:space="0" w:color="auto"/>
            </w:tcBorders>
            <w:vAlign w:val="center"/>
          </w:tcPr>
          <w:p w14:paraId="032A3153" w14:textId="77777777" w:rsidR="00DB576D" w:rsidRPr="00F25795" w:rsidRDefault="00DB576D" w:rsidP="00887008">
            <w:pPr>
              <w:spacing w:before="40"/>
              <w:jc w:val="left"/>
              <w:rPr>
                <w:sz w:val="20"/>
                <w:szCs w:val="20"/>
              </w:rPr>
            </w:pPr>
            <w:r w:rsidRPr="00F25795">
              <w:rPr>
                <w:sz w:val="20"/>
                <w:szCs w:val="20"/>
              </w:rPr>
              <w:t>ZTE</w:t>
            </w:r>
          </w:p>
        </w:tc>
        <w:tc>
          <w:tcPr>
            <w:tcW w:w="1296" w:type="dxa"/>
            <w:tcBorders>
              <w:top w:val="single" w:sz="4" w:space="0" w:color="auto"/>
              <w:bottom w:val="single" w:sz="4" w:space="0" w:color="auto"/>
            </w:tcBorders>
            <w:vAlign w:val="center"/>
          </w:tcPr>
          <w:p w14:paraId="04B2E132" w14:textId="42ECA598" w:rsidR="00DB576D" w:rsidRPr="00F25795" w:rsidRDefault="00287713" w:rsidP="00887008">
            <w:pPr>
              <w:spacing w:before="40"/>
              <w:jc w:val="left"/>
              <w:rPr>
                <w:sz w:val="20"/>
                <w:szCs w:val="20"/>
              </w:rPr>
            </w:pPr>
            <w:r w:rsidRPr="00F25795">
              <w:rPr>
                <w:sz w:val="20"/>
                <w:szCs w:val="20"/>
              </w:rPr>
              <w:t xml:space="preserve">4 </w:t>
            </w:r>
            <w:r w:rsidR="00DB576D" w:rsidRPr="00F25795">
              <w:rPr>
                <w:sz w:val="20"/>
                <w:szCs w:val="20"/>
              </w:rPr>
              <w:t>January 2016</w:t>
            </w:r>
          </w:p>
        </w:tc>
        <w:tc>
          <w:tcPr>
            <w:tcW w:w="4608" w:type="dxa"/>
            <w:tcBorders>
              <w:top w:val="single" w:sz="4" w:space="0" w:color="auto"/>
              <w:bottom w:val="single" w:sz="4" w:space="0" w:color="auto"/>
            </w:tcBorders>
            <w:vAlign w:val="center"/>
          </w:tcPr>
          <w:p w14:paraId="5D75FCCD" w14:textId="77777777" w:rsidR="00DB576D" w:rsidRPr="00F25795" w:rsidRDefault="00DB576D" w:rsidP="00887008">
            <w:pPr>
              <w:spacing w:before="40"/>
              <w:jc w:val="left"/>
              <w:rPr>
                <w:sz w:val="20"/>
                <w:szCs w:val="20"/>
              </w:rPr>
            </w:pPr>
            <w:r w:rsidRPr="00F25795">
              <w:rPr>
                <w:sz w:val="20"/>
                <w:szCs w:val="20"/>
              </w:rPr>
              <w:t>U.S. equity markets fall sharply on the first full day of trading in 2016, due to the release of weak Chinese economic data.</w:t>
            </w:r>
            <w:r w:rsidRPr="00F25795">
              <w:rPr>
                <w:sz w:val="20"/>
                <w:szCs w:val="20"/>
                <w:vertAlign w:val="superscript"/>
              </w:rPr>
              <w:endnoteReference w:id="94"/>
            </w:r>
          </w:p>
        </w:tc>
      </w:tr>
      <w:tr w:rsidR="00DB576D" w:rsidRPr="00F25795" w14:paraId="6A93456F" w14:textId="77777777" w:rsidTr="00287713">
        <w:tc>
          <w:tcPr>
            <w:tcW w:w="2016" w:type="dxa"/>
            <w:tcBorders>
              <w:top w:val="single" w:sz="4" w:space="0" w:color="auto"/>
              <w:bottom w:val="single" w:sz="4" w:space="0" w:color="auto"/>
            </w:tcBorders>
            <w:vAlign w:val="center"/>
          </w:tcPr>
          <w:p w14:paraId="76664942" w14:textId="77777777" w:rsidR="00DB576D" w:rsidRPr="00F25795" w:rsidRDefault="00DB576D" w:rsidP="00887008">
            <w:pPr>
              <w:spacing w:before="40"/>
              <w:jc w:val="left"/>
              <w:rPr>
                <w:sz w:val="20"/>
                <w:szCs w:val="20"/>
              </w:rPr>
            </w:pPr>
            <w:r w:rsidRPr="00F25795">
              <w:rPr>
                <w:sz w:val="20"/>
                <w:szCs w:val="20"/>
              </w:rPr>
              <w:lastRenderedPageBreak/>
              <w:t>Huawei</w:t>
            </w:r>
          </w:p>
        </w:tc>
        <w:tc>
          <w:tcPr>
            <w:tcW w:w="1296" w:type="dxa"/>
            <w:tcBorders>
              <w:top w:val="single" w:sz="4" w:space="0" w:color="auto"/>
              <w:bottom w:val="single" w:sz="4" w:space="0" w:color="auto"/>
            </w:tcBorders>
            <w:vAlign w:val="center"/>
          </w:tcPr>
          <w:p w14:paraId="4D15565F" w14:textId="6362AE5F" w:rsidR="00DB576D" w:rsidRPr="00F25795" w:rsidRDefault="00287713" w:rsidP="00887008">
            <w:pPr>
              <w:spacing w:before="40"/>
              <w:jc w:val="left"/>
              <w:rPr>
                <w:sz w:val="20"/>
                <w:szCs w:val="20"/>
              </w:rPr>
            </w:pPr>
            <w:r w:rsidRPr="00F25795">
              <w:rPr>
                <w:sz w:val="20"/>
                <w:szCs w:val="20"/>
              </w:rPr>
              <w:t xml:space="preserve">6 </w:t>
            </w:r>
            <w:r w:rsidR="00DB576D" w:rsidRPr="00F25795">
              <w:rPr>
                <w:sz w:val="20"/>
                <w:szCs w:val="20"/>
              </w:rPr>
              <w:t>May 2019</w:t>
            </w:r>
          </w:p>
        </w:tc>
        <w:tc>
          <w:tcPr>
            <w:tcW w:w="4608" w:type="dxa"/>
            <w:tcBorders>
              <w:top w:val="single" w:sz="4" w:space="0" w:color="auto"/>
              <w:bottom w:val="single" w:sz="4" w:space="0" w:color="auto"/>
            </w:tcBorders>
            <w:vAlign w:val="center"/>
          </w:tcPr>
          <w:p w14:paraId="469F5BD8" w14:textId="77777777" w:rsidR="00DB576D" w:rsidRPr="00F25795" w:rsidRDefault="00DB576D" w:rsidP="00887008">
            <w:pPr>
              <w:spacing w:before="40"/>
              <w:jc w:val="left"/>
              <w:rPr>
                <w:sz w:val="20"/>
                <w:szCs w:val="20"/>
              </w:rPr>
            </w:pPr>
            <w:r w:rsidRPr="00F25795">
              <w:rPr>
                <w:sz w:val="20"/>
                <w:szCs w:val="20"/>
              </w:rPr>
              <w:t>President Trump unexpectedly announced on Sunday, May 5 that the U.S. would raise tariffs on Chinese imports significantly later in the week.</w:t>
            </w:r>
            <w:r w:rsidRPr="00F25795">
              <w:rPr>
                <w:sz w:val="20"/>
                <w:szCs w:val="20"/>
                <w:vertAlign w:val="superscript"/>
              </w:rPr>
              <w:endnoteReference w:id="95"/>
            </w:r>
            <w:r w:rsidRPr="00F25795">
              <w:rPr>
                <w:sz w:val="20"/>
                <w:szCs w:val="20"/>
              </w:rPr>
              <w:t xml:space="preserve"> Chinese authorities indicated they might skip trade talks scheduled for later in the week. Financial media reports that the developments hit technology and industrial stocks with Chinese exposure particularly severely.</w:t>
            </w:r>
            <w:r w:rsidRPr="00F25795">
              <w:rPr>
                <w:sz w:val="20"/>
                <w:szCs w:val="20"/>
                <w:vertAlign w:val="superscript"/>
              </w:rPr>
              <w:endnoteReference w:id="96"/>
            </w:r>
          </w:p>
        </w:tc>
      </w:tr>
      <w:tr w:rsidR="00DB576D" w:rsidRPr="00F25795" w14:paraId="37ED46F8" w14:textId="77777777" w:rsidTr="00287713">
        <w:tc>
          <w:tcPr>
            <w:tcW w:w="2016" w:type="dxa"/>
            <w:tcBorders>
              <w:top w:val="single" w:sz="4" w:space="0" w:color="auto"/>
              <w:bottom w:val="single" w:sz="4" w:space="0" w:color="auto"/>
            </w:tcBorders>
            <w:vAlign w:val="center"/>
          </w:tcPr>
          <w:p w14:paraId="2EDB969B" w14:textId="77777777" w:rsidR="00DB576D" w:rsidRPr="00F25795" w:rsidRDefault="00DB576D" w:rsidP="00887008">
            <w:pPr>
              <w:spacing w:before="40"/>
              <w:jc w:val="left"/>
              <w:rPr>
                <w:sz w:val="20"/>
                <w:szCs w:val="20"/>
              </w:rPr>
            </w:pPr>
            <w:r w:rsidRPr="00F25795">
              <w:rPr>
                <w:sz w:val="20"/>
                <w:szCs w:val="20"/>
              </w:rPr>
              <w:t>Surveillance</w:t>
            </w:r>
          </w:p>
        </w:tc>
        <w:tc>
          <w:tcPr>
            <w:tcW w:w="1296" w:type="dxa"/>
            <w:tcBorders>
              <w:top w:val="single" w:sz="4" w:space="0" w:color="auto"/>
              <w:bottom w:val="single" w:sz="4" w:space="0" w:color="auto"/>
            </w:tcBorders>
            <w:vAlign w:val="center"/>
          </w:tcPr>
          <w:p w14:paraId="392D85A3" w14:textId="5C33EC53" w:rsidR="00DB576D" w:rsidRPr="00F25795" w:rsidRDefault="00287713" w:rsidP="00887008">
            <w:pPr>
              <w:spacing w:before="40"/>
              <w:jc w:val="left"/>
              <w:rPr>
                <w:sz w:val="20"/>
                <w:szCs w:val="20"/>
              </w:rPr>
            </w:pPr>
            <w:r w:rsidRPr="00F25795">
              <w:rPr>
                <w:sz w:val="20"/>
                <w:szCs w:val="20"/>
              </w:rPr>
              <w:t xml:space="preserve">23 </w:t>
            </w:r>
            <w:r w:rsidR="00DB576D" w:rsidRPr="00F25795">
              <w:rPr>
                <w:sz w:val="20"/>
                <w:szCs w:val="20"/>
              </w:rPr>
              <w:t>August 2019</w:t>
            </w:r>
          </w:p>
        </w:tc>
        <w:tc>
          <w:tcPr>
            <w:tcW w:w="4608" w:type="dxa"/>
            <w:tcBorders>
              <w:top w:val="single" w:sz="4" w:space="0" w:color="auto"/>
              <w:bottom w:val="single" w:sz="4" w:space="0" w:color="auto"/>
            </w:tcBorders>
            <w:vAlign w:val="center"/>
          </w:tcPr>
          <w:p w14:paraId="226C8313" w14:textId="77777777" w:rsidR="00DB576D" w:rsidRPr="00F25795" w:rsidRDefault="00DB576D" w:rsidP="00887008">
            <w:pPr>
              <w:spacing w:before="40"/>
              <w:jc w:val="left"/>
              <w:rPr>
                <w:sz w:val="20"/>
                <w:szCs w:val="20"/>
              </w:rPr>
            </w:pPr>
            <w:r w:rsidRPr="00F25795">
              <w:rPr>
                <w:sz w:val="20"/>
                <w:szCs w:val="20"/>
              </w:rPr>
              <w:t>Chinese officials release their plan to impose retaliatory tariffs on the U.S. in response to forthcoming tariffs.</w:t>
            </w:r>
            <w:r w:rsidRPr="00F25795">
              <w:rPr>
                <w:sz w:val="20"/>
                <w:szCs w:val="20"/>
                <w:vertAlign w:val="superscript"/>
              </w:rPr>
              <w:endnoteReference w:id="97"/>
            </w:r>
            <w:r w:rsidRPr="00F25795">
              <w:rPr>
                <w:sz w:val="20"/>
                <w:szCs w:val="20"/>
              </w:rPr>
              <w:t xml:space="preserve"> The financial media reports that the developments hit technology and industrial stocks with Chinese exposure particularly severely.</w:t>
            </w:r>
            <w:r w:rsidRPr="00F25795">
              <w:rPr>
                <w:sz w:val="20"/>
                <w:szCs w:val="20"/>
                <w:vertAlign w:val="superscript"/>
              </w:rPr>
              <w:endnoteReference w:id="98"/>
            </w:r>
          </w:p>
        </w:tc>
      </w:tr>
    </w:tbl>
    <w:p w14:paraId="24DBBF25" w14:textId="1D40ACEF" w:rsidR="00412AC9" w:rsidRDefault="00412AC9" w:rsidP="00412AC9"/>
    <w:p w14:paraId="55371308" w14:textId="3CE1FB50" w:rsidR="00412AC9" w:rsidRDefault="00412AC9" w:rsidP="00412AC9"/>
    <w:p w14:paraId="44730AFF" w14:textId="0C79B7CD" w:rsidR="00412AC9" w:rsidRDefault="00412AC9" w:rsidP="00412AC9"/>
    <w:p w14:paraId="348CDAD0" w14:textId="1AB31EE7" w:rsidR="00412AC9" w:rsidRDefault="00412AC9" w:rsidP="00412AC9"/>
    <w:p w14:paraId="64B54661" w14:textId="1959D580" w:rsidR="00412AC9" w:rsidRDefault="00412AC9" w:rsidP="00412AC9"/>
    <w:p w14:paraId="2660564F" w14:textId="58DBE120" w:rsidR="00412AC9" w:rsidRDefault="00412AC9" w:rsidP="00412AC9"/>
    <w:p w14:paraId="06586CF5" w14:textId="0958AECD" w:rsidR="00412AC9" w:rsidRDefault="00412AC9" w:rsidP="00412AC9"/>
    <w:p w14:paraId="2A36A000" w14:textId="0CA4FC51" w:rsidR="00412AC9" w:rsidRDefault="00412AC9" w:rsidP="00412AC9"/>
    <w:p w14:paraId="5F8EEF14" w14:textId="77777777" w:rsidR="00676411" w:rsidRDefault="00676411" w:rsidP="0002383E">
      <w:pPr>
        <w:rPr>
          <w:b/>
          <w:bCs/>
          <w:sz w:val="32"/>
          <w:szCs w:val="32"/>
        </w:rPr>
      </w:pPr>
    </w:p>
    <w:p w14:paraId="2836DF2C" w14:textId="77777777" w:rsidR="00676411" w:rsidRDefault="00676411" w:rsidP="0002383E">
      <w:pPr>
        <w:rPr>
          <w:b/>
          <w:bCs/>
          <w:sz w:val="32"/>
          <w:szCs w:val="32"/>
        </w:rPr>
      </w:pPr>
    </w:p>
    <w:p w14:paraId="4916E735" w14:textId="77777777" w:rsidR="00676411" w:rsidRDefault="00676411" w:rsidP="0002383E">
      <w:pPr>
        <w:rPr>
          <w:b/>
          <w:bCs/>
          <w:sz w:val="32"/>
          <w:szCs w:val="32"/>
        </w:rPr>
      </w:pPr>
    </w:p>
    <w:p w14:paraId="2A639E1E" w14:textId="77777777" w:rsidR="00676411" w:rsidRDefault="00676411" w:rsidP="0002383E">
      <w:pPr>
        <w:rPr>
          <w:b/>
          <w:bCs/>
          <w:sz w:val="32"/>
          <w:szCs w:val="32"/>
        </w:rPr>
      </w:pPr>
    </w:p>
    <w:p w14:paraId="3996E801" w14:textId="77777777" w:rsidR="00676411" w:rsidRDefault="00676411" w:rsidP="0002383E">
      <w:pPr>
        <w:rPr>
          <w:b/>
          <w:bCs/>
          <w:sz w:val="32"/>
          <w:szCs w:val="32"/>
        </w:rPr>
      </w:pPr>
    </w:p>
    <w:p w14:paraId="15E240F2" w14:textId="77777777" w:rsidR="00676411" w:rsidRDefault="00676411" w:rsidP="0002383E">
      <w:pPr>
        <w:rPr>
          <w:b/>
          <w:bCs/>
          <w:sz w:val="32"/>
          <w:szCs w:val="32"/>
        </w:rPr>
      </w:pPr>
    </w:p>
    <w:p w14:paraId="385CCA09" w14:textId="77777777" w:rsidR="00676411" w:rsidRDefault="00676411" w:rsidP="0002383E">
      <w:pPr>
        <w:rPr>
          <w:b/>
          <w:bCs/>
          <w:sz w:val="32"/>
          <w:szCs w:val="32"/>
        </w:rPr>
      </w:pPr>
    </w:p>
    <w:p w14:paraId="01E7EEEF" w14:textId="77777777" w:rsidR="00676411" w:rsidRDefault="00676411" w:rsidP="0002383E">
      <w:pPr>
        <w:rPr>
          <w:b/>
          <w:bCs/>
          <w:sz w:val="32"/>
          <w:szCs w:val="32"/>
        </w:rPr>
      </w:pPr>
    </w:p>
    <w:p w14:paraId="7D3C9555" w14:textId="77777777" w:rsidR="00676411" w:rsidRDefault="00676411" w:rsidP="0002383E">
      <w:pPr>
        <w:rPr>
          <w:b/>
          <w:bCs/>
          <w:sz w:val="32"/>
          <w:szCs w:val="32"/>
        </w:rPr>
      </w:pPr>
    </w:p>
    <w:p w14:paraId="7B8BA585" w14:textId="77777777" w:rsidR="00676411" w:rsidRDefault="00676411" w:rsidP="0002383E">
      <w:pPr>
        <w:rPr>
          <w:b/>
          <w:bCs/>
          <w:sz w:val="32"/>
          <w:szCs w:val="32"/>
        </w:rPr>
      </w:pPr>
    </w:p>
    <w:p w14:paraId="0A688B1A" w14:textId="77777777" w:rsidR="00676411" w:rsidRDefault="00676411" w:rsidP="0002383E">
      <w:pPr>
        <w:rPr>
          <w:b/>
          <w:bCs/>
          <w:sz w:val="32"/>
          <w:szCs w:val="32"/>
        </w:rPr>
      </w:pPr>
    </w:p>
    <w:p w14:paraId="799D8652" w14:textId="77777777" w:rsidR="00676411" w:rsidRDefault="00676411" w:rsidP="0002383E">
      <w:pPr>
        <w:rPr>
          <w:b/>
          <w:bCs/>
          <w:sz w:val="32"/>
          <w:szCs w:val="32"/>
        </w:rPr>
      </w:pPr>
    </w:p>
    <w:p w14:paraId="76EE7BC7" w14:textId="77777777" w:rsidR="00676411" w:rsidRDefault="00676411" w:rsidP="0002383E">
      <w:pPr>
        <w:rPr>
          <w:b/>
          <w:bCs/>
          <w:sz w:val="32"/>
          <w:szCs w:val="32"/>
        </w:rPr>
      </w:pPr>
    </w:p>
    <w:p w14:paraId="1AA983AA" w14:textId="2B36F8AB" w:rsidR="008273C3" w:rsidRPr="0002383E" w:rsidRDefault="008273C3" w:rsidP="0002383E">
      <w:pPr>
        <w:rPr>
          <w:b/>
          <w:bCs/>
          <w:sz w:val="32"/>
          <w:szCs w:val="32"/>
        </w:rPr>
      </w:pPr>
      <w:r w:rsidRPr="0002383E">
        <w:rPr>
          <w:b/>
          <w:bCs/>
          <w:sz w:val="32"/>
          <w:szCs w:val="32"/>
        </w:rPr>
        <w:lastRenderedPageBreak/>
        <w:t>Endnotes</w:t>
      </w:r>
    </w:p>
    <w:sectPr w:rsidR="008273C3" w:rsidRPr="0002383E" w:rsidSect="00287713">
      <w:endnotePr>
        <w:numFmt w:val="decimal"/>
      </w:endnotePr>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F60F1" w14:textId="77777777" w:rsidR="00F839C8" w:rsidRDefault="00F839C8" w:rsidP="00DB576D">
      <w:r>
        <w:separator/>
      </w:r>
    </w:p>
  </w:endnote>
  <w:endnote w:type="continuationSeparator" w:id="0">
    <w:p w14:paraId="6522B018" w14:textId="77777777" w:rsidR="00F839C8" w:rsidRDefault="00F839C8" w:rsidP="00DB576D">
      <w:r>
        <w:continuationSeparator/>
      </w:r>
    </w:p>
  </w:endnote>
  <w:endnote w:id="1">
    <w:p w14:paraId="04FE84D0" w14:textId="10B98403"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Bureau of Industry and Security</w:t>
      </w:r>
      <w:r>
        <w:t>. 2016.</w:t>
      </w:r>
      <w:r w:rsidRPr="000F7E18">
        <w:t xml:space="preserve"> Press Release Archives</w:t>
      </w:r>
      <w:r>
        <w:t>.</w:t>
      </w:r>
      <w:r w:rsidRPr="000F7E18">
        <w:t xml:space="preserve"> March 7</w:t>
      </w:r>
      <w:r>
        <w:t>.</w:t>
      </w:r>
      <w:r w:rsidRPr="000F7E18">
        <w:t xml:space="preserve"> </w:t>
      </w:r>
      <w:hyperlink r:id="rId1" w:history="1">
        <w:r w:rsidRPr="000F7E18">
          <w:rPr>
            <w:rStyle w:val="Hyperlink"/>
          </w:rPr>
          <w:t>https://www.bis.doc.gov/index.php/about-bis/newsroom/archives/press-release-archives</w:t>
        </w:r>
      </w:hyperlink>
      <w:r w:rsidRPr="000F7E18">
        <w:t xml:space="preserve">. </w:t>
      </w:r>
    </w:p>
  </w:endnote>
  <w:endnote w:id="2">
    <w:p w14:paraId="3339D42A" w14:textId="7D12DA87"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t>Stecklow</w:t>
      </w:r>
      <w:r w:rsidRPr="000F7E18">
        <w:t xml:space="preserve">, </w:t>
      </w:r>
      <w:r>
        <w:t>Steve. 2016. “</w:t>
      </w:r>
      <w:r w:rsidRPr="000F7E18">
        <w:t>US Commerce Dept to place restrictions on China’s ZTE</w:t>
      </w:r>
      <w:r>
        <w:t>.”</w:t>
      </w:r>
      <w:r w:rsidRPr="000F7E18">
        <w:t xml:space="preserve"> </w:t>
      </w:r>
      <w:r w:rsidRPr="002608AD">
        <w:rPr>
          <w:i/>
          <w:iCs/>
        </w:rPr>
        <w:t>Reuters</w:t>
      </w:r>
      <w:r>
        <w:t xml:space="preserve">. </w:t>
      </w:r>
      <w:r w:rsidRPr="000F7E18">
        <w:t>March 7</w:t>
      </w:r>
      <w:r>
        <w:t>.</w:t>
      </w:r>
      <w:r w:rsidRPr="000F7E18">
        <w:t xml:space="preserve"> </w:t>
      </w:r>
      <w:r w:rsidRPr="00BB62BB">
        <w:t>https://www.reuters.com/article/us-zte-usa-china/u-s-commerce-department-to-place-restrictions-on-chinas-zte-idUSKCN0W80AV</w:t>
      </w:r>
      <w:r>
        <w:t>;</w:t>
      </w:r>
      <w:r w:rsidRPr="000F7E18">
        <w:t xml:space="preserve"> Seeking Alpha</w:t>
      </w:r>
      <w:r>
        <w:t>.</w:t>
      </w:r>
      <w:r w:rsidRPr="000F7E18">
        <w:t xml:space="preserve"> </w:t>
      </w:r>
      <w:r>
        <w:t>2016a. “</w:t>
      </w:r>
      <w:r w:rsidRPr="000F7E18">
        <w:t>Wall Street Breakfast: Will The Winning Streak Continue?</w:t>
      </w:r>
      <w:r>
        <w:t>”</w:t>
      </w:r>
      <w:r w:rsidRPr="000F7E18">
        <w:t xml:space="preserve"> March 7</w:t>
      </w:r>
      <w:r>
        <w:t xml:space="preserve">. </w:t>
      </w:r>
      <w:hyperlink r:id="rId2" w:history="1">
        <w:r w:rsidRPr="000F7E18">
          <w:rPr>
            <w:rStyle w:val="Hyperlink"/>
          </w:rPr>
          <w:t>https://seekingalpha.com/article/3956277-wall-street-breakfast-will-winning-streak-continue</w:t>
        </w:r>
      </w:hyperlink>
      <w:r w:rsidRPr="000F7E18">
        <w:t>; Osawa, Juro and Eva Dou</w:t>
      </w:r>
      <w:r>
        <w:t>. 2016.</w:t>
      </w:r>
      <w:r w:rsidRPr="000F7E18">
        <w:t xml:space="preserve"> </w:t>
      </w:r>
      <w:r>
        <w:t>“</w:t>
      </w:r>
      <w:r w:rsidRPr="000F7E18">
        <w:t>U.S. to Place Trade Restrictions on China’s ZTE</w:t>
      </w:r>
      <w:r>
        <w:t>.”</w:t>
      </w:r>
      <w:r w:rsidRPr="000F7E18">
        <w:t xml:space="preserve"> </w:t>
      </w:r>
      <w:r w:rsidRPr="002608AD">
        <w:rPr>
          <w:i/>
          <w:iCs/>
        </w:rPr>
        <w:t>The Wall Street Journal</w:t>
      </w:r>
      <w:r>
        <w:t>.</w:t>
      </w:r>
      <w:r w:rsidRPr="000F7E18">
        <w:t xml:space="preserve"> March 7</w:t>
      </w:r>
      <w:r>
        <w:t>.</w:t>
      </w:r>
      <w:r w:rsidRPr="000F7E18">
        <w:t xml:space="preserve"> </w:t>
      </w:r>
      <w:hyperlink r:id="rId3" w:history="1">
        <w:r w:rsidRPr="000F7E18">
          <w:rPr>
            <w:rStyle w:val="Hyperlink"/>
          </w:rPr>
          <w:t>https://www.wsj.com/articles/u-s-plans-to-place-restrictions-on-zte-1457337207?mod=article_inline</w:t>
        </w:r>
      </w:hyperlink>
      <w:r w:rsidRPr="000F7E18">
        <w:t xml:space="preserve">. </w:t>
      </w:r>
    </w:p>
  </w:endnote>
  <w:endnote w:id="3">
    <w:p w14:paraId="4C8D165D" w14:textId="0E686BB2"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Wittenstein, Jeran</w:t>
      </w:r>
      <w:r>
        <w:t>. 2016a.</w:t>
      </w:r>
      <w:r w:rsidRPr="000F7E18">
        <w:t xml:space="preserve"> </w:t>
      </w:r>
      <w:r>
        <w:t>“</w:t>
      </w:r>
      <w:r w:rsidRPr="000F7E18">
        <w:t>U.S. WRAP: Stocks Climb a 5th Day as Crude Drives Commodity Gain</w:t>
      </w:r>
      <w:r>
        <w:t>.”</w:t>
      </w:r>
      <w:r w:rsidRPr="000F7E18">
        <w:t xml:space="preserve"> </w:t>
      </w:r>
      <w:r w:rsidRPr="00B95A99">
        <w:rPr>
          <w:i/>
          <w:iCs/>
        </w:rPr>
        <w:t>Bloomberg (via Bloomberg terminal)</w:t>
      </w:r>
      <w:r>
        <w:t>.</w:t>
      </w:r>
      <w:r w:rsidRPr="000F7E18">
        <w:t xml:space="preserve"> March 7.</w:t>
      </w:r>
    </w:p>
  </w:endnote>
  <w:endnote w:id="4">
    <w:p w14:paraId="5B9FD615" w14:textId="7083AE59"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rsidRPr="00A42579">
        <w:t>Department of Commerce</w:t>
      </w:r>
      <w:r>
        <w:t>. 2016a. “</w:t>
      </w:r>
      <w:r w:rsidRPr="000F7E18">
        <w:t>Additions to the Entity List</w:t>
      </w:r>
      <w:r>
        <w:t>.”</w:t>
      </w:r>
      <w:r w:rsidRPr="000F7E18">
        <w:t xml:space="preserve"> </w:t>
      </w:r>
      <w:r w:rsidRPr="00A42579">
        <w:rPr>
          <w:i/>
          <w:iCs/>
        </w:rPr>
        <w:t>Federal Register</w:t>
      </w:r>
      <w:r w:rsidRPr="000F7E18">
        <w:t xml:space="preserve"> </w:t>
      </w:r>
      <w:r>
        <w:t>(</w:t>
      </w:r>
      <w:r w:rsidRPr="000F7E18">
        <w:t>March 8, 2016</w:t>
      </w:r>
      <w:r>
        <w:t>).</w:t>
      </w:r>
      <w:r w:rsidRPr="000F7E18">
        <w:t xml:space="preserve"> </w:t>
      </w:r>
      <w:r w:rsidRPr="00A42579">
        <w:t>https://www.govinfo.gov/content/pkg/FR-2016-03-08/pdf/2016-05104.pdf</w:t>
      </w:r>
      <w:r w:rsidRPr="000F7E18">
        <w:t>.</w:t>
      </w:r>
    </w:p>
  </w:endnote>
  <w:endnote w:id="5">
    <w:p w14:paraId="1DE4DDD7" w14:textId="47E01CB4"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Seeking Alpha</w:t>
      </w:r>
      <w:r>
        <w:t>. 2016b.</w:t>
      </w:r>
      <w:r w:rsidRPr="000F7E18">
        <w:t xml:space="preserve"> </w:t>
      </w:r>
      <w:r>
        <w:t>“</w:t>
      </w:r>
      <w:r w:rsidRPr="000F7E18">
        <w:t>Wall Street Breakfast: Renewed Concerns About China As Exports Tumble</w:t>
      </w:r>
      <w:r>
        <w:t>.”</w:t>
      </w:r>
      <w:r w:rsidRPr="000F7E18">
        <w:t xml:space="preserve"> March 8</w:t>
      </w:r>
      <w:r>
        <w:t>.</w:t>
      </w:r>
      <w:r w:rsidRPr="000F7E18">
        <w:t xml:space="preserve"> </w:t>
      </w:r>
      <w:hyperlink r:id="rId4" w:history="1">
        <w:r w:rsidRPr="000F7E18">
          <w:rPr>
            <w:rStyle w:val="Hyperlink"/>
          </w:rPr>
          <w:t>https://seekingalpha.com/article/3956561-wall-street-breakfast-renewed-concerns-china-exports-tumble</w:t>
        </w:r>
      </w:hyperlink>
      <w:r w:rsidRPr="000F7E18">
        <w:t xml:space="preserve">. </w:t>
      </w:r>
    </w:p>
  </w:endnote>
  <w:endnote w:id="6">
    <w:p w14:paraId="701F3E65" w14:textId="10C9C917"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Sparshott, Jeffrey and Juro Osawa</w:t>
      </w:r>
      <w:r>
        <w:t>. 2016.</w:t>
      </w:r>
      <w:r w:rsidRPr="000F7E18">
        <w:t xml:space="preserve"> </w:t>
      </w:r>
      <w:r>
        <w:t>“</w:t>
      </w:r>
      <w:r w:rsidRPr="000F7E18">
        <w:t>U.S. Says It Is in Talks With China’s ZTE on Trade Sanctions</w:t>
      </w:r>
      <w:r>
        <w:t>.”</w:t>
      </w:r>
      <w:r w:rsidRPr="000F7E18">
        <w:t xml:space="preserve"> </w:t>
      </w:r>
      <w:r w:rsidRPr="00A42579">
        <w:rPr>
          <w:i/>
          <w:iCs/>
        </w:rPr>
        <w:t>The Wall Street Journal</w:t>
      </w:r>
      <w:r>
        <w:t>.</w:t>
      </w:r>
      <w:r w:rsidRPr="000F7E18">
        <w:t xml:space="preserve"> March 15</w:t>
      </w:r>
      <w:r>
        <w:t>.</w:t>
      </w:r>
      <w:r w:rsidRPr="000F7E18">
        <w:t xml:space="preserve"> </w:t>
      </w:r>
      <w:hyperlink r:id="rId5" w:history="1">
        <w:r w:rsidRPr="000F7E18">
          <w:rPr>
            <w:rStyle w:val="Hyperlink"/>
          </w:rPr>
          <w:t>https://www.wsj.com/articles/u-s-says-it-is-in-talks-with-chinas-zte-on-trade-sanctions-1458085867</w:t>
        </w:r>
      </w:hyperlink>
      <w:r w:rsidRPr="000F7E18">
        <w:t xml:space="preserve">. </w:t>
      </w:r>
    </w:p>
  </w:endnote>
  <w:endnote w:id="7">
    <w:p w14:paraId="79A998DB" w14:textId="6F2BFE12"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rsidRPr="00A42579">
        <w:t>Department of Commerce</w:t>
      </w:r>
      <w:r>
        <w:t>.</w:t>
      </w:r>
      <w:r w:rsidRPr="00A42579">
        <w:t xml:space="preserve"> </w:t>
      </w:r>
      <w:r>
        <w:t>2016b. “</w:t>
      </w:r>
      <w:r w:rsidRPr="000F7E18">
        <w:t>Temporary General License</w:t>
      </w:r>
      <w:r>
        <w:t>.”</w:t>
      </w:r>
      <w:r w:rsidRPr="000F7E18">
        <w:t xml:space="preserve"> </w:t>
      </w:r>
      <w:r w:rsidRPr="005373F3">
        <w:rPr>
          <w:i/>
          <w:iCs/>
        </w:rPr>
        <w:t>Federal Register</w:t>
      </w:r>
      <w:r>
        <w:t xml:space="preserve"> (</w:t>
      </w:r>
      <w:r w:rsidRPr="000F7E18">
        <w:t>March 24, 2016</w:t>
      </w:r>
      <w:r>
        <w:t>).</w:t>
      </w:r>
      <w:r w:rsidRPr="000F7E18">
        <w:t xml:space="preserve"> </w:t>
      </w:r>
      <w:r w:rsidRPr="005373F3">
        <w:t>https://www.govinfo.gov/content/pkg/FR-2016-03-24/pdf/2016-06689.pdf</w:t>
      </w:r>
      <w:r w:rsidRPr="000F7E18">
        <w:t>.</w:t>
      </w:r>
    </w:p>
  </w:endnote>
  <w:endnote w:id="8">
    <w:p w14:paraId="7A5A069C" w14:textId="40A01717"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rsidRPr="00A42579">
        <w:t>Department of Commerce</w:t>
      </w:r>
      <w:r>
        <w:t>.</w:t>
      </w:r>
      <w:r w:rsidRPr="00A42579">
        <w:t xml:space="preserve"> </w:t>
      </w:r>
      <w:r>
        <w:t>2016c. “</w:t>
      </w:r>
      <w:r w:rsidRPr="000F7E18">
        <w:t>Temporary General License: Extension of Validity</w:t>
      </w:r>
      <w:r>
        <w:t>.”</w:t>
      </w:r>
      <w:r w:rsidRPr="000F7E18">
        <w:t xml:space="preserve"> </w:t>
      </w:r>
      <w:r w:rsidRPr="00EF69DB">
        <w:rPr>
          <w:i/>
          <w:iCs/>
        </w:rPr>
        <w:t>Federal Register</w:t>
      </w:r>
      <w:r w:rsidRPr="000F7E18">
        <w:t xml:space="preserve"> </w:t>
      </w:r>
      <w:r>
        <w:t>(</w:t>
      </w:r>
      <w:r w:rsidRPr="000F7E18">
        <w:t>June 28, 2016</w:t>
      </w:r>
      <w:r>
        <w:t>).</w:t>
      </w:r>
      <w:r w:rsidRPr="000F7E18">
        <w:t xml:space="preserve"> </w:t>
      </w:r>
      <w:r w:rsidRPr="002743D1">
        <w:t>https://www.govinfo.gov/content/pkg/FR-2016-06-28/pdf/2016-15228.pdf</w:t>
      </w:r>
      <w:r w:rsidRPr="000F7E18">
        <w:t>.</w:t>
      </w:r>
    </w:p>
  </w:endnote>
  <w:endnote w:id="9">
    <w:p w14:paraId="6ABC9504" w14:textId="0DE83F04"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rsidRPr="00A42579">
        <w:t>Department of Commerce</w:t>
      </w:r>
      <w:r>
        <w:t>.</w:t>
      </w:r>
      <w:r w:rsidRPr="00A42579">
        <w:t xml:space="preserve"> </w:t>
      </w:r>
      <w:r>
        <w:t>2016d. “</w:t>
      </w:r>
      <w:r w:rsidRPr="000F7E18">
        <w:t>Temporary General License: Extension of Validity</w:t>
      </w:r>
      <w:r>
        <w:t>.”</w:t>
      </w:r>
      <w:r w:rsidRPr="000F7E18">
        <w:t xml:space="preserve"> </w:t>
      </w:r>
      <w:r w:rsidRPr="00EF69DB">
        <w:rPr>
          <w:i/>
          <w:iCs/>
        </w:rPr>
        <w:t>Federal Register</w:t>
      </w:r>
      <w:r w:rsidRPr="000F7E18">
        <w:t xml:space="preserve"> </w:t>
      </w:r>
      <w:r>
        <w:t>(</w:t>
      </w:r>
      <w:r w:rsidRPr="000F7E18">
        <w:t>August 19, 2016</w:t>
      </w:r>
      <w:r>
        <w:t>).</w:t>
      </w:r>
      <w:r w:rsidRPr="000F7E18">
        <w:t xml:space="preserve"> </w:t>
      </w:r>
      <w:r w:rsidRPr="002743D1">
        <w:t>https://www.govinfo.gov/content/pkg/FR-2016-08-19/pdf/2016-19828.pdf</w:t>
      </w:r>
      <w:r w:rsidRPr="000F7E18">
        <w:t>.</w:t>
      </w:r>
    </w:p>
  </w:endnote>
  <w:endnote w:id="10">
    <w:p w14:paraId="5FADAE84" w14:textId="7A4F4787"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rsidRPr="00A42579">
        <w:t>Department of Commerce</w:t>
      </w:r>
      <w:r>
        <w:t>.</w:t>
      </w:r>
      <w:r w:rsidRPr="00A42579">
        <w:t xml:space="preserve"> </w:t>
      </w:r>
      <w:r>
        <w:t>2016e. “</w:t>
      </w:r>
      <w:r w:rsidRPr="000F7E18">
        <w:t>Temporary General License: Extension of Validity</w:t>
      </w:r>
      <w:r>
        <w:t>.”</w:t>
      </w:r>
      <w:r w:rsidRPr="000F7E18">
        <w:t xml:space="preserve"> </w:t>
      </w:r>
      <w:r w:rsidRPr="00EF69DB">
        <w:rPr>
          <w:i/>
          <w:iCs/>
        </w:rPr>
        <w:t>Federal Register</w:t>
      </w:r>
      <w:r w:rsidRPr="000F7E18">
        <w:t xml:space="preserve"> </w:t>
      </w:r>
      <w:r>
        <w:t>(</w:t>
      </w:r>
      <w:r w:rsidRPr="000F7E18">
        <w:t>November 18, 2016</w:t>
      </w:r>
      <w:r>
        <w:t>).</w:t>
      </w:r>
      <w:r w:rsidRPr="000F7E18">
        <w:t xml:space="preserve"> </w:t>
      </w:r>
      <w:r w:rsidRPr="002743D1">
        <w:t>https://www.govinfo.gov/content/pkg/FR-2016-11-18/pdf/2016-27772.pdf</w:t>
      </w:r>
      <w:r w:rsidRPr="000F7E18">
        <w:t>.</w:t>
      </w:r>
    </w:p>
  </w:endnote>
  <w:endnote w:id="11">
    <w:p w14:paraId="250CE5A8" w14:textId="36B507FA"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rsidRPr="00A42579">
        <w:t>Department of Commerce</w:t>
      </w:r>
      <w:r>
        <w:t>.</w:t>
      </w:r>
      <w:r w:rsidRPr="00A42579">
        <w:t xml:space="preserve"> </w:t>
      </w:r>
      <w:r>
        <w:t>2017a. “</w:t>
      </w:r>
      <w:r w:rsidRPr="000F7E18">
        <w:t>Temporary General License: Extension of Validity</w:t>
      </w:r>
      <w:r>
        <w:t>.”</w:t>
      </w:r>
      <w:r w:rsidRPr="000F7E18">
        <w:t xml:space="preserve"> </w:t>
      </w:r>
      <w:r w:rsidRPr="00EF69DB">
        <w:rPr>
          <w:i/>
          <w:iCs/>
        </w:rPr>
        <w:t>Federal Register</w:t>
      </w:r>
      <w:r>
        <w:t xml:space="preserve"> (</w:t>
      </w:r>
      <w:r w:rsidRPr="000F7E18">
        <w:t>February 24, 2017</w:t>
      </w:r>
      <w:r>
        <w:t>).</w:t>
      </w:r>
      <w:r w:rsidRPr="000F7E18">
        <w:t xml:space="preserve"> </w:t>
      </w:r>
      <w:r w:rsidRPr="002743D1">
        <w:t>https://www.govinfo.gov/content/pkg/FR-2017-02-24/pdf/2017-03664.pdf</w:t>
      </w:r>
      <w:r w:rsidRPr="000F7E18">
        <w:t>.</w:t>
      </w:r>
    </w:p>
  </w:endnote>
  <w:endnote w:id="12">
    <w:p w14:paraId="7AD3207D" w14:textId="3566AB57"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rsidRPr="00A42579">
        <w:t>Department of Commerce</w:t>
      </w:r>
      <w:r>
        <w:t>.</w:t>
      </w:r>
      <w:r w:rsidRPr="00A42579">
        <w:t xml:space="preserve"> </w:t>
      </w:r>
      <w:r>
        <w:t>2017b. “</w:t>
      </w:r>
      <w:r w:rsidRPr="000F7E18">
        <w:t>Removal of Certain Persons From the Entity List; Addition of a Person to the Entity List; and EAR Conforming Change</w:t>
      </w:r>
      <w:r>
        <w:t>.”</w:t>
      </w:r>
      <w:r w:rsidRPr="000F7E18">
        <w:t xml:space="preserve"> </w:t>
      </w:r>
      <w:r w:rsidRPr="00EF69DB">
        <w:rPr>
          <w:i/>
          <w:iCs/>
        </w:rPr>
        <w:t>Federal Register</w:t>
      </w:r>
      <w:r w:rsidRPr="000F7E18">
        <w:t xml:space="preserve"> </w:t>
      </w:r>
      <w:r>
        <w:t>(</w:t>
      </w:r>
      <w:r w:rsidRPr="000F7E18">
        <w:t>March 29, 2017</w:t>
      </w:r>
      <w:r>
        <w:t>).</w:t>
      </w:r>
      <w:r w:rsidRPr="000F7E18">
        <w:t xml:space="preserve"> </w:t>
      </w:r>
      <w:r w:rsidRPr="002743D1">
        <w:t>https://www.govinfo.gov/content/pkg/FR-2017-03-29/pdf/2017-06227.pdf</w:t>
      </w:r>
      <w:r w:rsidRPr="000F7E18">
        <w:t>.</w:t>
      </w:r>
    </w:p>
  </w:endnote>
  <w:endnote w:id="13">
    <w:p w14:paraId="10926009" w14:textId="249103BC"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rsidRPr="00A42579">
        <w:t>Department of Commerce</w:t>
      </w:r>
      <w:r>
        <w:t>.</w:t>
      </w:r>
      <w:r w:rsidRPr="00A42579">
        <w:t xml:space="preserve"> </w:t>
      </w:r>
      <w:r>
        <w:t>2019a. “</w:t>
      </w:r>
      <w:r w:rsidRPr="000F7E18">
        <w:t>Department of Commerce Announces the Addition of Huawei Technologies Co. Ltd. to the Entity List</w:t>
      </w:r>
      <w:r>
        <w:t>.”</w:t>
      </w:r>
      <w:r w:rsidRPr="000F7E18">
        <w:t xml:space="preserve"> </w:t>
      </w:r>
      <w:r>
        <w:rPr>
          <w:i/>
          <w:iCs/>
        </w:rPr>
        <w:t xml:space="preserve">Press Releases. </w:t>
      </w:r>
      <w:r w:rsidRPr="000F7E18">
        <w:t>May 15</w:t>
      </w:r>
      <w:r>
        <w:t xml:space="preserve">. </w:t>
      </w:r>
      <w:hyperlink r:id="rId6" w:history="1">
        <w:r w:rsidRPr="00D66898">
          <w:rPr>
            <w:rStyle w:val="Hyperlink"/>
          </w:rPr>
          <w:t>https://www.commerce.gov/news/press-releases/2019/05/department-commerce-announces-addition-huawei-technologies-co-ltd</w:t>
        </w:r>
      </w:hyperlink>
      <w:r>
        <w:t xml:space="preserve">. </w:t>
      </w:r>
    </w:p>
  </w:endnote>
  <w:endnote w:id="14">
    <w:p w14:paraId="5A7B003A" w14:textId="34569283"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Geller, Eric</w:t>
      </w:r>
      <w:r>
        <w:t>. 2019b.</w:t>
      </w:r>
      <w:r w:rsidRPr="000F7E18">
        <w:t xml:space="preserve"> </w:t>
      </w:r>
      <w:r>
        <w:t>“</w:t>
      </w:r>
      <w:r w:rsidRPr="000F7E18">
        <w:t>Trump signs order setting stage to ban Huawei from U.S.</w:t>
      </w:r>
      <w:r>
        <w:t>”</w:t>
      </w:r>
      <w:r w:rsidRPr="000F7E18">
        <w:t xml:space="preserve"> </w:t>
      </w:r>
      <w:r w:rsidRPr="00794A4D">
        <w:rPr>
          <w:i/>
          <w:iCs/>
        </w:rPr>
        <w:t>Politico</w:t>
      </w:r>
      <w:r>
        <w:rPr>
          <w:i/>
          <w:iCs/>
        </w:rPr>
        <w:t>.</w:t>
      </w:r>
      <w:r w:rsidRPr="000F7E18">
        <w:t xml:space="preserve"> May 15</w:t>
      </w:r>
      <w:r>
        <w:t xml:space="preserve">. </w:t>
      </w:r>
      <w:hyperlink r:id="rId7" w:history="1">
        <w:r w:rsidRPr="000F7E18">
          <w:rPr>
            <w:rStyle w:val="Hyperlink"/>
          </w:rPr>
          <w:t>https://www.politico.com/story/2019/05/15/trump-ban-huawei-us-1042046</w:t>
        </w:r>
      </w:hyperlink>
      <w:r w:rsidRPr="000F7E18">
        <w:t>; O’Keefe, Kate, John D. McKinnon, and Dan Strumpf</w:t>
      </w:r>
      <w:r>
        <w:t>. 2019.</w:t>
      </w:r>
      <w:r w:rsidRPr="000F7E18">
        <w:t xml:space="preserve"> </w:t>
      </w:r>
      <w:r>
        <w:t>“</w:t>
      </w:r>
      <w:r w:rsidRPr="000F7E18">
        <w:t>Trump Steps Up Assault on China’s Huawei</w:t>
      </w:r>
      <w:r>
        <w:t>.”</w:t>
      </w:r>
      <w:r w:rsidRPr="000F7E18">
        <w:t xml:space="preserve"> </w:t>
      </w:r>
      <w:r w:rsidRPr="00794A4D">
        <w:rPr>
          <w:i/>
          <w:iCs/>
        </w:rPr>
        <w:t>The Wall Street Journal</w:t>
      </w:r>
      <w:r>
        <w:t>.</w:t>
      </w:r>
      <w:r w:rsidRPr="000F7E18">
        <w:t xml:space="preserve"> May 15</w:t>
      </w:r>
      <w:r>
        <w:t>.</w:t>
      </w:r>
      <w:r w:rsidRPr="000F7E18">
        <w:t xml:space="preserve"> </w:t>
      </w:r>
      <w:hyperlink r:id="rId8" w:history="1">
        <w:r w:rsidRPr="000F7E18">
          <w:rPr>
            <w:rStyle w:val="Hyperlink"/>
          </w:rPr>
          <w:t>https://www.wsj.com/articles/trump-telecom-ban-takes-aim-at-china-huawei-11557953363</w:t>
        </w:r>
      </w:hyperlink>
      <w:r w:rsidRPr="000F7E18">
        <w:t>; Zumbrun, Josh, John D. McKinnon, and William Mauldin</w:t>
      </w:r>
      <w:r>
        <w:t>. 2019.</w:t>
      </w:r>
      <w:r w:rsidRPr="000F7E18">
        <w:t xml:space="preserve"> </w:t>
      </w:r>
      <w:r>
        <w:t>“</w:t>
      </w:r>
      <w:r w:rsidRPr="000F7E18">
        <w:t>U.S. Targets Huawei as it Seeks to Revive China Trade Talks</w:t>
      </w:r>
      <w:r>
        <w:t>.”</w:t>
      </w:r>
      <w:r w:rsidRPr="000F7E18">
        <w:t xml:space="preserve"> </w:t>
      </w:r>
      <w:r w:rsidRPr="00794A4D">
        <w:rPr>
          <w:i/>
          <w:iCs/>
        </w:rPr>
        <w:t>The Wall Street Journal</w:t>
      </w:r>
      <w:r>
        <w:t>.</w:t>
      </w:r>
      <w:r w:rsidRPr="000F7E18">
        <w:t xml:space="preserve"> May 15</w:t>
      </w:r>
      <w:r>
        <w:t>.</w:t>
      </w:r>
      <w:r w:rsidRPr="000F7E18">
        <w:t xml:space="preserve"> </w:t>
      </w:r>
      <w:hyperlink r:id="rId9" w:history="1">
        <w:r w:rsidRPr="000F7E18">
          <w:rPr>
            <w:rStyle w:val="Hyperlink"/>
          </w:rPr>
          <w:t>https://www.wsj.com/articles/mnuchin-says-u-s-negotiators-likely-to-go-to-beijing-in-near-future-11557931783</w:t>
        </w:r>
      </w:hyperlink>
      <w:r w:rsidRPr="000F7E18">
        <w:t xml:space="preserve">. </w:t>
      </w:r>
    </w:p>
  </w:endnote>
  <w:endnote w:id="15">
    <w:p w14:paraId="3BC48B6F" w14:textId="6BE7C1E9"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Jensen, Randall and Sarah Ponczek</w:t>
      </w:r>
      <w:r>
        <w:t>. 2019</w:t>
      </w:r>
      <w:r w:rsidR="00B569BE">
        <w:t>c</w:t>
      </w:r>
      <w:r>
        <w:t>.</w:t>
      </w:r>
      <w:r w:rsidRPr="000F7E18">
        <w:t xml:space="preserve"> </w:t>
      </w:r>
      <w:r>
        <w:t>“</w:t>
      </w:r>
      <w:r w:rsidRPr="000F7E18">
        <w:t>U.S. Stocks Rise on Signs of Easing Trade Tensions: Markets Wrap</w:t>
      </w:r>
      <w:r>
        <w:t>.”</w:t>
      </w:r>
      <w:r w:rsidRPr="000F7E18">
        <w:t xml:space="preserve"> </w:t>
      </w:r>
      <w:r w:rsidRPr="001C0613">
        <w:rPr>
          <w:i/>
          <w:iCs/>
        </w:rPr>
        <w:t>Bloomberg News (via Bloomberg Terminal)</w:t>
      </w:r>
      <w:r>
        <w:t>.</w:t>
      </w:r>
      <w:r w:rsidRPr="000F7E18">
        <w:t xml:space="preserve"> May 15</w:t>
      </w:r>
      <w:r>
        <w:t>.</w:t>
      </w:r>
      <w:r w:rsidRPr="000F7E18">
        <w:t>; Seeking Alpha</w:t>
      </w:r>
      <w:r>
        <w:t>.</w:t>
      </w:r>
      <w:r w:rsidRPr="000F7E18">
        <w:t xml:space="preserve"> </w:t>
      </w:r>
      <w:r>
        <w:t>2019a. “</w:t>
      </w:r>
      <w:r w:rsidRPr="000F7E18">
        <w:t>Wall Street Breakfast: Brexit Can-Kicking Coming To An End?</w:t>
      </w:r>
      <w:r>
        <w:t>”</w:t>
      </w:r>
      <w:r w:rsidRPr="000F7E18">
        <w:t xml:space="preserve"> May 15</w:t>
      </w:r>
      <w:r>
        <w:t>.</w:t>
      </w:r>
      <w:r w:rsidRPr="000F7E18">
        <w:t xml:space="preserve"> </w:t>
      </w:r>
      <w:hyperlink r:id="rId10" w:history="1">
        <w:r w:rsidRPr="000F7E18">
          <w:rPr>
            <w:rStyle w:val="Hyperlink"/>
          </w:rPr>
          <w:t>https://seekingalpha.com/article/4264146-wall-street-breakfast-brexit-can-kicking-coming-to-end</w:t>
        </w:r>
      </w:hyperlink>
      <w:r w:rsidRPr="000F7E18">
        <w:t>; Ramkumar, Amrith</w:t>
      </w:r>
      <w:r>
        <w:t>. 2019b.</w:t>
      </w:r>
      <w:r w:rsidRPr="000F7E18">
        <w:t xml:space="preserve"> </w:t>
      </w:r>
      <w:r>
        <w:t>“</w:t>
      </w:r>
      <w:r w:rsidRPr="000F7E18">
        <w:t>Stocks Turn Higher on Trade Hopes</w:t>
      </w:r>
      <w:r>
        <w:t>.”</w:t>
      </w:r>
      <w:r w:rsidRPr="000F7E18">
        <w:t xml:space="preserve"> </w:t>
      </w:r>
      <w:r w:rsidRPr="001C0613">
        <w:rPr>
          <w:i/>
          <w:iCs/>
        </w:rPr>
        <w:t>The Wall Street Journal</w:t>
      </w:r>
      <w:r>
        <w:t>.</w:t>
      </w:r>
      <w:r w:rsidRPr="000F7E18">
        <w:t xml:space="preserve"> May 15</w:t>
      </w:r>
      <w:r>
        <w:t>.</w:t>
      </w:r>
      <w:r w:rsidRPr="000F7E18">
        <w:t xml:space="preserve"> </w:t>
      </w:r>
      <w:hyperlink r:id="rId11" w:history="1">
        <w:r w:rsidRPr="000F7E18">
          <w:rPr>
            <w:rStyle w:val="Hyperlink"/>
          </w:rPr>
          <w:t>https://www.wsj.com/articles/global-stocks-pause-on-mixed-economic-data-11557906881</w:t>
        </w:r>
      </w:hyperlink>
      <w:r w:rsidRPr="000F7E18">
        <w:t>.</w:t>
      </w:r>
    </w:p>
  </w:endnote>
  <w:endnote w:id="16">
    <w:p w14:paraId="7E25FD68" w14:textId="37C957C7"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Bureau of Industry and Security</w:t>
      </w:r>
      <w:r>
        <w:t>. 2019.</w:t>
      </w:r>
      <w:r w:rsidRPr="000F7E18">
        <w:t xml:space="preserve"> Addition of Certain Entities to the Entity List (final rule), effective May 16, 2019, </w:t>
      </w:r>
      <w:hyperlink r:id="rId12" w:history="1">
        <w:r w:rsidRPr="000F7E18">
          <w:rPr>
            <w:rStyle w:val="Hyperlink"/>
          </w:rPr>
          <w:t>https://www.bis.doc.gov/index.php/all-articles/17-regulations/1555-addition-of-certain-entities-to-the-entity-list-final-rule-effective-may-16-2019</w:t>
        </w:r>
      </w:hyperlink>
      <w:r w:rsidRPr="000F7E18">
        <w:t>.</w:t>
      </w:r>
    </w:p>
  </w:endnote>
  <w:endnote w:id="17">
    <w:p w14:paraId="1277880E" w14:textId="5290201A"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rsidRPr="00A42579">
        <w:t>Department of Commerce</w:t>
      </w:r>
      <w:r w:rsidR="00625116">
        <w:t xml:space="preserve"> (</w:t>
      </w:r>
      <w:r w:rsidR="00625116" w:rsidRPr="00625116">
        <w:t>@CommerceGov</w:t>
      </w:r>
      <w:r w:rsidR="00625116">
        <w:t>)</w:t>
      </w:r>
      <w:r>
        <w:t>. 2019b.</w:t>
      </w:r>
      <w:r w:rsidRPr="00CF29A3">
        <w:t xml:space="preserve"> Department of Commerce Announces the Addition of Huawei Technologies Co. Ltd. to the Entity List</w:t>
      </w:r>
      <w:r>
        <w:t xml:space="preserve">. </w:t>
      </w:r>
      <w:r w:rsidRPr="00CF29A3">
        <w:rPr>
          <w:i/>
          <w:iCs/>
        </w:rPr>
        <w:t>Twitter</w:t>
      </w:r>
      <w:r>
        <w:t xml:space="preserve">. </w:t>
      </w:r>
      <w:r w:rsidRPr="000F7E18">
        <w:t xml:space="preserve"> </w:t>
      </w:r>
      <w:hyperlink r:id="rId13" w:history="1">
        <w:r w:rsidRPr="000F7E18">
          <w:rPr>
            <w:rStyle w:val="Hyperlink"/>
          </w:rPr>
          <w:t>https://twitter.com/CommerceGov/status/1129023216830341120</w:t>
        </w:r>
      </w:hyperlink>
    </w:p>
  </w:endnote>
  <w:endnote w:id="18">
    <w:p w14:paraId="0EAB2B93" w14:textId="347C5A80"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Jensen, Randall and Vildana Hajric</w:t>
      </w:r>
      <w:r>
        <w:t>. 2019.</w:t>
      </w:r>
      <w:r w:rsidRPr="000F7E18">
        <w:t xml:space="preserve"> </w:t>
      </w:r>
      <w:r>
        <w:t>“</w:t>
      </w:r>
      <w:r w:rsidRPr="000F7E18">
        <w:t>Stocks Rebound for Third Day after Earnings, Data: Markets Wrap</w:t>
      </w:r>
      <w:r>
        <w:t>.”</w:t>
      </w:r>
      <w:r w:rsidRPr="000F7E18">
        <w:t xml:space="preserve"> </w:t>
      </w:r>
      <w:r w:rsidRPr="005C1D83">
        <w:rPr>
          <w:i/>
          <w:iCs/>
        </w:rPr>
        <w:t>Bloomberg News (via Bloomberg Terminal)</w:t>
      </w:r>
      <w:r>
        <w:t>.</w:t>
      </w:r>
      <w:r w:rsidRPr="000F7E18">
        <w:t xml:space="preserve"> May 16</w:t>
      </w:r>
      <w:r>
        <w:t>.</w:t>
      </w:r>
      <w:r w:rsidRPr="000F7E18">
        <w:t xml:space="preserve">; </w:t>
      </w:r>
      <w:r>
        <w:t>Seeking Alpha. 2019b. “</w:t>
      </w:r>
      <w:r w:rsidRPr="000F7E18">
        <w:t>Wall Street Breakfast: A Protracted Trade Dispute</w:t>
      </w:r>
      <w:r>
        <w:t>.”</w:t>
      </w:r>
      <w:r w:rsidRPr="000F7E18">
        <w:t xml:space="preserve"> May 16</w:t>
      </w:r>
      <w:r>
        <w:t>.</w:t>
      </w:r>
      <w:r w:rsidRPr="000F7E18">
        <w:t xml:space="preserve"> </w:t>
      </w:r>
      <w:hyperlink r:id="rId14" w:history="1">
        <w:r w:rsidRPr="000F7E18">
          <w:rPr>
            <w:rStyle w:val="Hyperlink"/>
          </w:rPr>
          <w:t>https://seekingalpha.com/article/4264538-wall-street-breakfast-protracted-trade-dispute</w:t>
        </w:r>
      </w:hyperlink>
      <w:r w:rsidRPr="000F7E18">
        <w:t>.</w:t>
      </w:r>
    </w:p>
  </w:endnote>
  <w:endnote w:id="19">
    <w:p w14:paraId="57B35981" w14:textId="241ED8B9"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Ponczek, Sarah and Vildana Hajric</w:t>
      </w:r>
      <w:r>
        <w:t>. 2019a.</w:t>
      </w:r>
      <w:r w:rsidRPr="000F7E18">
        <w:t xml:space="preserve"> </w:t>
      </w:r>
      <w:r>
        <w:t>“</w:t>
      </w:r>
      <w:r w:rsidRPr="000F7E18">
        <w:t>U.S. Stocks Finish Lower as Trade Jitters Hit Tech: Markets Wrap</w:t>
      </w:r>
      <w:r>
        <w:t>.”</w:t>
      </w:r>
      <w:r w:rsidRPr="000F7E18">
        <w:t xml:space="preserve"> </w:t>
      </w:r>
      <w:r w:rsidRPr="00080C65">
        <w:rPr>
          <w:i/>
          <w:iCs/>
        </w:rPr>
        <w:t>Bloomberg News (via Bloomberg Terminal)</w:t>
      </w:r>
      <w:r>
        <w:t>.</w:t>
      </w:r>
      <w:r w:rsidRPr="000F7E18">
        <w:t xml:space="preserve"> May 20</w:t>
      </w:r>
      <w:r>
        <w:t>.</w:t>
      </w:r>
      <w:r w:rsidRPr="000F7E18">
        <w:t>; Seeking Alpha</w:t>
      </w:r>
      <w:r>
        <w:t>. 2019c. “</w:t>
      </w:r>
      <w:r w:rsidRPr="000F7E18">
        <w:t>Wall Street Breakfast: Huawei Ban Bites Hard</w:t>
      </w:r>
      <w:r>
        <w:t>.”</w:t>
      </w:r>
      <w:r w:rsidRPr="000F7E18">
        <w:t xml:space="preserve"> May 20</w:t>
      </w:r>
      <w:r>
        <w:t>.</w:t>
      </w:r>
      <w:r w:rsidRPr="000F7E18">
        <w:t xml:space="preserve"> </w:t>
      </w:r>
      <w:hyperlink r:id="rId15" w:history="1">
        <w:r w:rsidRPr="000F7E18">
          <w:rPr>
            <w:rStyle w:val="Hyperlink"/>
          </w:rPr>
          <w:t>https://seekingalpha.com/article/4265207-wall-street-breakfast-huawei-ban-bites-hard</w:t>
        </w:r>
      </w:hyperlink>
      <w:r w:rsidRPr="000F7E18">
        <w:t>; Chilkoti, Avantika and Michael Wursthorn</w:t>
      </w:r>
      <w:r>
        <w:t>. 2019.</w:t>
      </w:r>
      <w:r w:rsidRPr="000F7E18">
        <w:t xml:space="preserve"> </w:t>
      </w:r>
      <w:r>
        <w:t>“</w:t>
      </w:r>
      <w:r w:rsidRPr="000F7E18">
        <w:t>U.S. Stocks Dragged Down by Tech Sector</w:t>
      </w:r>
      <w:r>
        <w:t>.”</w:t>
      </w:r>
      <w:r w:rsidRPr="000F7E18">
        <w:t xml:space="preserve"> </w:t>
      </w:r>
      <w:r w:rsidRPr="00080C65">
        <w:rPr>
          <w:i/>
          <w:iCs/>
        </w:rPr>
        <w:t>The Wall Street Journal</w:t>
      </w:r>
      <w:r>
        <w:t>.</w:t>
      </w:r>
      <w:r w:rsidRPr="000F7E18">
        <w:t xml:space="preserve"> May 20</w:t>
      </w:r>
      <w:r>
        <w:t>.</w:t>
      </w:r>
      <w:r w:rsidRPr="000F7E18">
        <w:t xml:space="preserve"> </w:t>
      </w:r>
      <w:hyperlink r:id="rId16" w:history="1">
        <w:r w:rsidRPr="000F7E18">
          <w:rPr>
            <w:rStyle w:val="Hyperlink"/>
          </w:rPr>
          <w:t>https://www.wsj.com/articles/global-stocks-slip-as-trade-skirmish-drags-on-11558338168</w:t>
        </w:r>
      </w:hyperlink>
      <w:r w:rsidRPr="000F7E18">
        <w:t xml:space="preserve">. </w:t>
      </w:r>
    </w:p>
  </w:endnote>
  <w:endnote w:id="20">
    <w:p w14:paraId="167D7F0F" w14:textId="498E0E53" w:rsidR="00192335" w:rsidRPr="000F7E18" w:rsidRDefault="00192335" w:rsidP="00FC6977">
      <w:pPr>
        <w:pStyle w:val="EndnoteText"/>
        <w:spacing w:afterLines="20" w:after="48"/>
        <w:jc w:val="left"/>
      </w:pPr>
      <w:r w:rsidRPr="000F7E18">
        <w:rPr>
          <w:rStyle w:val="EndnoteReference"/>
        </w:rPr>
        <w:endnoteRef/>
      </w:r>
      <w:r w:rsidRPr="000F7E18">
        <w:t xml:space="preserve"> Chilkoti and Wursthorn (2019).</w:t>
      </w:r>
    </w:p>
  </w:endnote>
  <w:endnote w:id="21">
    <w:p w14:paraId="67802A14" w14:textId="20D8395D"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t>Department of Commerce</w:t>
      </w:r>
      <w:r w:rsidRPr="000F7E18">
        <w:t>.</w:t>
      </w:r>
      <w:r>
        <w:t xml:space="preserve"> 2019c. “</w:t>
      </w:r>
      <w:r w:rsidRPr="00915C4C">
        <w:t>Department of Commerce Issues Limited Exemptions on Huawei Products</w:t>
      </w:r>
      <w:r>
        <w:t xml:space="preserve">.” </w:t>
      </w:r>
      <w:r>
        <w:rPr>
          <w:i/>
          <w:iCs/>
        </w:rPr>
        <w:t xml:space="preserve">Press Releases. </w:t>
      </w:r>
      <w:r>
        <w:t xml:space="preserve">May 20. </w:t>
      </w:r>
      <w:hyperlink r:id="rId17" w:history="1">
        <w:r w:rsidRPr="00D66898">
          <w:rPr>
            <w:rStyle w:val="Hyperlink"/>
          </w:rPr>
          <w:t>https://www.commerce.gov/news/press-releases/2019/05/department-commerce-issues-limited-exemptions-huawei-products</w:t>
        </w:r>
      </w:hyperlink>
      <w:r>
        <w:t xml:space="preserve">. </w:t>
      </w:r>
      <w:r w:rsidRPr="000F7E18">
        <w:t xml:space="preserve">  </w:t>
      </w:r>
    </w:p>
  </w:endnote>
  <w:endnote w:id="22">
    <w:p w14:paraId="3ADB33FB" w14:textId="4E6D06C6"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Ponczek and Hajric (2019</w:t>
      </w:r>
      <w:r>
        <w:t>a</w:t>
      </w:r>
      <w:r w:rsidRPr="000F7E18">
        <w:t>); Seeking Alpha (</w:t>
      </w:r>
      <w:r>
        <w:t>2019c</w:t>
      </w:r>
      <w:r w:rsidRPr="000F7E18">
        <w:t>).</w:t>
      </w:r>
    </w:p>
  </w:endnote>
  <w:endnote w:id="23">
    <w:p w14:paraId="0666018C" w14:textId="4B5752BD"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Chilkoti and Wursthorn (2019); McKinnon, John D., Dan Strumpf, and Yoko Kubota</w:t>
      </w:r>
      <w:r>
        <w:t>. 2019.</w:t>
      </w:r>
      <w:r w:rsidRPr="000F7E18">
        <w:t xml:space="preserve"> </w:t>
      </w:r>
      <w:r>
        <w:t>“</w:t>
      </w:r>
      <w:r w:rsidRPr="000F7E18">
        <w:t>U.S. Plans Temporary Exemptions to Huawei Blacklist</w:t>
      </w:r>
      <w:r>
        <w:t>.”</w:t>
      </w:r>
      <w:r w:rsidRPr="000F7E18">
        <w:t xml:space="preserve"> </w:t>
      </w:r>
      <w:r w:rsidRPr="00EC3D3B">
        <w:rPr>
          <w:i/>
          <w:iCs/>
        </w:rPr>
        <w:t>The Wall Street Journal</w:t>
      </w:r>
      <w:r>
        <w:t>.</w:t>
      </w:r>
      <w:r w:rsidRPr="000F7E18">
        <w:t xml:space="preserve"> May 20</w:t>
      </w:r>
      <w:r>
        <w:t xml:space="preserve">. </w:t>
      </w:r>
      <w:hyperlink r:id="rId18" w:history="1">
        <w:r w:rsidRPr="00D66898">
          <w:rPr>
            <w:rStyle w:val="Hyperlink"/>
          </w:rPr>
          <w:t>https://www.wsj.com/articles/u-s-plans-temporary-exemptions-to-huawei-blacklist-11558397319</w:t>
        </w:r>
      </w:hyperlink>
      <w:r w:rsidRPr="000F7E18">
        <w:t xml:space="preserve">. </w:t>
      </w:r>
    </w:p>
  </w:endnote>
  <w:endnote w:id="24">
    <w:p w14:paraId="125617C7" w14:textId="03554386"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Allen, Nathan and Akane Otani</w:t>
      </w:r>
      <w:r>
        <w:t>. 2019.</w:t>
      </w:r>
      <w:r w:rsidRPr="000F7E18">
        <w:t xml:space="preserve"> </w:t>
      </w:r>
      <w:r>
        <w:t>“</w:t>
      </w:r>
      <w:r w:rsidRPr="000F7E18">
        <w:t>U.S. Stocks Rise as Huawei Ban Is Delayed</w:t>
      </w:r>
      <w:r>
        <w:t xml:space="preserve">.” </w:t>
      </w:r>
      <w:r w:rsidRPr="00A56391">
        <w:rPr>
          <w:i/>
          <w:iCs/>
        </w:rPr>
        <w:t>The Wall Street Journal</w:t>
      </w:r>
      <w:r>
        <w:t>.</w:t>
      </w:r>
      <w:r w:rsidRPr="000F7E18">
        <w:t xml:space="preserve"> May 21</w:t>
      </w:r>
      <w:r>
        <w:t>.</w:t>
      </w:r>
      <w:r w:rsidRPr="000F7E18">
        <w:t xml:space="preserve"> </w:t>
      </w:r>
      <w:hyperlink r:id="rId19" w:history="1">
        <w:r w:rsidRPr="000F7E18">
          <w:rPr>
            <w:rStyle w:val="Hyperlink"/>
          </w:rPr>
          <w:t>https://www.wsj.com/articles/global-stocks-gain-as-u-s-delays-technology-export-ban-11558424592</w:t>
        </w:r>
      </w:hyperlink>
      <w:r w:rsidRPr="000F7E18">
        <w:t>; Hajric, Vildana and Sarah Ponczek</w:t>
      </w:r>
      <w:r>
        <w:t>. 2019</w:t>
      </w:r>
      <w:r w:rsidR="003B280A">
        <w:t>a</w:t>
      </w:r>
      <w:r>
        <w:t>.</w:t>
      </w:r>
      <w:r w:rsidRPr="000F7E18">
        <w:t xml:space="preserve"> </w:t>
      </w:r>
      <w:r>
        <w:t>“</w:t>
      </w:r>
      <w:r w:rsidRPr="000F7E18">
        <w:t>U.S. Stocks Bounce Back on Latest Trade-War Moves: Markets Wrap</w:t>
      </w:r>
      <w:r>
        <w:t>.”</w:t>
      </w:r>
      <w:r w:rsidRPr="000F7E18">
        <w:t xml:space="preserve"> </w:t>
      </w:r>
      <w:r w:rsidRPr="00A56391">
        <w:rPr>
          <w:i/>
          <w:iCs/>
        </w:rPr>
        <w:t>Bloomberg News (via Bloomberg Terminal)</w:t>
      </w:r>
      <w:r>
        <w:t>.</w:t>
      </w:r>
      <w:r w:rsidRPr="000F7E18">
        <w:t xml:space="preserve"> May 21</w:t>
      </w:r>
      <w:r>
        <w:t>.</w:t>
      </w:r>
      <w:r w:rsidRPr="000F7E18">
        <w:t>; Seeking Alpha</w:t>
      </w:r>
      <w:r>
        <w:t>. 2019d.</w:t>
      </w:r>
      <w:r w:rsidRPr="000F7E18">
        <w:t xml:space="preserve"> </w:t>
      </w:r>
      <w:r>
        <w:t>“</w:t>
      </w:r>
      <w:r w:rsidRPr="000F7E18">
        <w:t>Wall Street Breakfast: Huawei Reprieve Provides Some Relief</w:t>
      </w:r>
      <w:r>
        <w:t>.”</w:t>
      </w:r>
      <w:r w:rsidRPr="000F7E18">
        <w:t xml:space="preserve"> May 21</w:t>
      </w:r>
      <w:r>
        <w:t>.</w:t>
      </w:r>
      <w:r w:rsidRPr="000F7E18">
        <w:t xml:space="preserve"> </w:t>
      </w:r>
      <w:hyperlink r:id="rId20" w:history="1">
        <w:r w:rsidRPr="000F7E18">
          <w:rPr>
            <w:rStyle w:val="Hyperlink"/>
          </w:rPr>
          <w:t>https://seekingalpha.com/article/4265469-wall-street-breakfast-huawei-reprieve-provides-relief</w:t>
        </w:r>
      </w:hyperlink>
      <w:r w:rsidRPr="000F7E18">
        <w:t xml:space="preserve">. </w:t>
      </w:r>
    </w:p>
  </w:endnote>
  <w:endnote w:id="25">
    <w:p w14:paraId="0BDADE73" w14:textId="7B1FA980"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t>Department of Commerce</w:t>
      </w:r>
      <w:r w:rsidRPr="000F7E18">
        <w:t>.</w:t>
      </w:r>
      <w:r>
        <w:t xml:space="preserve"> 2019d. “</w:t>
      </w:r>
      <w:r w:rsidRPr="000F7E18">
        <w:t>Addition of Entities to the Entity List</w:t>
      </w:r>
      <w:r>
        <w:t>.”</w:t>
      </w:r>
      <w:r w:rsidRPr="000F7E18">
        <w:t xml:space="preserve"> </w:t>
      </w:r>
      <w:r w:rsidRPr="000F7E18">
        <w:rPr>
          <w:i/>
          <w:iCs/>
        </w:rPr>
        <w:t xml:space="preserve">Federal Register </w:t>
      </w:r>
      <w:r>
        <w:t>(</w:t>
      </w:r>
      <w:r w:rsidRPr="000F7E18">
        <w:t>May 21, 2019</w:t>
      </w:r>
      <w:r>
        <w:t>).</w:t>
      </w:r>
      <w:r w:rsidRPr="000F7E18">
        <w:t xml:space="preserve"> </w:t>
      </w:r>
      <w:r w:rsidRPr="00D63280">
        <w:t>https://www.govinfo.gov/content/pkg/FR-2019-05-21/pdf/2019-10616.pdf</w:t>
      </w:r>
      <w:r w:rsidRPr="000F7E18">
        <w:t>.</w:t>
      </w:r>
    </w:p>
  </w:endnote>
  <w:endnote w:id="26">
    <w:p w14:paraId="66949B3F" w14:textId="41912B22"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t>Department of Commerce</w:t>
      </w:r>
      <w:r w:rsidRPr="000F7E18">
        <w:t>.</w:t>
      </w:r>
      <w:r>
        <w:t xml:space="preserve"> 2019e. “</w:t>
      </w:r>
      <w:r w:rsidRPr="000F7E18">
        <w:t>Temporary General License</w:t>
      </w:r>
      <w:r>
        <w:t>.”</w:t>
      </w:r>
      <w:r w:rsidRPr="000F7E18">
        <w:t xml:space="preserve"> </w:t>
      </w:r>
      <w:r w:rsidRPr="000F7E18">
        <w:rPr>
          <w:i/>
          <w:iCs/>
        </w:rPr>
        <w:t xml:space="preserve">Federal Register </w:t>
      </w:r>
      <w:r>
        <w:t>(</w:t>
      </w:r>
      <w:r w:rsidRPr="000F7E18">
        <w:t>May 22, 2019</w:t>
      </w:r>
      <w:r>
        <w:t>).</w:t>
      </w:r>
      <w:r w:rsidRPr="000F7E18">
        <w:t xml:space="preserve"> </w:t>
      </w:r>
      <w:r w:rsidRPr="00D63280">
        <w:t>https://www.govinfo.gov/content/pkg/FR-2019-05-22/pdf/2019-10829.pdf</w:t>
      </w:r>
      <w:r w:rsidRPr="000F7E18">
        <w:t>.</w:t>
      </w:r>
    </w:p>
  </w:endnote>
  <w:endnote w:id="27">
    <w:p w14:paraId="6E14A5F0" w14:textId="4387D14C"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t>Department of Commerce</w:t>
      </w:r>
      <w:r w:rsidRPr="000F7E18">
        <w:t>.</w:t>
      </w:r>
      <w:r>
        <w:t xml:space="preserve"> 2019f. “</w:t>
      </w:r>
      <w:r w:rsidRPr="000F7E18">
        <w:t>Temporary General License: Extension of Validity, Clarifications to Authorized Transactions, and Changes to Certification Statement Requirements</w:t>
      </w:r>
      <w:r>
        <w:t>.”</w:t>
      </w:r>
      <w:r w:rsidRPr="000F7E18">
        <w:t xml:space="preserve"> </w:t>
      </w:r>
      <w:r w:rsidRPr="000F7E18">
        <w:rPr>
          <w:i/>
          <w:iCs/>
        </w:rPr>
        <w:t xml:space="preserve">Federal Register </w:t>
      </w:r>
      <w:r>
        <w:t>(</w:t>
      </w:r>
      <w:r w:rsidRPr="000F7E18">
        <w:t>August 21, 2019</w:t>
      </w:r>
      <w:r>
        <w:t>).</w:t>
      </w:r>
      <w:r w:rsidRPr="000F7E18">
        <w:t xml:space="preserve"> </w:t>
      </w:r>
      <w:r w:rsidRPr="00D63280">
        <w:t>https://www.govinfo.gov/content/pkg/FR-2019-08-21/pdf/2019-17920.pdf</w:t>
      </w:r>
      <w:r w:rsidRPr="000F7E18">
        <w:t>.</w:t>
      </w:r>
    </w:p>
  </w:endnote>
  <w:endnote w:id="28">
    <w:p w14:paraId="292ED12A" w14:textId="656C0D16"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t>Department of Commerce</w:t>
      </w:r>
      <w:r w:rsidRPr="000F7E18">
        <w:t>.</w:t>
      </w:r>
      <w:r>
        <w:t xml:space="preserve"> 2019g. “</w:t>
      </w:r>
      <w:r w:rsidRPr="000F7E18">
        <w:t>Temporary General License: Extension of Validity</w:t>
      </w:r>
      <w:r>
        <w:t>.”</w:t>
      </w:r>
      <w:r w:rsidRPr="000F7E18">
        <w:t xml:space="preserve"> </w:t>
      </w:r>
      <w:r w:rsidRPr="000F7E18">
        <w:rPr>
          <w:i/>
          <w:iCs/>
        </w:rPr>
        <w:t xml:space="preserve">Federal Register </w:t>
      </w:r>
      <w:r>
        <w:t>(</w:t>
      </w:r>
      <w:r w:rsidRPr="000F7E18">
        <w:t>November 20, 2019</w:t>
      </w:r>
      <w:r>
        <w:t>).</w:t>
      </w:r>
      <w:r w:rsidRPr="000F7E18">
        <w:t xml:space="preserve"> </w:t>
      </w:r>
      <w:r w:rsidRPr="00D63280">
        <w:t>https://www.govinfo.gov/content/pkg/FR-2019-11-20/pdf/2019-25189.pdf</w:t>
      </w:r>
      <w:r w:rsidRPr="000F7E18">
        <w:t>.</w:t>
      </w:r>
    </w:p>
  </w:endnote>
  <w:endnote w:id="29">
    <w:p w14:paraId="041AFE2B" w14:textId="2E3EE2DC"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t>Department of Commerce</w:t>
      </w:r>
      <w:r w:rsidRPr="000F7E18">
        <w:t>.</w:t>
      </w:r>
      <w:r>
        <w:t xml:space="preserve"> 2020a. “</w:t>
      </w:r>
      <w:r w:rsidRPr="000F7E18">
        <w:t>Temporary General License: Extension of Validity</w:t>
      </w:r>
      <w:r>
        <w:t>.”</w:t>
      </w:r>
      <w:r w:rsidRPr="000F7E18">
        <w:t xml:space="preserve"> </w:t>
      </w:r>
      <w:r w:rsidRPr="000F7E18">
        <w:rPr>
          <w:i/>
          <w:iCs/>
        </w:rPr>
        <w:t xml:space="preserve">Federal Register </w:t>
      </w:r>
      <w:r>
        <w:t>(</w:t>
      </w:r>
      <w:r w:rsidRPr="000F7E18">
        <w:t>February 18, 2020</w:t>
      </w:r>
      <w:r>
        <w:t>).</w:t>
      </w:r>
      <w:r w:rsidRPr="000F7E18">
        <w:t xml:space="preserve"> </w:t>
      </w:r>
      <w:r w:rsidRPr="00D63280">
        <w:t>https://www.govinfo.gov/content/pkg/FR-2020-02-18/pdf/2020-03144.pdf</w:t>
      </w:r>
      <w:r w:rsidRPr="000F7E18">
        <w:t>.</w:t>
      </w:r>
    </w:p>
  </w:endnote>
  <w:endnote w:id="30">
    <w:p w14:paraId="1A957D28" w14:textId="1F6D0F90"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t>Department of Commerce</w:t>
      </w:r>
      <w:r w:rsidRPr="000F7E18">
        <w:t>.</w:t>
      </w:r>
      <w:r>
        <w:t xml:space="preserve"> 2020b. “</w:t>
      </w:r>
      <w:r w:rsidRPr="000F7E18">
        <w:t>Temporary General License: Extension of Validity</w:t>
      </w:r>
      <w:r>
        <w:t>.”</w:t>
      </w:r>
      <w:r w:rsidRPr="000F7E18">
        <w:t xml:space="preserve"> </w:t>
      </w:r>
      <w:r w:rsidRPr="000F7E18">
        <w:rPr>
          <w:i/>
          <w:iCs/>
        </w:rPr>
        <w:t xml:space="preserve">Federal Register </w:t>
      </w:r>
      <w:r>
        <w:t>(</w:t>
      </w:r>
      <w:r w:rsidRPr="000F7E18">
        <w:t>March 12, 2020</w:t>
      </w:r>
      <w:r>
        <w:t>).</w:t>
      </w:r>
      <w:r w:rsidRPr="000F7E18">
        <w:t xml:space="preserve"> </w:t>
      </w:r>
      <w:r w:rsidRPr="00D63280">
        <w:t>https://www.govinfo.gov/content/pkg/FR-2020-03-12/pdf/2020-05190.pdf</w:t>
      </w:r>
      <w:r w:rsidRPr="000F7E18">
        <w:t>.</w:t>
      </w:r>
    </w:p>
  </w:endnote>
  <w:endnote w:id="31">
    <w:p w14:paraId="73EF3095" w14:textId="3C6A585F"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t>Department of Commerce</w:t>
      </w:r>
      <w:r w:rsidRPr="000F7E18">
        <w:t>.</w:t>
      </w:r>
      <w:r>
        <w:t xml:space="preserve"> 2020c. “</w:t>
      </w:r>
      <w:r w:rsidRPr="000F7E18">
        <w:t>Request for Comments on Future Extensions of Temporary General License (TGL)</w:t>
      </w:r>
      <w:r>
        <w:t>.”</w:t>
      </w:r>
      <w:r w:rsidRPr="000F7E18">
        <w:t xml:space="preserve"> </w:t>
      </w:r>
      <w:r w:rsidRPr="000F7E18">
        <w:rPr>
          <w:i/>
          <w:iCs/>
        </w:rPr>
        <w:t xml:space="preserve">Federal Register </w:t>
      </w:r>
      <w:r>
        <w:t>(</w:t>
      </w:r>
      <w:r w:rsidRPr="000F7E18">
        <w:t>March 12, 2020</w:t>
      </w:r>
      <w:r>
        <w:t>).</w:t>
      </w:r>
      <w:r w:rsidRPr="000F7E18">
        <w:t xml:space="preserve"> </w:t>
      </w:r>
      <w:r w:rsidRPr="00D63280">
        <w:t>https://www.govinfo.gov/content/pkg/FR-2020-03-12/pdf/2020-05194.pdf</w:t>
      </w:r>
      <w:r w:rsidRPr="000F7E18">
        <w:t>.</w:t>
      </w:r>
    </w:p>
  </w:endnote>
  <w:endnote w:id="32">
    <w:p w14:paraId="3A27C827" w14:textId="32CD6531"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t>Department of Commerce</w:t>
      </w:r>
      <w:r w:rsidRPr="000F7E18">
        <w:t>.</w:t>
      </w:r>
      <w:r>
        <w:t xml:space="preserve"> 2020d. “</w:t>
      </w:r>
      <w:r w:rsidRPr="000F7E18">
        <w:t>Department of Commerce Issues Expected Final 90-Day Extension of Temporary General License Authorizations</w:t>
      </w:r>
      <w:r>
        <w:t>.”</w:t>
      </w:r>
      <w:r w:rsidRPr="000F7E18">
        <w:t xml:space="preserve"> </w:t>
      </w:r>
      <w:r>
        <w:rPr>
          <w:i/>
          <w:iCs/>
        </w:rPr>
        <w:t xml:space="preserve">Press Releases. </w:t>
      </w:r>
      <w:r w:rsidRPr="000F7E18">
        <w:t>May 15</w:t>
      </w:r>
      <w:r>
        <w:t>.</w:t>
      </w:r>
      <w:r w:rsidRPr="000F7E18">
        <w:t xml:space="preserve"> </w:t>
      </w:r>
      <w:hyperlink r:id="rId21" w:history="1">
        <w:r w:rsidRPr="000F7E18">
          <w:rPr>
            <w:rStyle w:val="Hyperlink"/>
          </w:rPr>
          <w:t>https://www.commerce.gov/news/press-releases/2020/05/department-commerce-issues-expected-final-90-day-extension-temporary</w:t>
        </w:r>
      </w:hyperlink>
      <w:r w:rsidRPr="000F7E18">
        <w:t xml:space="preserve">. </w:t>
      </w:r>
    </w:p>
  </w:endnote>
  <w:endnote w:id="33">
    <w:p w14:paraId="23365C1B" w14:textId="3308E9A2"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t>Department of Commerce</w:t>
      </w:r>
      <w:r w:rsidRPr="000F7E18">
        <w:t>.</w:t>
      </w:r>
      <w:r>
        <w:t xml:space="preserve"> 2020e. “</w:t>
      </w:r>
      <w:r w:rsidRPr="000F7E18">
        <w:t>Commerce Addresses Huawei’s Efforts to Undermine Entity List, Restricts Products Designed and Produced with U.S. Technologies</w:t>
      </w:r>
      <w:r>
        <w:t xml:space="preserve">.” </w:t>
      </w:r>
      <w:r>
        <w:rPr>
          <w:i/>
          <w:iCs/>
        </w:rPr>
        <w:t>Press Releases.</w:t>
      </w:r>
      <w:r w:rsidRPr="000F7E18">
        <w:t xml:space="preserve"> May 15</w:t>
      </w:r>
      <w:r>
        <w:t>.</w:t>
      </w:r>
      <w:r w:rsidRPr="000F7E18">
        <w:t xml:space="preserve"> </w:t>
      </w:r>
      <w:hyperlink r:id="rId22" w:history="1">
        <w:r w:rsidRPr="000F7E18">
          <w:rPr>
            <w:rStyle w:val="Hyperlink"/>
          </w:rPr>
          <w:t>https://www.commerce.gov/news/press-releases/2020/05/commerce-addresses-huaweis-efforts-undermine-entity-list-restricts</w:t>
        </w:r>
      </w:hyperlink>
      <w:r w:rsidRPr="000F7E18">
        <w:t>.</w:t>
      </w:r>
    </w:p>
  </w:endnote>
  <w:endnote w:id="34">
    <w:p w14:paraId="77784CC6" w14:textId="21718352"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t>Department of Commerce</w:t>
      </w:r>
      <w:r w:rsidRPr="000F7E18">
        <w:t>.</w:t>
      </w:r>
      <w:r>
        <w:t xml:space="preserve"> 2020f. “</w:t>
      </w:r>
      <w:r w:rsidRPr="000F7E18">
        <w:t>Temporary General License: Extension of Validity</w:t>
      </w:r>
      <w:r>
        <w:t>.”</w:t>
      </w:r>
      <w:r w:rsidRPr="000F7E18">
        <w:t xml:space="preserve"> </w:t>
      </w:r>
      <w:r w:rsidRPr="000F7E18">
        <w:rPr>
          <w:i/>
          <w:iCs/>
        </w:rPr>
        <w:t xml:space="preserve">Federal Register </w:t>
      </w:r>
      <w:r>
        <w:t>(</w:t>
      </w:r>
      <w:r w:rsidRPr="000F7E18">
        <w:t>May 18, 2020</w:t>
      </w:r>
      <w:r>
        <w:t>).</w:t>
      </w:r>
      <w:r w:rsidRPr="000F7E18">
        <w:t xml:space="preserve"> </w:t>
      </w:r>
      <w:r w:rsidRPr="00DE279B">
        <w:t>https://www.govinfo.gov/content/pkg/FR-2020-05-18/pdf/2020-10614.pdf</w:t>
      </w:r>
      <w:r w:rsidRPr="000F7E18">
        <w:t xml:space="preserve">. </w:t>
      </w:r>
    </w:p>
  </w:endnote>
  <w:endnote w:id="35">
    <w:p w14:paraId="5D264762" w14:textId="3966A106"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t>Department of Commerce</w:t>
      </w:r>
      <w:r w:rsidRPr="000F7E18">
        <w:t>.</w:t>
      </w:r>
      <w:r>
        <w:t xml:space="preserve"> 2020g. “</w:t>
      </w:r>
      <w:r w:rsidRPr="000F7E18">
        <w:t>Export Administration Regulations: Amendments to General Prohibition Three (Foreign-Produced Direct Product Rule) and the Entity List</w:t>
      </w:r>
      <w:r>
        <w:t>.”</w:t>
      </w:r>
      <w:r w:rsidRPr="000F7E18">
        <w:t xml:space="preserve"> </w:t>
      </w:r>
      <w:r w:rsidRPr="000F7E18">
        <w:rPr>
          <w:i/>
          <w:iCs/>
        </w:rPr>
        <w:t>Federal Register</w:t>
      </w:r>
      <w:r>
        <w:rPr>
          <w:i/>
          <w:iCs/>
        </w:rPr>
        <w:t xml:space="preserve"> </w:t>
      </w:r>
      <w:r>
        <w:t>(</w:t>
      </w:r>
      <w:r w:rsidRPr="000F7E18">
        <w:t>May 19, 2020</w:t>
      </w:r>
      <w:r>
        <w:t>).</w:t>
      </w:r>
      <w:r w:rsidRPr="000F7E18">
        <w:t xml:space="preserve"> </w:t>
      </w:r>
      <w:hyperlink r:id="rId23" w:history="1">
        <w:r w:rsidRPr="00D66898">
          <w:rPr>
            <w:rStyle w:val="Hyperlink"/>
          </w:rPr>
          <w:t>https://www.govinfo.gov/content/pkg/FR-2020-05-19/pdf/2020-10856.pdf</w:t>
        </w:r>
      </w:hyperlink>
      <w:r>
        <w:t xml:space="preserve">. </w:t>
      </w:r>
    </w:p>
  </w:endnote>
  <w:endnote w:id="36">
    <w:p w14:paraId="208D5365" w14:textId="15F675FA" w:rsidR="00192335" w:rsidRDefault="00192335" w:rsidP="00FC6977">
      <w:pPr>
        <w:pStyle w:val="EndnoteText"/>
        <w:spacing w:afterLines="20" w:after="48"/>
        <w:ind w:left="720" w:hanging="720"/>
        <w:jc w:val="left"/>
      </w:pPr>
      <w:r>
        <w:rPr>
          <w:rStyle w:val="EndnoteReference"/>
        </w:rPr>
        <w:endnoteRef/>
      </w:r>
      <w:r>
        <w:t xml:space="preserve"> Department of Commerce</w:t>
      </w:r>
      <w:r w:rsidRPr="000F7E18">
        <w:t>.</w:t>
      </w:r>
      <w:r>
        <w:t xml:space="preserve"> 2020h. “</w:t>
      </w:r>
      <w:r w:rsidRPr="00E04EAA">
        <w:t>Commerce Clears Way for U.S. Companies to More Fully Engage in Tech Standards-Development Bodies</w:t>
      </w:r>
      <w:r>
        <w:t xml:space="preserve">.” </w:t>
      </w:r>
      <w:r>
        <w:rPr>
          <w:i/>
          <w:iCs/>
        </w:rPr>
        <w:t xml:space="preserve">Press Releases. </w:t>
      </w:r>
      <w:r>
        <w:t xml:space="preserve">June 15. </w:t>
      </w:r>
      <w:hyperlink r:id="rId24" w:history="1">
        <w:r>
          <w:rPr>
            <w:rStyle w:val="Hyperlink"/>
          </w:rPr>
          <w:t>https://www.commerce.gov/news/press-releases/2020/06/commerce-clears-way-us-companies-more-fully-engage-tech-standards</w:t>
        </w:r>
      </w:hyperlink>
      <w:r>
        <w:t>; Department of Commerce</w:t>
      </w:r>
      <w:r w:rsidRPr="000F7E18">
        <w:t>.</w:t>
      </w:r>
      <w:r>
        <w:t xml:space="preserve"> 2020i. “Release of ‘Technology’ to Certain Entities on the Entity List in the Context of Standards Organizations.” </w:t>
      </w:r>
      <w:r w:rsidRPr="00BC428F">
        <w:rPr>
          <w:i/>
          <w:iCs/>
        </w:rPr>
        <w:t>Federal Register</w:t>
      </w:r>
      <w:r w:rsidRPr="00E04EAA">
        <w:t xml:space="preserve"> </w:t>
      </w:r>
      <w:r>
        <w:t xml:space="preserve">(June 18, 2020). </w:t>
      </w:r>
      <w:r w:rsidRPr="00BC428F">
        <w:t>https://www.govinfo.gov/content/pkg/FR-2020-06-18/pdf/2020-13093.pdf</w:t>
      </w:r>
      <w:r>
        <w:t>.</w:t>
      </w:r>
    </w:p>
  </w:endnote>
  <w:endnote w:id="37">
    <w:p w14:paraId="68C50688" w14:textId="5E3626E1"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t>Department of Commerce</w:t>
      </w:r>
      <w:r w:rsidRPr="000F7E18">
        <w:t>.</w:t>
      </w:r>
      <w:r>
        <w:t xml:space="preserve"> 2020j.</w:t>
      </w:r>
      <w:r w:rsidRPr="000F7E18">
        <w:t xml:space="preserve"> </w:t>
      </w:r>
      <w:r>
        <w:t>“</w:t>
      </w:r>
      <w:r w:rsidRPr="000F7E18">
        <w:t>U.S. Department of Commerce Adds 28 Chinese Organizations to its Entity List</w:t>
      </w:r>
      <w:r>
        <w:t xml:space="preserve">.” </w:t>
      </w:r>
      <w:r>
        <w:rPr>
          <w:i/>
          <w:iCs/>
        </w:rPr>
        <w:t xml:space="preserve">Press Releases. </w:t>
      </w:r>
      <w:r>
        <w:t>October 7.</w:t>
      </w:r>
      <w:r w:rsidRPr="000F7E18">
        <w:t xml:space="preserve"> </w:t>
      </w:r>
      <w:hyperlink r:id="rId25" w:history="1">
        <w:r w:rsidRPr="000F7E18">
          <w:rPr>
            <w:rStyle w:val="Hyperlink"/>
          </w:rPr>
          <w:t>https://www.commerce.gov/news/press-releases/2019/10/us-department-commerce-adds-28-chinese-organizations-its-entity-list</w:t>
        </w:r>
      </w:hyperlink>
      <w:r w:rsidRPr="000F7E18">
        <w:t xml:space="preserve">. </w:t>
      </w:r>
    </w:p>
  </w:endnote>
  <w:endnote w:id="38">
    <w:p w14:paraId="69987C20" w14:textId="02236445"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t>Department of Commerce</w:t>
      </w:r>
      <w:r w:rsidR="00625116">
        <w:t xml:space="preserve"> (</w:t>
      </w:r>
      <w:r w:rsidR="00625116" w:rsidRPr="00625116">
        <w:t>@CommerceGov</w:t>
      </w:r>
      <w:r w:rsidR="00625116">
        <w:t>)</w:t>
      </w:r>
      <w:r w:rsidRPr="000F7E18">
        <w:t>.</w:t>
      </w:r>
      <w:r>
        <w:t xml:space="preserve"> 2020k.</w:t>
      </w:r>
      <w:r w:rsidRPr="000F7E18">
        <w:t xml:space="preserve"> </w:t>
      </w:r>
      <w:r>
        <w:t>“</w:t>
      </w:r>
      <w:r w:rsidRPr="00BC428F">
        <w:t>U.S. Department of Commerce Adds 28 Chinese Organizations to its Entity List</w:t>
      </w:r>
      <w:r>
        <w:t xml:space="preserve">.” </w:t>
      </w:r>
      <w:r w:rsidRPr="00BC428F">
        <w:rPr>
          <w:i/>
          <w:iCs/>
        </w:rPr>
        <w:t>Twitter</w:t>
      </w:r>
      <w:r>
        <w:t>.</w:t>
      </w:r>
      <w:r w:rsidRPr="000F7E18">
        <w:t xml:space="preserve"> </w:t>
      </w:r>
      <w:hyperlink r:id="rId26" w:history="1">
        <w:r w:rsidRPr="000F7E18">
          <w:rPr>
            <w:rStyle w:val="Hyperlink"/>
          </w:rPr>
          <w:t>https://twitter.com/CommerceGov/status/1181339197170425856</w:t>
        </w:r>
      </w:hyperlink>
      <w:r>
        <w:rPr>
          <w:rStyle w:val="Hyperlink"/>
        </w:rPr>
        <w:t>.</w:t>
      </w:r>
    </w:p>
  </w:endnote>
  <w:endnote w:id="39">
    <w:p w14:paraId="19DEC6F9" w14:textId="211B21C9"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t>Department of Commerce</w:t>
      </w:r>
      <w:r w:rsidRPr="000F7E18">
        <w:t>.</w:t>
      </w:r>
      <w:r>
        <w:t xml:space="preserve"> 2020l.</w:t>
      </w:r>
      <w:r w:rsidRPr="000F7E18">
        <w:t xml:space="preserve"> </w:t>
      </w:r>
      <w:r>
        <w:t>“</w:t>
      </w:r>
      <w:r w:rsidRPr="00BC428F">
        <w:t>Addition of Certain Entities to the Entity List</w:t>
      </w:r>
      <w:r>
        <w:t xml:space="preserve">.” </w:t>
      </w:r>
      <w:r w:rsidRPr="00BC428F">
        <w:rPr>
          <w:i/>
          <w:iCs/>
        </w:rPr>
        <w:t>Federal Register, Public Inspection: Tomorrow’s Documents Today</w:t>
      </w:r>
      <w:r>
        <w:t xml:space="preserve">. </w:t>
      </w:r>
      <w:hyperlink r:id="rId27" w:anchor="special-filing-industry-and-security-bureau" w:history="1">
        <w:r w:rsidRPr="00D66898">
          <w:rPr>
            <w:rStyle w:val="Hyperlink"/>
          </w:rPr>
          <w:t>https://www.federalregister.gov/public-inspection/2019/10/07#special-filing-industry-and-security-bureau</w:t>
        </w:r>
      </w:hyperlink>
      <w:r w:rsidRPr="000F7E18">
        <w:t xml:space="preserve">. </w:t>
      </w:r>
    </w:p>
  </w:endnote>
  <w:endnote w:id="40">
    <w:p w14:paraId="1283EECA" w14:textId="735EEB33"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Walsh, Brendan and Vildana Hajric</w:t>
      </w:r>
      <w:r>
        <w:t>. 2019.</w:t>
      </w:r>
      <w:r w:rsidRPr="000F7E18">
        <w:t xml:space="preserve"> </w:t>
      </w:r>
      <w:r>
        <w:t>“</w:t>
      </w:r>
      <w:r w:rsidRPr="000F7E18">
        <w:t>U.S. Stocks Slump as China Trade Meeting Looms: Markets Wrap</w:t>
      </w:r>
      <w:r>
        <w:t>.”</w:t>
      </w:r>
      <w:r w:rsidRPr="000F7E18">
        <w:t xml:space="preserve"> </w:t>
      </w:r>
      <w:r w:rsidRPr="00BC428F">
        <w:rPr>
          <w:i/>
          <w:iCs/>
        </w:rPr>
        <w:t>Bloomberg News (via Bloomberg terminal)</w:t>
      </w:r>
      <w:r>
        <w:t>.</w:t>
      </w:r>
      <w:r w:rsidRPr="000F7E18">
        <w:t xml:space="preserve"> October 7. </w:t>
      </w:r>
    </w:p>
  </w:endnote>
  <w:endnote w:id="41">
    <w:p w14:paraId="6A6C74ED" w14:textId="00726A1F"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Isaac, Anna and Akane Otani</w:t>
      </w:r>
      <w:r>
        <w:t>. 2019.</w:t>
      </w:r>
      <w:r w:rsidRPr="000F7E18">
        <w:t xml:space="preserve"> </w:t>
      </w:r>
      <w:r>
        <w:t>“</w:t>
      </w:r>
      <w:r w:rsidRPr="000F7E18">
        <w:t>Stocks Tick Lower as Investors Await Trade Developments</w:t>
      </w:r>
      <w:r>
        <w:t>.”</w:t>
      </w:r>
      <w:r w:rsidRPr="000F7E18">
        <w:t xml:space="preserve"> </w:t>
      </w:r>
      <w:r w:rsidRPr="00CC312B">
        <w:rPr>
          <w:i/>
          <w:iCs/>
        </w:rPr>
        <w:t>The Wall Street Journal</w:t>
      </w:r>
      <w:r>
        <w:t>.</w:t>
      </w:r>
      <w:r w:rsidRPr="000F7E18">
        <w:t xml:space="preserve"> October 7</w:t>
      </w:r>
      <w:r>
        <w:t xml:space="preserve">. </w:t>
      </w:r>
      <w:hyperlink r:id="rId28" w:history="1">
        <w:r w:rsidRPr="000F7E18">
          <w:rPr>
            <w:rStyle w:val="Hyperlink"/>
          </w:rPr>
          <w:t>https://www.wsj.com/articles/global-stocks-waver-ahead-of-trade-talks-11570436598</w:t>
        </w:r>
      </w:hyperlink>
      <w:r>
        <w:t xml:space="preserve">; </w:t>
      </w:r>
      <w:r w:rsidRPr="000F7E18">
        <w:t>Seeking Alpha</w:t>
      </w:r>
      <w:r>
        <w:t>. 2019e.</w:t>
      </w:r>
      <w:r w:rsidRPr="000F7E18">
        <w:t xml:space="preserve"> </w:t>
      </w:r>
      <w:r>
        <w:t>“</w:t>
      </w:r>
      <w:r w:rsidRPr="000F7E18">
        <w:t>Wall Street Breakfast: Futures Kick Off Week On The Back Foot</w:t>
      </w:r>
      <w:r>
        <w:t>.”</w:t>
      </w:r>
      <w:r w:rsidRPr="000F7E18">
        <w:t xml:space="preserve"> October 7</w:t>
      </w:r>
      <w:r>
        <w:t>.</w:t>
      </w:r>
      <w:r w:rsidRPr="000F7E18">
        <w:t xml:space="preserve"> </w:t>
      </w:r>
      <w:hyperlink r:id="rId29" w:history="1">
        <w:r w:rsidRPr="000F7E18">
          <w:rPr>
            <w:rStyle w:val="Hyperlink"/>
          </w:rPr>
          <w:t>https://seekingalpha.com/article/4295327-wall-street-breakfast-futures-kick-off-week-on-back-foot</w:t>
        </w:r>
      </w:hyperlink>
      <w:r>
        <w:t>.</w:t>
      </w:r>
      <w:r w:rsidRPr="000F7E18">
        <w:t xml:space="preserve"> </w:t>
      </w:r>
    </w:p>
  </w:endnote>
  <w:endnote w:id="42">
    <w:p w14:paraId="5DCE951E" w14:textId="246F7ED4"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Ponczek, Sarah and Vildana Hajric</w:t>
      </w:r>
      <w:r>
        <w:t>. 2019b.</w:t>
      </w:r>
      <w:r w:rsidRPr="000F7E18">
        <w:t xml:space="preserve"> </w:t>
      </w:r>
      <w:r>
        <w:t>“</w:t>
      </w:r>
      <w:r w:rsidRPr="000F7E18">
        <w:t>Stocks Finish at Lows as Trade Tensions Escalate: Markets Wrap</w:t>
      </w:r>
      <w:r>
        <w:t>.”</w:t>
      </w:r>
      <w:r w:rsidRPr="000F7E18">
        <w:t xml:space="preserve"> </w:t>
      </w:r>
      <w:r w:rsidRPr="00DB2668">
        <w:rPr>
          <w:i/>
          <w:iCs/>
        </w:rPr>
        <w:t>Bloomberg News (via Bloomberg terminal)</w:t>
      </w:r>
      <w:r>
        <w:t>.</w:t>
      </w:r>
      <w:r w:rsidRPr="000F7E18">
        <w:t xml:space="preserve"> October 8</w:t>
      </w:r>
      <w:r>
        <w:t>.</w:t>
      </w:r>
      <w:r w:rsidRPr="000F7E18">
        <w:t>; Seeking Alpha</w:t>
      </w:r>
      <w:r>
        <w:t>. 2019f.</w:t>
      </w:r>
      <w:r w:rsidRPr="000F7E18">
        <w:t xml:space="preserve"> </w:t>
      </w:r>
      <w:r>
        <w:t>“</w:t>
      </w:r>
      <w:r w:rsidRPr="000F7E18">
        <w:t>Wall Street Breakfast: Tensions Deepen Ahead Of Trade Talks</w:t>
      </w:r>
      <w:r>
        <w:t>.”</w:t>
      </w:r>
      <w:r w:rsidRPr="000F7E18">
        <w:t xml:space="preserve"> October 8</w:t>
      </w:r>
      <w:r>
        <w:t xml:space="preserve">. </w:t>
      </w:r>
      <w:hyperlink r:id="rId30" w:history="1">
        <w:r w:rsidRPr="004176FC">
          <w:rPr>
            <w:rStyle w:val="Hyperlink"/>
          </w:rPr>
          <w:t>https://seekingalpha.com/article/4295539-wall-street-breakfast-tensions-deepen-ahead-of-trade-talks</w:t>
        </w:r>
      </w:hyperlink>
      <w:r w:rsidRPr="000F7E18">
        <w:t>; Osipovich, Alexander and Caitlin Ostroff</w:t>
      </w:r>
      <w:r>
        <w:t>. 2019.</w:t>
      </w:r>
      <w:r w:rsidRPr="000F7E18">
        <w:t xml:space="preserve"> </w:t>
      </w:r>
      <w:r>
        <w:t>“</w:t>
      </w:r>
      <w:r w:rsidRPr="000F7E18">
        <w:t>Stocks Extend Decline After U.S. Says It Would Impose Visa Restrictions</w:t>
      </w:r>
      <w:r>
        <w:t>.”</w:t>
      </w:r>
      <w:r w:rsidRPr="000F7E18">
        <w:t xml:space="preserve"> </w:t>
      </w:r>
      <w:r w:rsidRPr="00DB2668">
        <w:rPr>
          <w:i/>
          <w:iCs/>
        </w:rPr>
        <w:t>The Wall Street Journal</w:t>
      </w:r>
      <w:r>
        <w:t>.</w:t>
      </w:r>
      <w:r w:rsidRPr="000F7E18">
        <w:t xml:space="preserve"> October 8</w:t>
      </w:r>
      <w:r>
        <w:t>.</w:t>
      </w:r>
      <w:r w:rsidRPr="000F7E18">
        <w:t xml:space="preserve"> </w:t>
      </w:r>
      <w:hyperlink r:id="rId31" w:history="1">
        <w:r w:rsidRPr="000F7E18">
          <w:rPr>
            <w:rStyle w:val="Hyperlink"/>
          </w:rPr>
          <w:t>https://www.wsj.com/articles/trade-hopes-lift-asian-shares-but-european-stocks-slip-11570522191</w:t>
        </w:r>
      </w:hyperlink>
      <w:r w:rsidR="006F7B99">
        <w:rPr>
          <w:rStyle w:val="Hyperlink"/>
        </w:rPr>
        <w:t xml:space="preserve">; </w:t>
      </w:r>
      <w:proofErr w:type="spellStart"/>
      <w:r w:rsidR="006F7B99" w:rsidRPr="000F7E18">
        <w:t>Zumbrun</w:t>
      </w:r>
      <w:proofErr w:type="spellEnd"/>
      <w:r w:rsidR="006F7B99" w:rsidRPr="000F7E18">
        <w:t>, Josh, Kate O’Keeffe and William Mauldin</w:t>
      </w:r>
      <w:r w:rsidR="006F7B99">
        <w:t>. 2019.</w:t>
      </w:r>
      <w:r w:rsidR="006F7B99" w:rsidRPr="000F7E18">
        <w:t xml:space="preserve"> </w:t>
      </w:r>
      <w:r w:rsidR="006F7B99">
        <w:t>“</w:t>
      </w:r>
      <w:r w:rsidR="006F7B99" w:rsidRPr="000F7E18">
        <w:t>U.S. Adds Chinese Firms to Blacklist, Citing Repression of Muslim Minorities</w:t>
      </w:r>
      <w:r w:rsidR="006F7B99">
        <w:t>.”</w:t>
      </w:r>
      <w:r w:rsidR="006F7B99" w:rsidRPr="000F7E18">
        <w:t xml:space="preserve"> </w:t>
      </w:r>
      <w:r w:rsidR="006F7B99" w:rsidRPr="00DB2668">
        <w:rPr>
          <w:i/>
          <w:iCs/>
        </w:rPr>
        <w:t>The Wall Street Journal</w:t>
      </w:r>
      <w:r w:rsidR="006F7B99">
        <w:t>.</w:t>
      </w:r>
      <w:r w:rsidR="006F7B99" w:rsidRPr="000F7E18">
        <w:t xml:space="preserve"> October 8</w:t>
      </w:r>
      <w:r w:rsidR="006F7B99">
        <w:t xml:space="preserve">. </w:t>
      </w:r>
      <w:hyperlink r:id="rId32" w:history="1">
        <w:r w:rsidR="006F7B99" w:rsidRPr="004176FC">
          <w:rPr>
            <w:rStyle w:val="Hyperlink"/>
          </w:rPr>
          <w:t>https://www.wsj.com/articles/u-s-adds-chinese-firms-to-blacklist-citing-repression-of-muslim-minorities-11570488642</w:t>
        </w:r>
      </w:hyperlink>
      <w:r w:rsidR="006F7B99" w:rsidRPr="000F7E18">
        <w:t xml:space="preserve">; </w:t>
      </w:r>
      <w:proofErr w:type="spellStart"/>
      <w:r w:rsidR="006F7B99" w:rsidRPr="000F7E18">
        <w:t>Strumpf</w:t>
      </w:r>
      <w:proofErr w:type="spellEnd"/>
      <w:r w:rsidR="006F7B99" w:rsidRPr="000F7E18">
        <w:t>, Dan and Yoko Kubota</w:t>
      </w:r>
      <w:r w:rsidR="006F7B99">
        <w:t>. 2019.</w:t>
      </w:r>
      <w:r w:rsidR="006F7B99" w:rsidRPr="000F7E18">
        <w:t xml:space="preserve"> </w:t>
      </w:r>
      <w:r w:rsidR="006F7B99">
        <w:t>“</w:t>
      </w:r>
      <w:r w:rsidR="006F7B99" w:rsidRPr="000F7E18">
        <w:t>Expanded U.S. Trade Blacklist Hits Beijing’s Artificial-Intelligence Ambitions</w:t>
      </w:r>
      <w:r w:rsidR="006F7B99">
        <w:t>.”</w:t>
      </w:r>
      <w:r w:rsidR="006F7B99" w:rsidRPr="000F7E18">
        <w:t xml:space="preserve"> </w:t>
      </w:r>
      <w:r w:rsidR="006F7B99" w:rsidRPr="00DB2668">
        <w:rPr>
          <w:i/>
          <w:iCs/>
        </w:rPr>
        <w:t>The Wall Street Journal</w:t>
      </w:r>
      <w:r w:rsidR="006F7B99">
        <w:t>.</w:t>
      </w:r>
      <w:r w:rsidR="006F7B99" w:rsidRPr="000F7E18">
        <w:t xml:space="preserve"> October 8</w:t>
      </w:r>
      <w:r w:rsidR="006F7B99">
        <w:t>.</w:t>
      </w:r>
      <w:r w:rsidR="006F7B99" w:rsidRPr="000F7E18">
        <w:t xml:space="preserve"> </w:t>
      </w:r>
      <w:hyperlink r:id="rId33" w:history="1">
        <w:r w:rsidR="006F7B99" w:rsidRPr="000F7E18">
          <w:rPr>
            <w:rStyle w:val="Hyperlink"/>
          </w:rPr>
          <w:t>https://www.wsj.com/articles/expanded-u-s-trade-blacklist-hits-beijings-artificial-intelligence-ambitions-11570541277</w:t>
        </w:r>
      </w:hyperlink>
      <w:r w:rsidRPr="000F7E18">
        <w:t xml:space="preserve">. </w:t>
      </w:r>
    </w:p>
  </w:endnote>
  <w:endnote w:id="43">
    <w:p w14:paraId="5B60A652" w14:textId="6DAF225E"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r>
        <w:t>Department of Commerce</w:t>
      </w:r>
      <w:r w:rsidRPr="000F7E18">
        <w:t>.</w:t>
      </w:r>
      <w:r>
        <w:t xml:space="preserve"> 2019h. “</w:t>
      </w:r>
      <w:r w:rsidRPr="000F7E18">
        <w:t>Addition of Certain Entities to the Entity List</w:t>
      </w:r>
      <w:r>
        <w:t>.”</w:t>
      </w:r>
      <w:r w:rsidRPr="000F7E18">
        <w:t xml:space="preserve"> </w:t>
      </w:r>
      <w:r w:rsidRPr="000F7E18">
        <w:rPr>
          <w:i/>
          <w:iCs/>
        </w:rPr>
        <w:t xml:space="preserve">Federal Register </w:t>
      </w:r>
      <w:r>
        <w:t>(</w:t>
      </w:r>
      <w:r w:rsidRPr="000F7E18">
        <w:t>October 9, 2019</w:t>
      </w:r>
      <w:r>
        <w:t>).</w:t>
      </w:r>
      <w:r w:rsidRPr="000F7E18">
        <w:t xml:space="preserve"> </w:t>
      </w:r>
      <w:r w:rsidRPr="00154CBB">
        <w:t>https://www.govinfo.gov/content/pkg/FR-2019-10-09/pdf/2019-22210.pdf</w:t>
      </w:r>
      <w:r w:rsidRPr="000F7E18">
        <w:t xml:space="preserve">. </w:t>
      </w:r>
    </w:p>
  </w:endnote>
  <w:endnote w:id="44">
    <w:p w14:paraId="25D97933" w14:textId="5A9A98E3"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McHale, Patrick</w:t>
      </w:r>
      <w:r>
        <w:t>. 2016a.</w:t>
      </w:r>
      <w:r w:rsidRPr="000F7E18">
        <w:t xml:space="preserve"> </w:t>
      </w:r>
      <w:r>
        <w:t>“</w:t>
      </w:r>
      <w:r w:rsidRPr="000F7E18">
        <w:t>U.S. WRAP: Stocks Surge, Nasdaq 100 Rises Most Since August</w:t>
      </w:r>
      <w:r>
        <w:t>.”</w:t>
      </w:r>
      <w:r w:rsidRPr="000F7E18">
        <w:t xml:space="preserve"> </w:t>
      </w:r>
      <w:r w:rsidRPr="005F0A67">
        <w:rPr>
          <w:i/>
          <w:iCs/>
        </w:rPr>
        <w:t>Bloomberg (via Bloomberg terminal)</w:t>
      </w:r>
      <w:r>
        <w:t>.</w:t>
      </w:r>
      <w:r w:rsidRPr="000F7E18">
        <w:t xml:space="preserve"> March 1</w:t>
      </w:r>
      <w:r>
        <w:t xml:space="preserve">; </w:t>
      </w:r>
      <w:r w:rsidRPr="000F7E18">
        <w:t>Seeking Alpha</w:t>
      </w:r>
      <w:r>
        <w:t>. 2016c.</w:t>
      </w:r>
      <w:r w:rsidRPr="000F7E18">
        <w:t xml:space="preserve"> </w:t>
      </w:r>
      <w:r>
        <w:t>“</w:t>
      </w:r>
      <w:r w:rsidRPr="000F7E18">
        <w:t>Wall Street Breakfast: Investors Look To Super Tuesday For Clarity</w:t>
      </w:r>
      <w:r>
        <w:t>.”</w:t>
      </w:r>
      <w:r w:rsidRPr="000F7E18">
        <w:t xml:space="preserve"> March 1</w:t>
      </w:r>
      <w:r>
        <w:t>.</w:t>
      </w:r>
      <w:r w:rsidRPr="000F7E18">
        <w:t xml:space="preserve"> </w:t>
      </w:r>
      <w:hyperlink r:id="rId34" w:history="1">
        <w:r w:rsidRPr="000F7E18">
          <w:rPr>
            <w:rStyle w:val="Hyperlink"/>
          </w:rPr>
          <w:t>https://seekingalpha.com/article/3943456-wall-street-breakfast-investors-look-to-super-tuesday-for-clarity</w:t>
        </w:r>
      </w:hyperlink>
      <w:r w:rsidRPr="000F7E18">
        <w:t xml:space="preserve">. </w:t>
      </w:r>
    </w:p>
  </w:endnote>
  <w:endnote w:id="45">
    <w:p w14:paraId="230B521A" w14:textId="6E7D5E61"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Miller, John W. and William Mauldin</w:t>
      </w:r>
      <w:r>
        <w:t>. 2016.</w:t>
      </w:r>
      <w:r w:rsidRPr="000F7E18">
        <w:t xml:space="preserve"> </w:t>
      </w:r>
      <w:r>
        <w:t>“</w:t>
      </w:r>
      <w:r w:rsidRPr="000F7E18">
        <w:t>U.S. Imposes 266% Duty on Some Chinese Steel Imports</w:t>
      </w:r>
      <w:r>
        <w:t>.”</w:t>
      </w:r>
      <w:r w:rsidRPr="000F7E18">
        <w:t xml:space="preserve"> </w:t>
      </w:r>
      <w:r w:rsidRPr="005F0A67">
        <w:rPr>
          <w:i/>
          <w:iCs/>
        </w:rPr>
        <w:t>The Wall Street Journal</w:t>
      </w:r>
      <w:r>
        <w:t>.</w:t>
      </w:r>
      <w:r w:rsidRPr="000F7E18">
        <w:t xml:space="preserve"> March 1</w:t>
      </w:r>
      <w:r>
        <w:t>.</w:t>
      </w:r>
      <w:r w:rsidRPr="000F7E18">
        <w:t xml:space="preserve"> </w:t>
      </w:r>
      <w:hyperlink r:id="rId35" w:history="1">
        <w:r w:rsidRPr="000F7E18">
          <w:rPr>
            <w:rStyle w:val="Hyperlink"/>
          </w:rPr>
          <w:t>https://www.wsj.com/articles/u-s-imposes-266-duty-on-some-chinese-steel-imports-1456878180</w:t>
        </w:r>
      </w:hyperlink>
      <w:r w:rsidRPr="000F7E18">
        <w:t xml:space="preserve">. </w:t>
      </w:r>
    </w:p>
  </w:endnote>
  <w:endnote w:id="46">
    <w:p w14:paraId="0459683F" w14:textId="6487B62B"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McHale, Patrick</w:t>
      </w:r>
      <w:r>
        <w:t>. 2016b.</w:t>
      </w:r>
      <w:r w:rsidRPr="000F7E18">
        <w:t xml:space="preserve"> </w:t>
      </w:r>
      <w:r>
        <w:t>“</w:t>
      </w:r>
      <w:r w:rsidRPr="000F7E18">
        <w:t>U.S. Wrap: Stocks Add to 8-week Highs</w:t>
      </w:r>
      <w:r>
        <w:t>.”</w:t>
      </w:r>
      <w:r w:rsidRPr="000F7E18">
        <w:t xml:space="preserve"> </w:t>
      </w:r>
      <w:r w:rsidRPr="005F0A67">
        <w:rPr>
          <w:i/>
          <w:iCs/>
        </w:rPr>
        <w:t>Bloomberg (via Bloomberg terminal)</w:t>
      </w:r>
      <w:r>
        <w:t>.</w:t>
      </w:r>
      <w:r w:rsidRPr="000F7E18">
        <w:t xml:space="preserve"> March 2.</w:t>
      </w:r>
    </w:p>
  </w:endnote>
  <w:endnote w:id="47">
    <w:p w14:paraId="7500E039" w14:textId="3A150907"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Seeking Alpha</w:t>
      </w:r>
      <w:r>
        <w:t>. 2016d.</w:t>
      </w:r>
      <w:r w:rsidRPr="000F7E18">
        <w:t xml:space="preserve"> </w:t>
      </w:r>
      <w:r>
        <w:t>“</w:t>
      </w:r>
      <w:r w:rsidRPr="000F7E18">
        <w:t>Wall Street Breakfast: Futures Debate Direction After Big Wall Street Run</w:t>
      </w:r>
      <w:r>
        <w:t>.”</w:t>
      </w:r>
      <w:r w:rsidRPr="000F7E18">
        <w:t xml:space="preserve"> March 2</w:t>
      </w:r>
      <w:r>
        <w:t>.</w:t>
      </w:r>
      <w:r w:rsidRPr="000F7E18">
        <w:t xml:space="preserve"> </w:t>
      </w:r>
      <w:hyperlink r:id="rId36" w:history="1">
        <w:r w:rsidRPr="000F7E18">
          <w:rPr>
            <w:rStyle w:val="Hyperlink"/>
          </w:rPr>
          <w:t>https://seekingalpha.com/article/3947116-wall-street-breakfast-futures-debate-direction-after-big-wall-street-run</w:t>
        </w:r>
      </w:hyperlink>
      <w:r w:rsidRPr="000F7E18">
        <w:t xml:space="preserve">. </w:t>
      </w:r>
    </w:p>
  </w:endnote>
  <w:endnote w:id="48">
    <w:p w14:paraId="3DA6D269" w14:textId="77537380"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Seeking Alpha (</w:t>
      </w:r>
      <w:r>
        <w:t>2016d</w:t>
      </w:r>
      <w:r w:rsidRPr="000F7E18">
        <w:t xml:space="preserve">). </w:t>
      </w:r>
    </w:p>
  </w:endnote>
  <w:endnote w:id="49">
    <w:p w14:paraId="43E2C89B" w14:textId="4850ECEF"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Deng, Chao</w:t>
      </w:r>
      <w:r>
        <w:t>. 2016.</w:t>
      </w:r>
      <w:r w:rsidRPr="000F7E18">
        <w:t xml:space="preserve"> </w:t>
      </w:r>
      <w:r>
        <w:t>“</w:t>
      </w:r>
      <w:r w:rsidRPr="000F7E18">
        <w:t>China Shares Rise Ahead of National People’s Congress</w:t>
      </w:r>
      <w:r>
        <w:t>.”</w:t>
      </w:r>
      <w:r w:rsidRPr="000F7E18">
        <w:t xml:space="preserve"> </w:t>
      </w:r>
      <w:r w:rsidRPr="00150F01">
        <w:rPr>
          <w:i/>
          <w:iCs/>
        </w:rPr>
        <w:t>The Wall Street Journal</w:t>
      </w:r>
      <w:r>
        <w:t>.</w:t>
      </w:r>
      <w:r w:rsidRPr="000F7E18">
        <w:t xml:space="preserve"> March 4</w:t>
      </w:r>
      <w:r>
        <w:t>.</w:t>
      </w:r>
      <w:r w:rsidRPr="000F7E18">
        <w:t xml:space="preserve"> </w:t>
      </w:r>
      <w:hyperlink r:id="rId37" w:history="1">
        <w:r w:rsidRPr="000F7E18">
          <w:rPr>
            <w:rStyle w:val="Hyperlink"/>
          </w:rPr>
          <w:t>https://www.wsj.com/articles/china-shares-down-ahead-of-national-peoples-congress-1457058306</w:t>
        </w:r>
      </w:hyperlink>
      <w:r>
        <w:t>;</w:t>
      </w:r>
      <w:r w:rsidRPr="000F7E18">
        <w:t xml:space="preserve"> Seeking Alpha</w:t>
      </w:r>
      <w:r>
        <w:t>. 2016e. “</w:t>
      </w:r>
      <w:r w:rsidRPr="000F7E18">
        <w:t>Wall Street Breakfast: All Eyes On The Jobs Report</w:t>
      </w:r>
      <w:r>
        <w:t>.”</w:t>
      </w:r>
      <w:r w:rsidRPr="000F7E18">
        <w:t xml:space="preserve"> March 4</w:t>
      </w:r>
      <w:r>
        <w:t>.</w:t>
      </w:r>
      <w:r w:rsidRPr="000F7E18">
        <w:t xml:space="preserve"> </w:t>
      </w:r>
      <w:hyperlink r:id="rId38" w:history="1">
        <w:r w:rsidRPr="000F7E18">
          <w:rPr>
            <w:rStyle w:val="Hyperlink"/>
          </w:rPr>
          <w:t>https://seekingalpha.com/article/3954216-wall-street-breakfast-all-eyes-on-jobs-report</w:t>
        </w:r>
      </w:hyperlink>
      <w:r>
        <w:t>.</w:t>
      </w:r>
      <w:r w:rsidRPr="000F7E18">
        <w:t xml:space="preserve"> </w:t>
      </w:r>
    </w:p>
  </w:endnote>
  <w:endnote w:id="50">
    <w:p w14:paraId="6E36C091" w14:textId="3578C44B" w:rsidR="00192335" w:rsidRPr="000F7E18" w:rsidRDefault="00192335" w:rsidP="00FC6977">
      <w:pPr>
        <w:pStyle w:val="EndnoteText"/>
        <w:spacing w:afterLines="20" w:after="48"/>
        <w:jc w:val="left"/>
      </w:pPr>
      <w:r w:rsidRPr="000F7E18">
        <w:rPr>
          <w:rStyle w:val="EndnoteReference"/>
        </w:rPr>
        <w:endnoteRef/>
      </w:r>
      <w:r w:rsidRPr="000F7E18">
        <w:t xml:space="preserve"> Seeking Alpha (</w:t>
      </w:r>
      <w:r>
        <w:t>2016a</w:t>
      </w:r>
      <w:r w:rsidRPr="000F7E18">
        <w:t>).</w:t>
      </w:r>
    </w:p>
  </w:endnote>
  <w:endnote w:id="51">
    <w:p w14:paraId="458667D9" w14:textId="21045590"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Wittenstein, Jeran</w:t>
      </w:r>
      <w:r>
        <w:t>. 2016b.</w:t>
      </w:r>
      <w:r w:rsidRPr="000F7E18">
        <w:t xml:space="preserve"> </w:t>
      </w:r>
      <w:r>
        <w:t>“</w:t>
      </w:r>
      <w:r w:rsidRPr="000F7E18">
        <w:t>U.S. WRAP: Stocks Fall After S&amp;P 500’s Longest Rally Since Oct.</w:t>
      </w:r>
      <w:r>
        <w:t>”</w:t>
      </w:r>
      <w:r w:rsidRPr="000F7E18">
        <w:t xml:space="preserve"> </w:t>
      </w:r>
      <w:r w:rsidRPr="00150F01">
        <w:rPr>
          <w:i/>
          <w:iCs/>
        </w:rPr>
        <w:t>Bloomberg (via Bloomberg terminal)</w:t>
      </w:r>
      <w:r>
        <w:t>.</w:t>
      </w:r>
      <w:r w:rsidRPr="000F7E18">
        <w:t xml:space="preserve"> March 8</w:t>
      </w:r>
      <w:r>
        <w:t>.</w:t>
      </w:r>
      <w:r w:rsidRPr="000F7E18">
        <w:t>; Seeking Alpha (March 2016</w:t>
      </w:r>
      <w:r>
        <w:t>b</w:t>
      </w:r>
      <w:r w:rsidRPr="000F7E18">
        <w:t>); Magnier, Mark</w:t>
      </w:r>
      <w:r>
        <w:t>. 2016.</w:t>
      </w:r>
      <w:r w:rsidRPr="000F7E18">
        <w:t xml:space="preserve"> </w:t>
      </w:r>
      <w:r>
        <w:t>“</w:t>
      </w:r>
      <w:r w:rsidRPr="000F7E18">
        <w:t>China’s Exports Tumble Amid Broad Slowdown</w:t>
      </w:r>
      <w:r>
        <w:t>.”</w:t>
      </w:r>
      <w:r w:rsidRPr="000F7E18">
        <w:t xml:space="preserve"> </w:t>
      </w:r>
      <w:r w:rsidRPr="00150F01">
        <w:rPr>
          <w:i/>
          <w:iCs/>
        </w:rPr>
        <w:t>The Wall Street Journal</w:t>
      </w:r>
      <w:r>
        <w:t>.</w:t>
      </w:r>
      <w:r w:rsidRPr="000F7E18">
        <w:t xml:space="preserve"> March 8</w:t>
      </w:r>
      <w:r>
        <w:t>.</w:t>
      </w:r>
      <w:r w:rsidRPr="000F7E18">
        <w:t xml:space="preserve"> </w:t>
      </w:r>
      <w:hyperlink r:id="rId39" w:history="1">
        <w:r w:rsidRPr="000F7E18">
          <w:rPr>
            <w:rStyle w:val="Hyperlink"/>
          </w:rPr>
          <w:t>https://www.wsj.com/articles/chinas-exports-tumble-amid-broad-slowdown-1457412946?mod=article_inline</w:t>
        </w:r>
      </w:hyperlink>
      <w:r w:rsidRPr="000F7E18">
        <w:t xml:space="preserve">. </w:t>
      </w:r>
    </w:p>
  </w:endnote>
  <w:endnote w:id="52">
    <w:p w14:paraId="504ABC55" w14:textId="34EE386B"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Seeking Alpha</w:t>
      </w:r>
      <w:r>
        <w:t>. 2016f.</w:t>
      </w:r>
      <w:r w:rsidRPr="000F7E18">
        <w:t xml:space="preserve"> </w:t>
      </w:r>
      <w:r>
        <w:t>“</w:t>
      </w:r>
      <w:r w:rsidRPr="000F7E18">
        <w:t>Wall Street Breakfast: Markets Await ECB Policy Announcement</w:t>
      </w:r>
      <w:r>
        <w:t>.”</w:t>
      </w:r>
      <w:r w:rsidRPr="000F7E18">
        <w:t xml:space="preserve"> March 10</w:t>
      </w:r>
      <w:r>
        <w:t xml:space="preserve">. </w:t>
      </w:r>
      <w:hyperlink r:id="rId40" w:history="1">
        <w:r w:rsidRPr="00FC5723">
          <w:rPr>
            <w:rStyle w:val="Hyperlink"/>
          </w:rPr>
          <w:t>https://seekingalpha.com/article/3957292-wall-street-breakfast-markets-await-ecb-policy-announcement</w:t>
        </w:r>
      </w:hyperlink>
      <w:r w:rsidRPr="000F7E18">
        <w:t xml:space="preserve">. </w:t>
      </w:r>
    </w:p>
  </w:endnote>
  <w:endnote w:id="53">
    <w:p w14:paraId="5E27F42D" w14:textId="6A939692"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Seeking Alpha</w:t>
      </w:r>
      <w:r>
        <w:t>. 2016g.</w:t>
      </w:r>
      <w:r w:rsidRPr="000F7E18">
        <w:t xml:space="preserve"> </w:t>
      </w:r>
      <w:r>
        <w:t>“</w:t>
      </w:r>
      <w:r w:rsidRPr="000F7E18">
        <w:t>Wall Street Breakfast: Investors Buy Tickets On The ECB Roller Coaster</w:t>
      </w:r>
      <w:r>
        <w:t>.”</w:t>
      </w:r>
      <w:r w:rsidRPr="000F7E18">
        <w:t xml:space="preserve"> March 11</w:t>
      </w:r>
      <w:r>
        <w:t>.</w:t>
      </w:r>
      <w:r w:rsidRPr="000F7E18">
        <w:t xml:space="preserve"> </w:t>
      </w:r>
      <w:hyperlink r:id="rId41" w:history="1">
        <w:r w:rsidRPr="000F7E18">
          <w:rPr>
            <w:rStyle w:val="Hyperlink"/>
          </w:rPr>
          <w:t>https://seekingalpha.com/article/3957672-wall-street-breakfast-investors-buy-tickets-on-ecb-roller-coaster</w:t>
        </w:r>
      </w:hyperlink>
      <w:r w:rsidRPr="000F7E18">
        <w:t>.</w:t>
      </w:r>
    </w:p>
  </w:endnote>
  <w:endnote w:id="54">
    <w:p w14:paraId="3DCF4062" w14:textId="0A3005CA" w:rsidR="00192335" w:rsidRPr="000F7E18" w:rsidRDefault="00192335" w:rsidP="00FC6977">
      <w:pPr>
        <w:pStyle w:val="EndnoteText"/>
        <w:spacing w:afterLines="20" w:after="48"/>
        <w:jc w:val="left"/>
      </w:pPr>
      <w:r w:rsidRPr="000F7E18">
        <w:rPr>
          <w:rStyle w:val="EndnoteReference"/>
        </w:rPr>
        <w:endnoteRef/>
      </w:r>
      <w:r w:rsidRPr="000F7E18">
        <w:t xml:space="preserve"> Seeking Alpha (</w:t>
      </w:r>
      <w:r>
        <w:t>2016g</w:t>
      </w:r>
      <w:r w:rsidRPr="000F7E18">
        <w:t>).</w:t>
      </w:r>
    </w:p>
  </w:endnote>
  <w:endnote w:id="55">
    <w:p w14:paraId="52E5C7DE" w14:textId="1ED011F6"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Li, Pei</w:t>
      </w:r>
      <w:r>
        <w:t>. 2016.</w:t>
      </w:r>
      <w:r w:rsidRPr="000F7E18">
        <w:t xml:space="preserve"> </w:t>
      </w:r>
      <w:r>
        <w:t>“</w:t>
      </w:r>
      <w:r w:rsidRPr="000F7E18">
        <w:t>China New Yuan Loans Fell Sharply in February</w:t>
      </w:r>
      <w:r>
        <w:t>.”</w:t>
      </w:r>
      <w:r w:rsidRPr="000F7E18">
        <w:t xml:space="preserve"> </w:t>
      </w:r>
      <w:r w:rsidRPr="00C031BE">
        <w:rPr>
          <w:i/>
          <w:iCs/>
        </w:rPr>
        <w:t>The Wall Street Journal</w:t>
      </w:r>
      <w:r>
        <w:t xml:space="preserve">. </w:t>
      </w:r>
      <w:r w:rsidRPr="000F7E18">
        <w:t>March 11</w:t>
      </w:r>
      <w:r>
        <w:t>.</w:t>
      </w:r>
      <w:r w:rsidRPr="000F7E18">
        <w:t xml:space="preserve"> </w:t>
      </w:r>
      <w:hyperlink r:id="rId42" w:history="1">
        <w:r w:rsidRPr="000F7E18">
          <w:rPr>
            <w:rStyle w:val="Hyperlink"/>
          </w:rPr>
          <w:t>https://www.wsj.com/articles/china-new-yuan-loans-fell-sharply-in-february-1457705437</w:t>
        </w:r>
      </w:hyperlink>
      <w:r w:rsidRPr="000F7E18">
        <w:t xml:space="preserve">. </w:t>
      </w:r>
    </w:p>
  </w:endnote>
  <w:endnote w:id="56">
    <w:p w14:paraId="54316870" w14:textId="0F7D2B6B"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Otani, Akane and Paul Davies</w:t>
      </w:r>
      <w:r>
        <w:t>. 2019.</w:t>
      </w:r>
      <w:r w:rsidRPr="000F7E18">
        <w:t xml:space="preserve"> </w:t>
      </w:r>
      <w:r>
        <w:t>“</w:t>
      </w:r>
      <w:r w:rsidRPr="000F7E18">
        <w:t>Stocks Finish Lower as Trade Worries Prevail</w:t>
      </w:r>
      <w:r>
        <w:t>.”</w:t>
      </w:r>
      <w:r w:rsidRPr="000F7E18">
        <w:t xml:space="preserve"> </w:t>
      </w:r>
      <w:r w:rsidRPr="007F78E3">
        <w:rPr>
          <w:i/>
          <w:iCs/>
        </w:rPr>
        <w:t>The Wall Street Journal</w:t>
      </w:r>
      <w:r>
        <w:t>.</w:t>
      </w:r>
      <w:r w:rsidRPr="000F7E18">
        <w:t xml:space="preserve"> May 9</w:t>
      </w:r>
      <w:r>
        <w:t>.</w:t>
      </w:r>
      <w:r w:rsidRPr="000F7E18">
        <w:t xml:space="preserve"> </w:t>
      </w:r>
      <w:hyperlink r:id="rId43" w:history="1">
        <w:r w:rsidRPr="000F7E18">
          <w:rPr>
            <w:rStyle w:val="Hyperlink"/>
          </w:rPr>
          <w:t>https://www.wsj.com/articles/global-stocks-fall-as-china-holds-firm-in-trade-talks-11557390260</w:t>
        </w:r>
      </w:hyperlink>
      <w:r w:rsidRPr="000F7E18">
        <w:t>; Ponczek, Sarah and Vildana Hajric</w:t>
      </w:r>
      <w:r>
        <w:t>. 2019c.</w:t>
      </w:r>
      <w:r w:rsidRPr="000F7E18">
        <w:t xml:space="preserve"> </w:t>
      </w:r>
      <w:r>
        <w:t>“</w:t>
      </w:r>
      <w:r w:rsidRPr="000F7E18">
        <w:t>Stocks Fall Fourth Day, Yen Gains on Trade Angst: Markets Wrap</w:t>
      </w:r>
      <w:r>
        <w:t>.”</w:t>
      </w:r>
      <w:r w:rsidRPr="000F7E18">
        <w:t xml:space="preserve"> </w:t>
      </w:r>
      <w:r w:rsidRPr="00FA268A">
        <w:rPr>
          <w:i/>
          <w:iCs/>
        </w:rPr>
        <w:t>Bloomberg News (via Bloomberg Terminal)</w:t>
      </w:r>
      <w:r>
        <w:t>.</w:t>
      </w:r>
      <w:r w:rsidRPr="000F7E18">
        <w:t xml:space="preserve"> May 9</w:t>
      </w:r>
      <w:r>
        <w:t>.</w:t>
      </w:r>
      <w:r w:rsidRPr="000F7E18">
        <w:t>; Seeking Alpha</w:t>
      </w:r>
      <w:r>
        <w:t>. 2019g.</w:t>
      </w:r>
      <w:r w:rsidRPr="000F7E18">
        <w:t xml:space="preserve"> </w:t>
      </w:r>
      <w:r>
        <w:t>“</w:t>
      </w:r>
      <w:r w:rsidRPr="000F7E18">
        <w:t>Wall Street Breakfast: Global Markets Suffer As U.S.-China Dispute Intensifies</w:t>
      </w:r>
      <w:r>
        <w:t>.”</w:t>
      </w:r>
      <w:r w:rsidRPr="000F7E18">
        <w:t xml:space="preserve"> May 9</w:t>
      </w:r>
      <w:r>
        <w:t>.</w:t>
      </w:r>
      <w:r w:rsidRPr="000F7E18">
        <w:t xml:space="preserve"> </w:t>
      </w:r>
      <w:hyperlink r:id="rId44" w:history="1">
        <w:r w:rsidRPr="000F7E18">
          <w:rPr>
            <w:rStyle w:val="Hyperlink"/>
          </w:rPr>
          <w:t>https://seekingalpha.com/article/4261870-wall-street-breakfast-global-markets-suffer-u-s-china-dispute-intensifies</w:t>
        </w:r>
      </w:hyperlink>
      <w:r w:rsidRPr="000F7E18">
        <w:t xml:space="preserve">. </w:t>
      </w:r>
    </w:p>
  </w:endnote>
  <w:endnote w:id="57">
    <w:p w14:paraId="068073E5" w14:textId="4FF74E9C"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Otani and Davies (2019). </w:t>
      </w:r>
    </w:p>
  </w:endnote>
  <w:endnote w:id="58">
    <w:p w14:paraId="08EADE8E" w14:textId="6720A957"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Ponczek and Hajric (2019</w:t>
      </w:r>
      <w:r>
        <w:t>c</w:t>
      </w:r>
      <w:r w:rsidRPr="000F7E18">
        <w:t xml:space="preserve">). </w:t>
      </w:r>
    </w:p>
  </w:endnote>
  <w:endnote w:id="59">
    <w:p w14:paraId="35689034" w14:textId="2E706248"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Office of the United States Trade Representative</w:t>
      </w:r>
      <w:r>
        <w:t>. 2019.</w:t>
      </w:r>
      <w:r w:rsidRPr="000F7E18">
        <w:t xml:space="preserve"> </w:t>
      </w:r>
      <w:r>
        <w:t>“</w:t>
      </w:r>
      <w:r w:rsidRPr="000F7E18">
        <w:t>Statement By U.S. Trade Representative Robert Lighthizer on Section 301 Action</w:t>
      </w:r>
      <w:r>
        <w:t>.”</w:t>
      </w:r>
      <w:r w:rsidRPr="000F7E18">
        <w:t xml:space="preserve"> </w:t>
      </w:r>
      <w:r>
        <w:rPr>
          <w:i/>
          <w:iCs/>
        </w:rPr>
        <w:t xml:space="preserve">Press Releases. </w:t>
      </w:r>
      <w:r w:rsidRPr="000F7E18">
        <w:t>May 10</w:t>
      </w:r>
      <w:r>
        <w:t>.</w:t>
      </w:r>
      <w:r w:rsidRPr="000F7E18">
        <w:t xml:space="preserve"> </w:t>
      </w:r>
      <w:hyperlink r:id="rId45" w:history="1">
        <w:r w:rsidRPr="000F7E18">
          <w:rPr>
            <w:rStyle w:val="Hyperlink"/>
          </w:rPr>
          <w:t>https://ustr.gov/about-us/policy-offices/press-office/press-releases/2019/may/statement-us-trade-representative</w:t>
        </w:r>
      </w:hyperlink>
      <w:r w:rsidRPr="000F7E18">
        <w:t>.</w:t>
      </w:r>
    </w:p>
  </w:endnote>
  <w:endnote w:id="60">
    <w:p w14:paraId="0770F196" w14:textId="67AE7ACB"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Ramkumar, Amrith</w:t>
      </w:r>
      <w:r>
        <w:t>. 2019a.</w:t>
      </w:r>
      <w:r w:rsidRPr="000F7E18">
        <w:t xml:space="preserve"> </w:t>
      </w:r>
      <w:r>
        <w:t>“</w:t>
      </w:r>
      <w:r w:rsidRPr="000F7E18">
        <w:t>Stocks Bounce Back, Close Higher as Investors Weigh New Tariffs</w:t>
      </w:r>
      <w:r>
        <w:t>.”</w:t>
      </w:r>
      <w:r w:rsidRPr="000F7E18">
        <w:t xml:space="preserve"> </w:t>
      </w:r>
      <w:r w:rsidRPr="00A434FC">
        <w:rPr>
          <w:i/>
          <w:iCs/>
        </w:rPr>
        <w:t>The Wall Street Journal</w:t>
      </w:r>
      <w:r>
        <w:t>.</w:t>
      </w:r>
      <w:r w:rsidRPr="000F7E18">
        <w:t xml:space="preserve"> May 10</w:t>
      </w:r>
      <w:r>
        <w:t xml:space="preserve">. </w:t>
      </w:r>
      <w:hyperlink r:id="rId46" w:history="1">
        <w:r w:rsidRPr="000F7E18">
          <w:rPr>
            <w:rStyle w:val="Hyperlink"/>
          </w:rPr>
          <w:t>https://www.wsj.com/articles/global-stocks-rebound-as-tariff-increase-comes-into-force-11557476135</w:t>
        </w:r>
      </w:hyperlink>
      <w:r w:rsidRPr="000F7E18">
        <w:t>; Seeking Alpha</w:t>
      </w:r>
      <w:r>
        <w:t>. 2019h.</w:t>
      </w:r>
      <w:r w:rsidRPr="000F7E18">
        <w:t xml:space="preserve"> </w:t>
      </w:r>
      <w:r>
        <w:t>“</w:t>
      </w:r>
      <w:r w:rsidRPr="000F7E18">
        <w:t>Wall Street Breakfast: Hailed Uber IPO Finally Arrives</w:t>
      </w:r>
      <w:r>
        <w:t>.”</w:t>
      </w:r>
      <w:r w:rsidRPr="000F7E18">
        <w:t xml:space="preserve"> May 10</w:t>
      </w:r>
      <w:r>
        <w:t>.</w:t>
      </w:r>
      <w:r w:rsidRPr="000F7E18">
        <w:t xml:space="preserve"> </w:t>
      </w:r>
      <w:hyperlink r:id="rId47" w:history="1">
        <w:r w:rsidRPr="000F7E18">
          <w:rPr>
            <w:rStyle w:val="Hyperlink"/>
          </w:rPr>
          <w:t>https://seekingalpha.com/article/4262422-wall-street-breakfast-hailed-uber-ipo-finally-arrives</w:t>
        </w:r>
      </w:hyperlink>
      <w:r w:rsidRPr="000F7E18">
        <w:t xml:space="preserve">. </w:t>
      </w:r>
    </w:p>
  </w:endnote>
  <w:endnote w:id="61">
    <w:p w14:paraId="12F0C10A" w14:textId="07EAC1E7"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Ramkumar (2019</w:t>
      </w:r>
      <w:r>
        <w:t>a</w:t>
      </w:r>
      <w:r w:rsidRPr="000F7E18">
        <w:t>); Ponczek, Sarah and Vildana Hajric</w:t>
      </w:r>
      <w:r>
        <w:t>. 2019d.</w:t>
      </w:r>
      <w:r w:rsidRPr="000F7E18">
        <w:t xml:space="preserve"> </w:t>
      </w:r>
      <w:r>
        <w:t>“</w:t>
      </w:r>
      <w:r w:rsidRPr="000F7E18">
        <w:t>Stocks Stage Late Rally as Trade Optimism Wins Out: Markets Wrap</w:t>
      </w:r>
      <w:r>
        <w:t>.”</w:t>
      </w:r>
      <w:r w:rsidRPr="000F7E18">
        <w:t xml:space="preserve"> </w:t>
      </w:r>
      <w:r w:rsidRPr="00A434FC">
        <w:rPr>
          <w:i/>
          <w:iCs/>
        </w:rPr>
        <w:t>Bloomberg News (via Bloomberg Terminal)</w:t>
      </w:r>
      <w:r>
        <w:t>.</w:t>
      </w:r>
      <w:r w:rsidRPr="000F7E18">
        <w:t xml:space="preserve"> May 10. </w:t>
      </w:r>
    </w:p>
  </w:endnote>
  <w:endnote w:id="62">
    <w:p w14:paraId="392A634A" w14:textId="50D7E47F"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Otani, Akane</w:t>
      </w:r>
      <w:r>
        <w:t>. 2019.</w:t>
      </w:r>
      <w:r w:rsidRPr="000F7E18">
        <w:t xml:space="preserve"> </w:t>
      </w:r>
      <w:r>
        <w:t>“</w:t>
      </w:r>
      <w:r w:rsidRPr="000F7E18">
        <w:t>Stocks Post Their Worst Day in Months on Trade Anxiety</w:t>
      </w:r>
      <w:r>
        <w:t>.”</w:t>
      </w:r>
      <w:r w:rsidRPr="000F7E18">
        <w:t xml:space="preserve"> </w:t>
      </w:r>
      <w:r w:rsidRPr="003E4364">
        <w:rPr>
          <w:i/>
          <w:iCs/>
        </w:rPr>
        <w:t>The Wall Street Journal</w:t>
      </w:r>
      <w:r>
        <w:t>.</w:t>
      </w:r>
      <w:r w:rsidRPr="000F7E18">
        <w:t xml:space="preserve"> May 13</w:t>
      </w:r>
      <w:r>
        <w:t>.</w:t>
      </w:r>
      <w:r w:rsidRPr="000F7E18">
        <w:t xml:space="preserve"> </w:t>
      </w:r>
      <w:hyperlink r:id="rId48" w:history="1">
        <w:r w:rsidRPr="000F7E18">
          <w:rPr>
            <w:rStyle w:val="Hyperlink"/>
          </w:rPr>
          <w:t>https://www.wsj.com/articles/global-stocks-stumble-on-renewed-trade-anxiety-11557734434</w:t>
        </w:r>
      </w:hyperlink>
      <w:r w:rsidRPr="000F7E18">
        <w:t>; Jensen, Randall and Sarah Ponczek</w:t>
      </w:r>
      <w:r>
        <w:t>. 2019a.</w:t>
      </w:r>
      <w:r w:rsidRPr="000F7E18">
        <w:t xml:space="preserve"> </w:t>
      </w:r>
      <w:r>
        <w:t>“</w:t>
      </w:r>
      <w:r w:rsidRPr="000F7E18">
        <w:t>Stocks, Commodities Tumble as China Strikes Back: Markets Wrap</w:t>
      </w:r>
      <w:r>
        <w:t>.”</w:t>
      </w:r>
      <w:r w:rsidRPr="000F7E18">
        <w:t xml:space="preserve"> </w:t>
      </w:r>
      <w:r w:rsidRPr="003E4364">
        <w:rPr>
          <w:i/>
          <w:iCs/>
        </w:rPr>
        <w:t>Bloomberg News (via Bloomberg Terminal)</w:t>
      </w:r>
      <w:r>
        <w:t>.</w:t>
      </w:r>
      <w:r w:rsidRPr="000F7E18">
        <w:t xml:space="preserve"> May 13</w:t>
      </w:r>
      <w:r>
        <w:t>.</w:t>
      </w:r>
      <w:r w:rsidRPr="000F7E18">
        <w:t>; Seeking Alpha</w:t>
      </w:r>
      <w:r>
        <w:t>. 2019i.</w:t>
      </w:r>
      <w:r w:rsidRPr="000F7E18">
        <w:t xml:space="preserve"> </w:t>
      </w:r>
      <w:r>
        <w:t>“</w:t>
      </w:r>
      <w:r w:rsidRPr="000F7E18">
        <w:t>Wall Street Breakfast: Trade Overhang Sparks Another Selloff</w:t>
      </w:r>
      <w:r>
        <w:t>.”</w:t>
      </w:r>
      <w:r w:rsidRPr="000F7E18">
        <w:t xml:space="preserve"> May 13</w:t>
      </w:r>
      <w:r>
        <w:t xml:space="preserve">. </w:t>
      </w:r>
      <w:hyperlink r:id="rId49" w:history="1">
        <w:r w:rsidRPr="000F7E18">
          <w:rPr>
            <w:rStyle w:val="Hyperlink"/>
          </w:rPr>
          <w:t>https://seekingalpha.com/article/4263397-wall-street-breakfast-trade-overhang-sparks-another-selloff</w:t>
        </w:r>
      </w:hyperlink>
      <w:r w:rsidRPr="000F7E18">
        <w:t>.</w:t>
      </w:r>
    </w:p>
  </w:endnote>
  <w:endnote w:id="63">
    <w:p w14:paraId="2A2FF2BD" w14:textId="68934F16"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Jensen, Randall and Sarah Ponczek</w:t>
      </w:r>
      <w:r>
        <w:t>. 2019b.</w:t>
      </w:r>
      <w:r w:rsidRPr="000F7E18">
        <w:t xml:space="preserve"> </w:t>
      </w:r>
      <w:r>
        <w:t>“</w:t>
      </w:r>
      <w:r w:rsidRPr="000F7E18">
        <w:t>Stocks Rebound as Trade Comments Ease Concerns: Markets Wrap</w:t>
      </w:r>
      <w:r>
        <w:t>.”</w:t>
      </w:r>
      <w:r w:rsidRPr="000F7E18">
        <w:t xml:space="preserve"> </w:t>
      </w:r>
      <w:r w:rsidRPr="00E463BF">
        <w:rPr>
          <w:i/>
          <w:iCs/>
        </w:rPr>
        <w:t>Bloomberg News (via Bloomberg Terminal)</w:t>
      </w:r>
      <w:r>
        <w:t>.</w:t>
      </w:r>
      <w:r w:rsidRPr="000F7E18">
        <w:t xml:space="preserve"> May 14</w:t>
      </w:r>
      <w:r>
        <w:t>.</w:t>
      </w:r>
      <w:r w:rsidRPr="000F7E18">
        <w:t>; Seeking Alpha</w:t>
      </w:r>
      <w:r>
        <w:t>. 2019j.</w:t>
      </w:r>
      <w:r w:rsidRPr="000F7E18">
        <w:t xml:space="preserve"> </w:t>
      </w:r>
      <w:r>
        <w:t>“</w:t>
      </w:r>
      <w:r w:rsidRPr="000F7E18">
        <w:t>Wall Street Breakfast: Futures Claw Back After Stock Rout</w:t>
      </w:r>
      <w:r>
        <w:t>.”</w:t>
      </w:r>
      <w:r w:rsidRPr="000F7E18">
        <w:t xml:space="preserve"> May 14</w:t>
      </w:r>
      <w:r>
        <w:t>.</w:t>
      </w:r>
      <w:r w:rsidRPr="000F7E18">
        <w:t xml:space="preserve"> </w:t>
      </w:r>
      <w:hyperlink r:id="rId50" w:history="1">
        <w:r w:rsidRPr="000F7E18">
          <w:rPr>
            <w:rStyle w:val="Hyperlink"/>
          </w:rPr>
          <w:t>https://seekingalpha.com/article/4263742-wall-street-breakfast-futures-claw-back-after-stock-rout</w:t>
        </w:r>
      </w:hyperlink>
      <w:r w:rsidRPr="000F7E18">
        <w:t>; Wursthorn, Michael and Nathan Allen</w:t>
      </w:r>
      <w:r>
        <w:t>. 2019.</w:t>
      </w:r>
      <w:r w:rsidRPr="000F7E18">
        <w:t xml:space="preserve"> </w:t>
      </w:r>
      <w:r>
        <w:t>“</w:t>
      </w:r>
      <w:r w:rsidRPr="000F7E18">
        <w:t>U.S. Stocks Rise as Investors Await Trade Progress</w:t>
      </w:r>
      <w:r>
        <w:t>.”</w:t>
      </w:r>
      <w:r w:rsidRPr="000F7E18">
        <w:t xml:space="preserve"> </w:t>
      </w:r>
      <w:r w:rsidRPr="00E463BF">
        <w:rPr>
          <w:i/>
          <w:iCs/>
        </w:rPr>
        <w:t>The Wall Street Journal</w:t>
      </w:r>
      <w:r>
        <w:t>.</w:t>
      </w:r>
      <w:r w:rsidRPr="000F7E18">
        <w:t xml:space="preserve"> May 14</w:t>
      </w:r>
      <w:r>
        <w:t>.</w:t>
      </w:r>
      <w:r w:rsidRPr="000F7E18">
        <w:t xml:space="preserve"> </w:t>
      </w:r>
      <w:hyperlink r:id="rId51" w:history="1">
        <w:r w:rsidRPr="000F7E18">
          <w:rPr>
            <w:rStyle w:val="Hyperlink"/>
          </w:rPr>
          <w:t>https://www.wsj.com/articles/global-selloff-pauses-as-european-stocks-post-gains-11557820118</w:t>
        </w:r>
      </w:hyperlink>
      <w:r w:rsidRPr="000F7E18">
        <w:t xml:space="preserve">. </w:t>
      </w:r>
    </w:p>
  </w:endnote>
  <w:endnote w:id="64">
    <w:p w14:paraId="0C8002DF" w14:textId="0D517951"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The White House</w:t>
      </w:r>
      <w:r>
        <w:t>. 2019</w:t>
      </w:r>
      <w:r w:rsidR="00145DE0">
        <w:t>a</w:t>
      </w:r>
      <w:r>
        <w:t>.</w:t>
      </w:r>
      <w:r w:rsidRPr="000F7E18">
        <w:t xml:space="preserve"> </w:t>
      </w:r>
      <w:r>
        <w:t>“</w:t>
      </w:r>
      <w:r w:rsidRPr="000F7E18">
        <w:t>Executive Order on Securing the Information and Communications Technology and Services Supply Chain</w:t>
      </w:r>
      <w:r>
        <w:t>.”</w:t>
      </w:r>
      <w:r w:rsidRPr="000F7E18">
        <w:t xml:space="preserve"> </w:t>
      </w:r>
      <w:r>
        <w:rPr>
          <w:i/>
          <w:iCs/>
        </w:rPr>
        <w:t xml:space="preserve">Executive Orders. </w:t>
      </w:r>
      <w:r w:rsidRPr="000F7E18">
        <w:t>May 15</w:t>
      </w:r>
      <w:r>
        <w:t xml:space="preserve">. </w:t>
      </w:r>
      <w:hyperlink r:id="rId52" w:history="1">
        <w:r w:rsidRPr="000F7E18">
          <w:rPr>
            <w:rStyle w:val="Hyperlink"/>
          </w:rPr>
          <w:t>https://www.whitehouse.gov/presidential-actions/executive-order-securing-information-communications-technology-services-supply-chain/</w:t>
        </w:r>
      </w:hyperlink>
      <w:r w:rsidRPr="000F7E18">
        <w:t>.</w:t>
      </w:r>
    </w:p>
  </w:endnote>
  <w:endnote w:id="65">
    <w:p w14:paraId="25FAE00F" w14:textId="376A6495"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Geller (2019</w:t>
      </w:r>
      <w:r>
        <w:t>b</w:t>
      </w:r>
      <w:r w:rsidRPr="000F7E18">
        <w:t xml:space="preserve">); O’Keefe, McKinnon, and Strumpf (May 15, 2019); Zumbrun, McKinnon, and Mauldin (May 15, 2019). </w:t>
      </w:r>
    </w:p>
  </w:endnote>
  <w:endnote w:id="66">
    <w:p w14:paraId="24725806" w14:textId="20886EAA"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Politico, for example, reported on the Executive Order as early as February 2019. See: Geller, Eric</w:t>
      </w:r>
      <w:r>
        <w:t>. 2109a.</w:t>
      </w:r>
      <w:r w:rsidRPr="000F7E18">
        <w:t xml:space="preserve"> </w:t>
      </w:r>
      <w:r>
        <w:t>“</w:t>
      </w:r>
      <w:r w:rsidRPr="000F7E18">
        <w:t>Trump likely to sign executive order banning Chinese telecom equipment next week</w:t>
      </w:r>
      <w:r>
        <w:t>.”</w:t>
      </w:r>
      <w:r w:rsidRPr="000F7E18">
        <w:t xml:space="preserve"> February 7</w:t>
      </w:r>
      <w:r>
        <w:t>.</w:t>
      </w:r>
      <w:r w:rsidRPr="000F7E18">
        <w:t xml:space="preserve"> </w:t>
      </w:r>
      <w:r w:rsidRPr="00192335">
        <w:rPr>
          <w:i/>
          <w:iCs/>
        </w:rPr>
        <w:t>Politico</w:t>
      </w:r>
      <w:r>
        <w:t>.</w:t>
      </w:r>
      <w:r w:rsidRPr="000F7E18">
        <w:t xml:space="preserve"> </w:t>
      </w:r>
      <w:hyperlink r:id="rId53" w:history="1">
        <w:r w:rsidRPr="000F7E18">
          <w:rPr>
            <w:rStyle w:val="Hyperlink"/>
          </w:rPr>
          <w:t>https://www.politico.com/story/2019/02/07/trump-ban-chinese-telecom-1157090</w:t>
        </w:r>
      </w:hyperlink>
      <w:r w:rsidRPr="000F7E18">
        <w:t>. Also see: Geller, Eric (2019</w:t>
      </w:r>
      <w:r>
        <w:t>b</w:t>
      </w:r>
      <w:r w:rsidRPr="000F7E18">
        <w:t xml:space="preserve">); O’Keefe, McKinnon, and Strumpf (2019); Zumbrun, McKinnon, and Mauldin (2019). </w:t>
      </w:r>
    </w:p>
  </w:endnote>
  <w:endnote w:id="67">
    <w:p w14:paraId="51A796F9" w14:textId="78D133A6"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Seeking Alpha (2019</w:t>
      </w:r>
      <w:r>
        <w:t>a</w:t>
      </w:r>
      <w:r w:rsidRPr="000F7E18">
        <w:t xml:space="preserve">) </w:t>
      </w:r>
    </w:p>
  </w:endnote>
  <w:endnote w:id="68">
    <w:p w14:paraId="2557C286" w14:textId="3507078C"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Jensen and </w:t>
      </w:r>
      <w:proofErr w:type="spellStart"/>
      <w:r w:rsidRPr="000F7E18">
        <w:t>Ponczek</w:t>
      </w:r>
      <w:proofErr w:type="spellEnd"/>
      <w:r w:rsidRPr="000F7E18">
        <w:t xml:space="preserve"> (2019</w:t>
      </w:r>
      <w:r w:rsidR="00B569BE">
        <w:t>c</w:t>
      </w:r>
      <w:r w:rsidRPr="000F7E18">
        <w:t>); Ramkumar (2019</w:t>
      </w:r>
      <w:r>
        <w:t>b</w:t>
      </w:r>
      <w:r w:rsidRPr="000F7E18">
        <w:t xml:space="preserve">). </w:t>
      </w:r>
    </w:p>
  </w:endnote>
  <w:endnote w:id="69">
    <w:p w14:paraId="32CE5005" w14:textId="416A3411"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Ramkumar (2019</w:t>
      </w:r>
      <w:r>
        <w:t>b</w:t>
      </w:r>
      <w:r w:rsidRPr="000F7E18">
        <w:t xml:space="preserve">); </w:t>
      </w:r>
      <w:proofErr w:type="spellStart"/>
      <w:r w:rsidRPr="000F7E18">
        <w:t>Zumbrun</w:t>
      </w:r>
      <w:proofErr w:type="spellEnd"/>
      <w:r w:rsidRPr="000F7E18">
        <w:t>, McKinnon, and Mauldin (2019).</w:t>
      </w:r>
    </w:p>
  </w:endnote>
  <w:endnote w:id="70">
    <w:p w14:paraId="2FE09247" w14:textId="4662E8BA" w:rsidR="00192335" w:rsidRPr="000F7E18" w:rsidRDefault="00192335" w:rsidP="00FC6977">
      <w:pPr>
        <w:pStyle w:val="EndnoteText"/>
        <w:spacing w:afterLines="20" w:after="48"/>
        <w:jc w:val="left"/>
      </w:pPr>
      <w:r w:rsidRPr="000F7E18">
        <w:rPr>
          <w:rStyle w:val="EndnoteReference"/>
        </w:rPr>
        <w:endnoteRef/>
      </w:r>
      <w:r w:rsidRPr="000F7E18">
        <w:t xml:space="preserve"> Ramkumar (2019</w:t>
      </w:r>
      <w:r>
        <w:t>b</w:t>
      </w:r>
      <w:r w:rsidRPr="000F7E18">
        <w:t xml:space="preserve">); </w:t>
      </w:r>
      <w:r>
        <w:t>Seeking Alpha</w:t>
      </w:r>
      <w:r w:rsidRPr="000F7E18">
        <w:t xml:space="preserve"> (2019</w:t>
      </w:r>
      <w:r>
        <w:t>a</w:t>
      </w:r>
      <w:r w:rsidRPr="000F7E18">
        <w:t>).</w:t>
      </w:r>
    </w:p>
  </w:endnote>
  <w:endnote w:id="71">
    <w:p w14:paraId="55588C0D" w14:textId="0831A43A"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Jensen and </w:t>
      </w:r>
      <w:proofErr w:type="spellStart"/>
      <w:r w:rsidRPr="000F7E18">
        <w:t>Hajric</w:t>
      </w:r>
      <w:proofErr w:type="spellEnd"/>
      <w:r w:rsidRPr="000F7E18">
        <w:t xml:space="preserve"> (2019); Seeking Alpha (2019</w:t>
      </w:r>
      <w:r w:rsidR="00B569BE">
        <w:t>b</w:t>
      </w:r>
      <w:r w:rsidRPr="000F7E18">
        <w:t>); Menton, Jessica and Will Horner</w:t>
      </w:r>
      <w:r w:rsidR="00B569BE">
        <w:t>. 2019.</w:t>
      </w:r>
      <w:r w:rsidRPr="000F7E18">
        <w:t xml:space="preserve"> </w:t>
      </w:r>
      <w:r w:rsidR="00B569BE">
        <w:t>“</w:t>
      </w:r>
      <w:r w:rsidRPr="000F7E18">
        <w:t>Dow Industrials Rise, Lifted by Walmart, Cisco</w:t>
      </w:r>
      <w:r w:rsidR="00B569BE">
        <w:t>.”</w:t>
      </w:r>
      <w:r w:rsidRPr="000F7E18">
        <w:t xml:space="preserve"> </w:t>
      </w:r>
      <w:r w:rsidR="00B569BE" w:rsidRPr="00B569BE">
        <w:rPr>
          <w:i/>
          <w:iCs/>
        </w:rPr>
        <w:t xml:space="preserve">The </w:t>
      </w:r>
      <w:r w:rsidRPr="00B569BE">
        <w:rPr>
          <w:i/>
          <w:iCs/>
        </w:rPr>
        <w:t>Wall Street Journal</w:t>
      </w:r>
      <w:r w:rsidR="00B569BE">
        <w:t>.</w:t>
      </w:r>
      <w:r w:rsidRPr="000F7E18">
        <w:t xml:space="preserve"> May 16</w:t>
      </w:r>
      <w:r w:rsidR="00B569BE">
        <w:t>.</w:t>
      </w:r>
      <w:r w:rsidRPr="000F7E18">
        <w:t xml:space="preserve"> </w:t>
      </w:r>
      <w:hyperlink r:id="rId54" w:history="1">
        <w:r w:rsidRPr="000F7E18">
          <w:rPr>
            <w:rStyle w:val="Hyperlink"/>
          </w:rPr>
          <w:t>https://www.wsj.com/articles/global-stocks-bond-yields-slip-11557996316</w:t>
        </w:r>
      </w:hyperlink>
      <w:r w:rsidRPr="000F7E18">
        <w:t>.</w:t>
      </w:r>
    </w:p>
  </w:endnote>
  <w:endnote w:id="72">
    <w:p w14:paraId="4101BBE5" w14:textId="2A8133F5"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Wong, Chun Han</w:t>
      </w:r>
      <w:r w:rsidR="00EF45D2">
        <w:t>. 2019.</w:t>
      </w:r>
      <w:r w:rsidRPr="000F7E18">
        <w:t xml:space="preserve"> </w:t>
      </w:r>
      <w:r w:rsidR="00EF45D2">
        <w:t>“</w:t>
      </w:r>
      <w:r w:rsidRPr="000F7E18">
        <w:t>China Formally Arrests Detained Canadians on Spying Charges</w:t>
      </w:r>
      <w:r w:rsidR="00EF45D2">
        <w:t>.”</w:t>
      </w:r>
      <w:r w:rsidRPr="000F7E18">
        <w:t xml:space="preserve"> </w:t>
      </w:r>
      <w:r w:rsidR="00EF45D2" w:rsidRPr="00EF45D2">
        <w:rPr>
          <w:i/>
          <w:iCs/>
        </w:rPr>
        <w:t xml:space="preserve">The </w:t>
      </w:r>
      <w:r w:rsidRPr="00EF45D2">
        <w:rPr>
          <w:i/>
          <w:iCs/>
        </w:rPr>
        <w:t>Wall Street Journal</w:t>
      </w:r>
      <w:r w:rsidR="00EF45D2">
        <w:t>.</w:t>
      </w:r>
      <w:r w:rsidRPr="000F7E18">
        <w:t xml:space="preserve"> May 16</w:t>
      </w:r>
      <w:r w:rsidR="00EF45D2">
        <w:t>.</w:t>
      </w:r>
      <w:r w:rsidRPr="000F7E18">
        <w:t xml:space="preserve"> </w:t>
      </w:r>
      <w:hyperlink r:id="rId55" w:history="1">
        <w:r w:rsidRPr="000F7E18">
          <w:rPr>
            <w:rStyle w:val="Hyperlink"/>
          </w:rPr>
          <w:t>https://www.wsj.com/articles/china-formally-arrests-detained-canadians-on-spying-charges-11558005674</w:t>
        </w:r>
      </w:hyperlink>
      <w:r w:rsidRPr="000F7E18">
        <w:t xml:space="preserve">. </w:t>
      </w:r>
    </w:p>
  </w:endnote>
  <w:endnote w:id="73">
    <w:p w14:paraId="7A920C9D" w14:textId="05F7080A"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Zhu, Lin</w:t>
      </w:r>
      <w:r w:rsidR="005E0013">
        <w:t>. 2019.</w:t>
      </w:r>
      <w:r w:rsidRPr="000F7E18">
        <w:t xml:space="preserve"> </w:t>
      </w:r>
      <w:r w:rsidR="005E0013">
        <w:t>“</w:t>
      </w:r>
      <w:r w:rsidRPr="000F7E18">
        <w:t>China Says It Doesn’t Know About U.S. Plans for Beijing Trade Talks</w:t>
      </w:r>
      <w:r w:rsidR="005E0013">
        <w:t>.”</w:t>
      </w:r>
      <w:r w:rsidRPr="000F7E18">
        <w:t xml:space="preserve"> </w:t>
      </w:r>
      <w:r w:rsidR="005E0013" w:rsidRPr="005E0013">
        <w:rPr>
          <w:i/>
          <w:iCs/>
        </w:rPr>
        <w:t xml:space="preserve">The </w:t>
      </w:r>
      <w:r w:rsidRPr="005E0013">
        <w:rPr>
          <w:i/>
          <w:iCs/>
        </w:rPr>
        <w:t>Wall Street Journal</w:t>
      </w:r>
      <w:r w:rsidR="005E0013">
        <w:t>.</w:t>
      </w:r>
      <w:r w:rsidRPr="000F7E18">
        <w:t xml:space="preserve"> May 16</w:t>
      </w:r>
      <w:r w:rsidR="005E0013">
        <w:t>.</w:t>
      </w:r>
      <w:r w:rsidRPr="000F7E18">
        <w:t xml:space="preserve"> </w:t>
      </w:r>
      <w:hyperlink r:id="rId56" w:history="1">
        <w:r w:rsidRPr="000F7E18">
          <w:rPr>
            <w:rStyle w:val="Hyperlink"/>
          </w:rPr>
          <w:t>https://www.wsj.com/articles/china-says-it-doesnt-know-about-u-s-plans-for-beijing-trade-talks-11558006892</w:t>
        </w:r>
      </w:hyperlink>
      <w:r w:rsidRPr="000F7E18">
        <w:t xml:space="preserve">. </w:t>
      </w:r>
    </w:p>
  </w:endnote>
  <w:endnote w:id="74">
    <w:p w14:paraId="4FFAEDBA" w14:textId="6C1A915D"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Jensen, Randall and Sarah </w:t>
      </w:r>
      <w:proofErr w:type="spellStart"/>
      <w:r w:rsidRPr="000F7E18">
        <w:t>Ponczek</w:t>
      </w:r>
      <w:proofErr w:type="spellEnd"/>
      <w:r w:rsidR="005E0013">
        <w:t>. 2019d.</w:t>
      </w:r>
      <w:r w:rsidRPr="000F7E18">
        <w:t xml:space="preserve"> </w:t>
      </w:r>
      <w:r w:rsidR="005E0013">
        <w:t>“</w:t>
      </w:r>
      <w:r w:rsidRPr="000F7E18">
        <w:t>Stocks Fall for Second Week on Trade Concerns: Markets Wrap</w:t>
      </w:r>
      <w:r w:rsidR="005E0013">
        <w:t>.”</w:t>
      </w:r>
      <w:r w:rsidRPr="000F7E18">
        <w:t xml:space="preserve"> </w:t>
      </w:r>
      <w:r w:rsidRPr="005E0013">
        <w:rPr>
          <w:i/>
          <w:iCs/>
        </w:rPr>
        <w:t>Bloomberg News (via Bloomberg Terminal)</w:t>
      </w:r>
      <w:r w:rsidRPr="000F7E18">
        <w:t xml:space="preserve">, May 17; </w:t>
      </w:r>
      <w:proofErr w:type="spellStart"/>
      <w:r w:rsidRPr="000F7E18">
        <w:t>Menton</w:t>
      </w:r>
      <w:proofErr w:type="spellEnd"/>
      <w:r w:rsidRPr="000F7E18">
        <w:t>, Jessica</w:t>
      </w:r>
      <w:r w:rsidR="005E0013">
        <w:t>. 2019.</w:t>
      </w:r>
      <w:r w:rsidRPr="000F7E18">
        <w:t xml:space="preserve"> </w:t>
      </w:r>
      <w:r w:rsidR="005E0013">
        <w:t>“</w:t>
      </w:r>
      <w:r w:rsidRPr="000F7E18">
        <w:t>Stocks Lose Steam, Close Lower for the Week</w:t>
      </w:r>
      <w:r w:rsidR="005E0013">
        <w:t>.”</w:t>
      </w:r>
      <w:r w:rsidRPr="000F7E18">
        <w:t xml:space="preserve"> </w:t>
      </w:r>
      <w:r w:rsidR="005E0013" w:rsidRPr="005E0013">
        <w:rPr>
          <w:i/>
          <w:iCs/>
        </w:rPr>
        <w:t xml:space="preserve">The </w:t>
      </w:r>
      <w:r w:rsidRPr="005E0013">
        <w:rPr>
          <w:i/>
          <w:iCs/>
        </w:rPr>
        <w:t>Wall Street Journal</w:t>
      </w:r>
      <w:r w:rsidR="005E0013">
        <w:t>.</w:t>
      </w:r>
      <w:r w:rsidRPr="000F7E18">
        <w:t xml:space="preserve"> May 17</w:t>
      </w:r>
      <w:r w:rsidR="005E0013">
        <w:t>.</w:t>
      </w:r>
      <w:r w:rsidRPr="000F7E18">
        <w:t xml:space="preserve"> </w:t>
      </w:r>
      <w:hyperlink r:id="rId57" w:history="1">
        <w:r w:rsidRPr="000F7E18">
          <w:rPr>
            <w:rStyle w:val="Hyperlink"/>
          </w:rPr>
          <w:t>https://www.wsj.com/articles/global-stocks-dip-as-trade-hopes-falter-11558079273</w:t>
        </w:r>
      </w:hyperlink>
      <w:r w:rsidRPr="000F7E18">
        <w:t xml:space="preserve">; </w:t>
      </w:r>
      <w:r w:rsidR="005E0013">
        <w:t>Seeking Alpha. 2019k. “</w:t>
      </w:r>
      <w:r w:rsidRPr="000F7E18">
        <w:t xml:space="preserve">Wall Street Breakfast:  Lingering Trade Worries Weigh </w:t>
      </w:r>
      <w:proofErr w:type="gramStart"/>
      <w:r w:rsidRPr="000F7E18">
        <w:t>On</w:t>
      </w:r>
      <w:proofErr w:type="gramEnd"/>
      <w:r w:rsidRPr="000F7E18">
        <w:t xml:space="preserve"> Equities</w:t>
      </w:r>
      <w:r w:rsidR="005E0013">
        <w:t>.”</w:t>
      </w:r>
      <w:r w:rsidRPr="000F7E18">
        <w:t xml:space="preserve"> May 17</w:t>
      </w:r>
      <w:r w:rsidR="005E0013">
        <w:t>.</w:t>
      </w:r>
      <w:r w:rsidRPr="000F7E18">
        <w:t xml:space="preserve"> </w:t>
      </w:r>
      <w:hyperlink r:id="rId58" w:history="1">
        <w:r w:rsidRPr="000F7E18">
          <w:rPr>
            <w:rStyle w:val="Hyperlink"/>
          </w:rPr>
          <w:t>https://seekingalpha.com/article/4264833-wall-street-breakfast-lingering-trade-worries-weigh-on-equities</w:t>
        </w:r>
      </w:hyperlink>
      <w:r w:rsidRPr="000F7E18">
        <w:t xml:space="preserve">. </w:t>
      </w:r>
    </w:p>
  </w:endnote>
  <w:endnote w:id="75">
    <w:p w14:paraId="687EDACD" w14:textId="1D114DAE" w:rsidR="00192335" w:rsidRPr="000F7E18" w:rsidRDefault="00192335" w:rsidP="00FC6977">
      <w:pPr>
        <w:pStyle w:val="EndnoteText"/>
        <w:spacing w:afterLines="20" w:after="48"/>
        <w:jc w:val="left"/>
      </w:pPr>
      <w:r w:rsidRPr="000F7E18">
        <w:rPr>
          <w:rStyle w:val="EndnoteReference"/>
        </w:rPr>
        <w:endnoteRef/>
      </w:r>
      <w:r w:rsidRPr="000F7E18">
        <w:t xml:space="preserve"> Seeking Alpha (2019</w:t>
      </w:r>
      <w:r w:rsidR="005E0013">
        <w:t>d</w:t>
      </w:r>
      <w:r w:rsidRPr="000F7E18">
        <w:t xml:space="preserve">). </w:t>
      </w:r>
    </w:p>
  </w:endnote>
  <w:endnote w:id="76">
    <w:p w14:paraId="659CC954" w14:textId="59AA3DF7" w:rsidR="00192335" w:rsidRPr="000F7E18" w:rsidRDefault="00192335" w:rsidP="00FC6977">
      <w:pPr>
        <w:pStyle w:val="EndnoteText"/>
        <w:spacing w:afterLines="20" w:after="48"/>
        <w:jc w:val="left"/>
      </w:pPr>
      <w:r w:rsidRPr="000F7E18">
        <w:rPr>
          <w:rStyle w:val="EndnoteReference"/>
        </w:rPr>
        <w:endnoteRef/>
      </w:r>
      <w:r w:rsidRPr="000F7E18">
        <w:t xml:space="preserve"> Seeking Alpha (2019</w:t>
      </w:r>
      <w:r w:rsidR="005E0013">
        <w:t>d</w:t>
      </w:r>
      <w:r w:rsidRPr="000F7E18">
        <w:t xml:space="preserve">); Allen and Otani (2019). </w:t>
      </w:r>
    </w:p>
  </w:endnote>
  <w:endnote w:id="77">
    <w:p w14:paraId="4AE49A12" w14:textId="450BACEA"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Ramkumar, </w:t>
      </w:r>
      <w:proofErr w:type="spellStart"/>
      <w:r w:rsidRPr="000F7E18">
        <w:t>Amrith</w:t>
      </w:r>
      <w:proofErr w:type="spellEnd"/>
      <w:r w:rsidR="00DB6D1F">
        <w:t>. 2019c. “</w:t>
      </w:r>
      <w:r w:rsidRPr="000F7E18">
        <w:t>U.S. Stocks Close Lower as Chip Makers Decline</w:t>
      </w:r>
      <w:r w:rsidR="00DB6D1F">
        <w:t>.”</w:t>
      </w:r>
      <w:r w:rsidRPr="000F7E18">
        <w:t xml:space="preserve"> </w:t>
      </w:r>
      <w:r w:rsidR="00DB6D1F" w:rsidRPr="00DB6D1F">
        <w:rPr>
          <w:i/>
          <w:iCs/>
        </w:rPr>
        <w:t xml:space="preserve">The </w:t>
      </w:r>
      <w:r w:rsidRPr="00DB6D1F">
        <w:rPr>
          <w:i/>
          <w:iCs/>
        </w:rPr>
        <w:t>Wall Street Journal</w:t>
      </w:r>
      <w:r w:rsidR="00DB6D1F">
        <w:t>.</w:t>
      </w:r>
      <w:r w:rsidRPr="000F7E18">
        <w:t xml:space="preserve"> May 22</w:t>
      </w:r>
      <w:r w:rsidR="00DB6D1F">
        <w:t>.</w:t>
      </w:r>
      <w:r w:rsidRPr="000F7E18">
        <w:t xml:space="preserve"> </w:t>
      </w:r>
      <w:hyperlink r:id="rId59" w:history="1">
        <w:r w:rsidRPr="000F7E18">
          <w:rPr>
            <w:rStyle w:val="Hyperlink"/>
          </w:rPr>
          <w:t>https://www.wsj.com/articles/global-stocks-waver-after-retail-sales-decline-11558512562</w:t>
        </w:r>
      </w:hyperlink>
      <w:r w:rsidRPr="000F7E18">
        <w:t>; Seeking Alpha</w:t>
      </w:r>
      <w:r w:rsidR="00153DCD">
        <w:t>. 2019l.</w:t>
      </w:r>
      <w:r w:rsidRPr="000F7E18">
        <w:t xml:space="preserve"> </w:t>
      </w:r>
      <w:r w:rsidR="00153DCD">
        <w:t>“</w:t>
      </w:r>
      <w:r w:rsidRPr="000F7E18">
        <w:t>Wall Street Breakfast: Brexit May Day</w:t>
      </w:r>
      <w:r w:rsidR="00153DCD">
        <w:t>.”</w:t>
      </w:r>
      <w:r w:rsidRPr="000F7E18">
        <w:t xml:space="preserve"> May 22</w:t>
      </w:r>
      <w:r w:rsidR="00153DCD">
        <w:t>.</w:t>
      </w:r>
      <w:r w:rsidRPr="000F7E18">
        <w:t xml:space="preserve"> </w:t>
      </w:r>
      <w:hyperlink r:id="rId60" w:history="1">
        <w:r w:rsidRPr="000F7E18">
          <w:rPr>
            <w:rStyle w:val="Hyperlink"/>
          </w:rPr>
          <w:t>https://seekingalpha.com/article/4265713-wall-street-breakfast-brexit-may-day</w:t>
        </w:r>
      </w:hyperlink>
      <w:r w:rsidRPr="000F7E18">
        <w:t>.</w:t>
      </w:r>
    </w:p>
  </w:endnote>
  <w:endnote w:id="78">
    <w:p w14:paraId="3EF7765C" w14:textId="63264C9B"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Ramkumar (2019</w:t>
      </w:r>
      <w:r w:rsidR="00D52CB1">
        <w:t>c</w:t>
      </w:r>
      <w:r w:rsidRPr="000F7E18">
        <w:t xml:space="preserve">); </w:t>
      </w:r>
      <w:proofErr w:type="spellStart"/>
      <w:r w:rsidRPr="000F7E18">
        <w:t>Hajric</w:t>
      </w:r>
      <w:proofErr w:type="spellEnd"/>
      <w:r w:rsidRPr="000F7E18">
        <w:t xml:space="preserve">, </w:t>
      </w:r>
      <w:proofErr w:type="spellStart"/>
      <w:r w:rsidRPr="000F7E18">
        <w:t>Vildana</w:t>
      </w:r>
      <w:proofErr w:type="spellEnd"/>
      <w:r w:rsidRPr="000F7E18">
        <w:t xml:space="preserve"> and Elena </w:t>
      </w:r>
      <w:proofErr w:type="spellStart"/>
      <w:r w:rsidRPr="000F7E18">
        <w:t>Popina</w:t>
      </w:r>
      <w:proofErr w:type="spellEnd"/>
      <w:r w:rsidR="00D52CB1">
        <w:t>. 2019.</w:t>
      </w:r>
      <w:r w:rsidRPr="000F7E18">
        <w:t xml:space="preserve"> </w:t>
      </w:r>
      <w:r w:rsidR="00D52CB1">
        <w:t>“</w:t>
      </w:r>
      <w:r w:rsidRPr="000F7E18">
        <w:t>U.S. Stocks Finish Lower as Trade Tensions Simmer: Markets Wrap</w:t>
      </w:r>
      <w:r w:rsidR="00D52CB1">
        <w:t>.”</w:t>
      </w:r>
      <w:r w:rsidRPr="000F7E18">
        <w:t xml:space="preserve"> </w:t>
      </w:r>
      <w:r w:rsidRPr="00D52CB1">
        <w:rPr>
          <w:i/>
          <w:iCs/>
        </w:rPr>
        <w:t>Bloomberg News (via Bloomberg Terminal)</w:t>
      </w:r>
      <w:r w:rsidR="00D52CB1">
        <w:t>.</w:t>
      </w:r>
      <w:r w:rsidRPr="000F7E18">
        <w:t xml:space="preserve"> May 22; Seeking Alpha (2019</w:t>
      </w:r>
      <w:r w:rsidR="00D52CB1">
        <w:t>l</w:t>
      </w:r>
      <w:r w:rsidRPr="000F7E18">
        <w:t xml:space="preserve">).  </w:t>
      </w:r>
    </w:p>
  </w:endnote>
  <w:endnote w:id="79">
    <w:p w14:paraId="36848EC0" w14:textId="5BD7F535"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Wursthorn, Michael</w:t>
      </w:r>
      <w:r w:rsidR="00FA2AE3">
        <w:t>. 2019.</w:t>
      </w:r>
      <w:r w:rsidRPr="000F7E18">
        <w:t xml:space="preserve"> </w:t>
      </w:r>
      <w:r w:rsidR="00FA2AE3">
        <w:t>“</w:t>
      </w:r>
      <w:r w:rsidRPr="000F7E18">
        <w:t>U.S. Stocks, Bond Yields Drop Amid Trade Tensions</w:t>
      </w:r>
      <w:r w:rsidR="00FA2AE3">
        <w:t xml:space="preserve">.” </w:t>
      </w:r>
      <w:r w:rsidR="00FA2AE3" w:rsidRPr="00FA2AE3">
        <w:rPr>
          <w:i/>
          <w:iCs/>
        </w:rPr>
        <w:t xml:space="preserve">The </w:t>
      </w:r>
      <w:r w:rsidRPr="00FA2AE3">
        <w:rPr>
          <w:i/>
          <w:iCs/>
        </w:rPr>
        <w:t>Wall Street Journal</w:t>
      </w:r>
      <w:r w:rsidR="00FA2AE3">
        <w:t>.</w:t>
      </w:r>
      <w:r w:rsidRPr="000F7E18">
        <w:t xml:space="preserve"> May 23</w:t>
      </w:r>
      <w:r w:rsidR="00FA2AE3">
        <w:t>.</w:t>
      </w:r>
      <w:r w:rsidRPr="000F7E18">
        <w:t xml:space="preserve"> </w:t>
      </w:r>
      <w:hyperlink r:id="rId61" w:history="1">
        <w:r w:rsidRPr="000F7E18">
          <w:rPr>
            <w:rStyle w:val="Hyperlink"/>
          </w:rPr>
          <w:t>https://www.wsj.com/articles/global-stocks-dip-amid-political-trade-tensions-11558599215</w:t>
        </w:r>
      </w:hyperlink>
      <w:r w:rsidRPr="000F7E18">
        <w:t xml:space="preserve">; </w:t>
      </w:r>
      <w:proofErr w:type="spellStart"/>
      <w:r w:rsidRPr="000F7E18">
        <w:t>Ponczek</w:t>
      </w:r>
      <w:proofErr w:type="spellEnd"/>
      <w:r w:rsidRPr="000F7E18">
        <w:t xml:space="preserve">, Sarah and </w:t>
      </w:r>
      <w:proofErr w:type="spellStart"/>
      <w:r w:rsidRPr="000F7E18">
        <w:t>Vildana</w:t>
      </w:r>
      <w:proofErr w:type="spellEnd"/>
      <w:r w:rsidRPr="000F7E18">
        <w:t xml:space="preserve"> </w:t>
      </w:r>
      <w:proofErr w:type="spellStart"/>
      <w:r w:rsidRPr="000F7E18">
        <w:t>Hajric</w:t>
      </w:r>
      <w:proofErr w:type="spellEnd"/>
      <w:r w:rsidR="00F77E51">
        <w:t>. 2019e.</w:t>
      </w:r>
      <w:r w:rsidRPr="000F7E18">
        <w:t xml:space="preserve"> </w:t>
      </w:r>
      <w:r w:rsidR="00F77E51">
        <w:t>“</w:t>
      </w:r>
      <w:r w:rsidRPr="000F7E18">
        <w:t>U.S. Stocks Drop Again as Trade Tensions Persist: Markets Wrap</w:t>
      </w:r>
      <w:r w:rsidR="00F77E51">
        <w:t>.”</w:t>
      </w:r>
      <w:r w:rsidRPr="000F7E18">
        <w:t xml:space="preserve"> </w:t>
      </w:r>
      <w:r w:rsidRPr="00F77E51">
        <w:rPr>
          <w:i/>
          <w:iCs/>
        </w:rPr>
        <w:t>Bloomberg News (via Bloomberg Terminal)</w:t>
      </w:r>
      <w:r w:rsidR="00F77E51">
        <w:t>.</w:t>
      </w:r>
      <w:r w:rsidRPr="000F7E18">
        <w:t xml:space="preserve"> May 23. </w:t>
      </w:r>
    </w:p>
  </w:endnote>
  <w:endnote w:id="80">
    <w:p w14:paraId="166521BC" w14:textId="4703342A"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Walsh and Hajric (2019); Isaac and Otani (2019); Seeking Alpha (2019</w:t>
      </w:r>
      <w:r w:rsidR="004714C1">
        <w:t>e</w:t>
      </w:r>
      <w:r w:rsidRPr="000F7E18">
        <w:t>).</w:t>
      </w:r>
    </w:p>
  </w:endnote>
  <w:endnote w:id="81">
    <w:p w14:paraId="40CBF5CD" w14:textId="3EF3559B"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U.S. Department of State</w:t>
      </w:r>
      <w:r w:rsidR="00FC477E">
        <w:t>. 2019.</w:t>
      </w:r>
      <w:r w:rsidRPr="000F7E18">
        <w:t xml:space="preserve"> </w:t>
      </w:r>
      <w:r w:rsidR="00FC477E">
        <w:t>“</w:t>
      </w:r>
      <w:r w:rsidRPr="000F7E18">
        <w:t>U.S. Department of State Imposes Visa Restrictions on Chinese Officials for Repression in Xinjiang</w:t>
      </w:r>
      <w:r w:rsidR="00FC477E">
        <w:t>.”</w:t>
      </w:r>
      <w:r w:rsidRPr="000F7E18">
        <w:t xml:space="preserve"> </w:t>
      </w:r>
      <w:r w:rsidRPr="00FC477E">
        <w:rPr>
          <w:i/>
          <w:iCs/>
        </w:rPr>
        <w:t>Press Statement</w:t>
      </w:r>
      <w:r w:rsidR="00FC477E">
        <w:t>.</w:t>
      </w:r>
      <w:r w:rsidRPr="000F7E18">
        <w:t xml:space="preserve"> October 8</w:t>
      </w:r>
      <w:r w:rsidR="00FC477E">
        <w:t>.</w:t>
      </w:r>
      <w:r w:rsidRPr="000F7E18">
        <w:t xml:space="preserve"> </w:t>
      </w:r>
      <w:hyperlink r:id="rId62" w:history="1">
        <w:r w:rsidRPr="000F7E18">
          <w:rPr>
            <w:rStyle w:val="Hyperlink"/>
          </w:rPr>
          <w:t>https://www.state.gov/u-s-department-of-state-imposes-visa-restrictions-on-chinese-officials-for-repression-in-xinjiang/</w:t>
        </w:r>
      </w:hyperlink>
      <w:r w:rsidRPr="000F7E18">
        <w:t xml:space="preserve">; </w:t>
      </w:r>
      <w:proofErr w:type="spellStart"/>
      <w:r w:rsidRPr="000F7E18">
        <w:t>Ponczek</w:t>
      </w:r>
      <w:proofErr w:type="spellEnd"/>
      <w:r w:rsidRPr="000F7E18">
        <w:t xml:space="preserve"> and </w:t>
      </w:r>
      <w:proofErr w:type="spellStart"/>
      <w:r w:rsidRPr="000F7E18">
        <w:t>Hajric</w:t>
      </w:r>
      <w:proofErr w:type="spellEnd"/>
      <w:r w:rsidRPr="000F7E18">
        <w:t xml:space="preserve"> (</w:t>
      </w:r>
      <w:r w:rsidR="00FC477E">
        <w:t>2019b</w:t>
      </w:r>
      <w:r w:rsidRPr="000F7E18">
        <w:t xml:space="preserve">); </w:t>
      </w:r>
      <w:proofErr w:type="spellStart"/>
      <w:r w:rsidRPr="000F7E18">
        <w:t>Osipovich</w:t>
      </w:r>
      <w:proofErr w:type="spellEnd"/>
      <w:r w:rsidRPr="000F7E18">
        <w:t xml:space="preserve"> and </w:t>
      </w:r>
      <w:proofErr w:type="spellStart"/>
      <w:r w:rsidRPr="000F7E18">
        <w:t>Ostroff</w:t>
      </w:r>
      <w:proofErr w:type="spellEnd"/>
      <w:r w:rsidRPr="000F7E18">
        <w:t xml:space="preserve"> (2019).</w:t>
      </w:r>
    </w:p>
  </w:endnote>
  <w:endnote w:id="82">
    <w:p w14:paraId="6BA17E68" w14:textId="5F55E246" w:rsidR="00192335" w:rsidRPr="000F7E18" w:rsidRDefault="00192335" w:rsidP="00FC6977">
      <w:pPr>
        <w:pStyle w:val="EndnoteText"/>
        <w:spacing w:afterLines="20" w:after="48"/>
        <w:jc w:val="left"/>
      </w:pPr>
      <w:r w:rsidRPr="000F7E18">
        <w:rPr>
          <w:rStyle w:val="EndnoteReference"/>
        </w:rPr>
        <w:endnoteRef/>
      </w:r>
      <w:r w:rsidRPr="000F7E18">
        <w:t xml:space="preserve"> </w:t>
      </w:r>
      <w:proofErr w:type="spellStart"/>
      <w:r w:rsidRPr="000F7E18">
        <w:t>Ponczek</w:t>
      </w:r>
      <w:proofErr w:type="spellEnd"/>
      <w:r w:rsidRPr="000F7E18">
        <w:t xml:space="preserve"> and </w:t>
      </w:r>
      <w:proofErr w:type="spellStart"/>
      <w:r w:rsidRPr="000F7E18">
        <w:t>Hajric</w:t>
      </w:r>
      <w:proofErr w:type="spellEnd"/>
      <w:r w:rsidRPr="000F7E18">
        <w:t xml:space="preserve"> (</w:t>
      </w:r>
      <w:r w:rsidR="00FC477E">
        <w:t>2018b</w:t>
      </w:r>
      <w:r w:rsidRPr="000F7E18">
        <w:t>).</w:t>
      </w:r>
    </w:p>
  </w:endnote>
  <w:endnote w:id="83">
    <w:p w14:paraId="2D7B39D1" w14:textId="65F0D681"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Seeking Alpha (2019</w:t>
      </w:r>
      <w:r w:rsidR="00FC477E">
        <w:t>f</w:t>
      </w:r>
      <w:r w:rsidRPr="000F7E18">
        <w:t>); Areddy, James T. and Alastair Gale</w:t>
      </w:r>
      <w:r w:rsidR="00E00E3D">
        <w:t>. 2019.</w:t>
      </w:r>
      <w:r w:rsidRPr="000F7E18">
        <w:t xml:space="preserve"> </w:t>
      </w:r>
      <w:r w:rsidR="00E00E3D">
        <w:t>“</w:t>
      </w:r>
      <w:r w:rsidRPr="000F7E18">
        <w:t>China, NBA Standoff Deepens Over Basketball Executive’s Tweet</w:t>
      </w:r>
      <w:r w:rsidR="00E00E3D">
        <w:t>.”</w:t>
      </w:r>
      <w:r w:rsidRPr="000F7E18">
        <w:t xml:space="preserve"> </w:t>
      </w:r>
      <w:r w:rsidR="00E00E3D" w:rsidRPr="00E00E3D">
        <w:rPr>
          <w:i/>
          <w:iCs/>
        </w:rPr>
        <w:t xml:space="preserve">The </w:t>
      </w:r>
      <w:r w:rsidRPr="00E00E3D">
        <w:rPr>
          <w:i/>
          <w:iCs/>
        </w:rPr>
        <w:t>Wall Street Journal</w:t>
      </w:r>
      <w:r w:rsidR="00E00E3D">
        <w:t>.</w:t>
      </w:r>
      <w:r w:rsidRPr="000F7E18">
        <w:t xml:space="preserve"> October 8</w:t>
      </w:r>
      <w:r w:rsidR="00E00E3D">
        <w:t>.</w:t>
      </w:r>
      <w:r w:rsidRPr="000F7E18">
        <w:t xml:space="preserve"> </w:t>
      </w:r>
      <w:hyperlink r:id="rId63" w:history="1">
        <w:r w:rsidRPr="000F7E18">
          <w:rPr>
            <w:rStyle w:val="Hyperlink"/>
          </w:rPr>
          <w:t>https://www.wsj.com/articles/chinese-state-broadcaster-drops-two-nba-games-11570522782</w:t>
        </w:r>
      </w:hyperlink>
      <w:r w:rsidRPr="000F7E18">
        <w:t xml:space="preserve">. </w:t>
      </w:r>
    </w:p>
  </w:endnote>
  <w:endnote w:id="84">
    <w:p w14:paraId="6B65DF44" w14:textId="40D64F23"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Seeking Alpha (2019</w:t>
      </w:r>
      <w:r w:rsidR="00E00E3D">
        <w:t>f</w:t>
      </w:r>
      <w:r w:rsidRPr="000F7E18">
        <w:t>).</w:t>
      </w:r>
    </w:p>
  </w:endnote>
  <w:endnote w:id="85">
    <w:p w14:paraId="3E331376" w14:textId="4B1316E6"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Hajric, Vildana and Robert Brand</w:t>
      </w:r>
      <w:r w:rsidR="00836D44">
        <w:t>. 2019.</w:t>
      </w:r>
      <w:r w:rsidRPr="000F7E18">
        <w:t xml:space="preserve"> </w:t>
      </w:r>
      <w:r w:rsidR="00836D44">
        <w:t>“</w:t>
      </w:r>
      <w:r w:rsidRPr="000F7E18">
        <w:t>Stocks Gain on Hopes for Progress in Trade Talks: Markets Wrap</w:t>
      </w:r>
      <w:r w:rsidR="00836D44">
        <w:t>.”</w:t>
      </w:r>
      <w:r w:rsidRPr="000F7E18">
        <w:t xml:space="preserve"> </w:t>
      </w:r>
      <w:r w:rsidRPr="00836D44">
        <w:rPr>
          <w:i/>
          <w:iCs/>
        </w:rPr>
        <w:t>Bloomberg News (via Bloomberg Terminal)</w:t>
      </w:r>
      <w:r w:rsidR="00836D44">
        <w:t>.</w:t>
      </w:r>
      <w:r w:rsidRPr="000F7E18">
        <w:t xml:space="preserve"> October 9; Seeking Alpha</w:t>
      </w:r>
      <w:r w:rsidR="00836D44">
        <w:t>. 2019m.</w:t>
      </w:r>
      <w:r w:rsidRPr="000F7E18">
        <w:t xml:space="preserve"> </w:t>
      </w:r>
      <w:r w:rsidR="00836D44">
        <w:t>“</w:t>
      </w:r>
      <w:r w:rsidRPr="000F7E18">
        <w:t xml:space="preserve">Wall Street Breakfast: Stocks Poised </w:t>
      </w:r>
      <w:proofErr w:type="gramStart"/>
      <w:r w:rsidRPr="000F7E18">
        <w:t>For</w:t>
      </w:r>
      <w:proofErr w:type="gramEnd"/>
      <w:r w:rsidRPr="000F7E18">
        <w:t xml:space="preserve"> Gains Ahead Of Trade Talks</w:t>
      </w:r>
      <w:r w:rsidR="00836D44">
        <w:t>.”</w:t>
      </w:r>
      <w:r w:rsidRPr="000F7E18">
        <w:t xml:space="preserve"> October 9</w:t>
      </w:r>
      <w:r w:rsidR="00836D44">
        <w:t xml:space="preserve">. </w:t>
      </w:r>
      <w:hyperlink r:id="rId64" w:history="1">
        <w:r w:rsidR="00836D44" w:rsidRPr="00B66EA9">
          <w:rPr>
            <w:rStyle w:val="Hyperlink"/>
          </w:rPr>
          <w:t>https://seekingalpha.com/article/4295682-wall-street-breakfast-stocks-poised-for-gains-ahead-of-trade-talks</w:t>
        </w:r>
      </w:hyperlink>
      <w:r w:rsidRPr="000F7E18">
        <w:t>; Isaac, Anna and Karen Langley</w:t>
      </w:r>
      <w:r w:rsidR="00836D44">
        <w:t>. 2019.</w:t>
      </w:r>
      <w:r w:rsidRPr="000F7E18">
        <w:t xml:space="preserve"> </w:t>
      </w:r>
      <w:r w:rsidR="00836D44">
        <w:t>“</w:t>
      </w:r>
      <w:r w:rsidRPr="000F7E18">
        <w:t>Stocks Climb on Trade Optimism</w:t>
      </w:r>
      <w:r w:rsidR="00836D44">
        <w:t>.”</w:t>
      </w:r>
      <w:r w:rsidRPr="000F7E18">
        <w:t xml:space="preserve"> </w:t>
      </w:r>
      <w:r w:rsidR="00836D44" w:rsidRPr="00836D44">
        <w:rPr>
          <w:i/>
          <w:iCs/>
        </w:rPr>
        <w:t xml:space="preserve">The </w:t>
      </w:r>
      <w:r w:rsidRPr="00836D44">
        <w:rPr>
          <w:i/>
          <w:iCs/>
        </w:rPr>
        <w:t>Wall Street Journal</w:t>
      </w:r>
      <w:r w:rsidR="00836D44">
        <w:t>.</w:t>
      </w:r>
      <w:r w:rsidRPr="000F7E18">
        <w:t xml:space="preserve"> October 9</w:t>
      </w:r>
      <w:r w:rsidR="00836D44">
        <w:t>.</w:t>
      </w:r>
      <w:r w:rsidRPr="000F7E18">
        <w:t xml:space="preserve"> </w:t>
      </w:r>
      <w:hyperlink r:id="rId65" w:history="1">
        <w:r w:rsidRPr="000F7E18">
          <w:rPr>
            <w:rStyle w:val="Hyperlink"/>
          </w:rPr>
          <w:t>https://www.wsj.com/articles/investors-hold-fire-ahead-of-fed-minutes-11570610355</w:t>
        </w:r>
      </w:hyperlink>
      <w:r w:rsidRPr="000F7E18">
        <w:t xml:space="preserve">. </w:t>
      </w:r>
    </w:p>
  </w:endnote>
  <w:endnote w:id="86">
    <w:p w14:paraId="487E751A" w14:textId="6E30294A" w:rsidR="00192335" w:rsidRPr="000F7E18" w:rsidRDefault="00192335" w:rsidP="00FC6977">
      <w:pPr>
        <w:pStyle w:val="EndnoteText"/>
        <w:spacing w:afterLines="20" w:after="48"/>
        <w:jc w:val="left"/>
      </w:pPr>
      <w:r w:rsidRPr="000F7E18">
        <w:rPr>
          <w:rStyle w:val="EndnoteReference"/>
        </w:rPr>
        <w:endnoteRef/>
      </w:r>
      <w:r w:rsidRPr="000F7E18">
        <w:t xml:space="preserve"> Seeking Alpha (2019</w:t>
      </w:r>
      <w:r w:rsidR="00836D44">
        <w:t>m</w:t>
      </w:r>
      <w:r w:rsidRPr="000F7E18">
        <w:t>).</w:t>
      </w:r>
    </w:p>
  </w:endnote>
  <w:endnote w:id="87">
    <w:p w14:paraId="365F3B1D" w14:textId="58D13D79" w:rsidR="00192335" w:rsidRPr="000F7E18" w:rsidRDefault="00192335" w:rsidP="00FC6977">
      <w:pPr>
        <w:pStyle w:val="EndnoteText"/>
        <w:spacing w:afterLines="20" w:after="48"/>
        <w:jc w:val="left"/>
      </w:pPr>
      <w:r w:rsidRPr="000F7E18">
        <w:rPr>
          <w:rStyle w:val="EndnoteReference"/>
        </w:rPr>
        <w:endnoteRef/>
      </w:r>
      <w:r w:rsidRPr="000F7E18">
        <w:t xml:space="preserve"> Seeking Alpha (2019</w:t>
      </w:r>
      <w:r w:rsidR="00836D44">
        <w:t>m</w:t>
      </w:r>
      <w:r w:rsidRPr="000F7E18">
        <w:t>).</w:t>
      </w:r>
    </w:p>
  </w:endnote>
  <w:endnote w:id="88">
    <w:p w14:paraId="7E6BAB1D" w14:textId="09E61858"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proofErr w:type="spellStart"/>
      <w:r w:rsidRPr="000F7E18">
        <w:t>Hajric</w:t>
      </w:r>
      <w:proofErr w:type="spellEnd"/>
      <w:r w:rsidRPr="000F7E18">
        <w:t xml:space="preserve">, </w:t>
      </w:r>
      <w:proofErr w:type="spellStart"/>
      <w:r w:rsidRPr="000F7E18">
        <w:t>Vildana</w:t>
      </w:r>
      <w:proofErr w:type="spellEnd"/>
      <w:r w:rsidR="00145DE0">
        <w:t>. 2019.</w:t>
      </w:r>
      <w:r w:rsidRPr="000F7E18">
        <w:t xml:space="preserve"> </w:t>
      </w:r>
      <w:r w:rsidR="00145DE0">
        <w:t>“</w:t>
      </w:r>
      <w:r w:rsidRPr="000F7E18">
        <w:t>Stocks Climb as Investors Focus on Trade Talks: Markets Wrap</w:t>
      </w:r>
      <w:r w:rsidR="00145DE0">
        <w:t>.”</w:t>
      </w:r>
      <w:r w:rsidRPr="000F7E18">
        <w:t xml:space="preserve"> </w:t>
      </w:r>
      <w:r w:rsidRPr="00145DE0">
        <w:rPr>
          <w:i/>
          <w:iCs/>
        </w:rPr>
        <w:t>Bloomberg News (via Bloomberg terminal)</w:t>
      </w:r>
      <w:r w:rsidR="00145DE0">
        <w:t>.</w:t>
      </w:r>
      <w:r w:rsidRPr="000F7E18">
        <w:t xml:space="preserve"> October 10; Seeking Alpha</w:t>
      </w:r>
      <w:r w:rsidR="00145DE0">
        <w:t>.</w:t>
      </w:r>
      <w:r w:rsidRPr="000F7E18">
        <w:t xml:space="preserve"> </w:t>
      </w:r>
      <w:r w:rsidR="00145DE0">
        <w:t>2019n. “</w:t>
      </w:r>
      <w:r w:rsidRPr="000F7E18">
        <w:t>Wall Street Breakfast: First U.S.-China Trade Talks Since July</w:t>
      </w:r>
      <w:r w:rsidR="00145DE0">
        <w:t>.”</w:t>
      </w:r>
      <w:r w:rsidRPr="000F7E18">
        <w:t xml:space="preserve"> October 10</w:t>
      </w:r>
      <w:r w:rsidR="00145DE0">
        <w:t xml:space="preserve">. </w:t>
      </w:r>
      <w:hyperlink r:id="rId66" w:history="1">
        <w:r w:rsidR="00145DE0" w:rsidRPr="00B66EA9">
          <w:rPr>
            <w:rStyle w:val="Hyperlink"/>
          </w:rPr>
          <w:t>https://seekingalpha.com/article/4295869-wall-street-breakfast-first-u-s-china-trade-talks-since-july</w:t>
        </w:r>
      </w:hyperlink>
      <w:r w:rsidRPr="000F7E18">
        <w:t xml:space="preserve">; Ramkumar, </w:t>
      </w:r>
      <w:proofErr w:type="spellStart"/>
      <w:r w:rsidRPr="000F7E18">
        <w:t>Amrith</w:t>
      </w:r>
      <w:proofErr w:type="spellEnd"/>
      <w:r w:rsidRPr="000F7E18">
        <w:t xml:space="preserve"> and Avantika </w:t>
      </w:r>
      <w:proofErr w:type="spellStart"/>
      <w:r w:rsidRPr="000F7E18">
        <w:t>Chilkoti</w:t>
      </w:r>
      <w:proofErr w:type="spellEnd"/>
      <w:r w:rsidR="00145DE0">
        <w:t>. 2019.</w:t>
      </w:r>
      <w:r w:rsidRPr="000F7E18">
        <w:t xml:space="preserve"> </w:t>
      </w:r>
      <w:r w:rsidR="00145DE0">
        <w:t>“</w:t>
      </w:r>
      <w:r w:rsidRPr="000F7E18">
        <w:t xml:space="preserve">Stocks Rise on Trump’s Plan to Meet </w:t>
      </w:r>
      <w:proofErr w:type="gramStart"/>
      <w:r w:rsidRPr="000F7E18">
        <w:t>With</w:t>
      </w:r>
      <w:proofErr w:type="gramEnd"/>
      <w:r w:rsidRPr="000F7E18">
        <w:t xml:space="preserve"> China Trade Negotiator</w:t>
      </w:r>
      <w:r w:rsidR="00145DE0">
        <w:t>.”</w:t>
      </w:r>
      <w:r w:rsidRPr="000F7E18">
        <w:t xml:space="preserve"> </w:t>
      </w:r>
      <w:r w:rsidR="00145DE0" w:rsidRPr="00145DE0">
        <w:rPr>
          <w:i/>
          <w:iCs/>
        </w:rPr>
        <w:t xml:space="preserve">The </w:t>
      </w:r>
      <w:r w:rsidRPr="00145DE0">
        <w:rPr>
          <w:i/>
          <w:iCs/>
        </w:rPr>
        <w:t>Wall Street Journal</w:t>
      </w:r>
      <w:r w:rsidR="00145DE0">
        <w:t>.</w:t>
      </w:r>
      <w:r w:rsidRPr="000F7E18">
        <w:t xml:space="preserve"> October 10</w:t>
      </w:r>
      <w:r w:rsidR="00145DE0">
        <w:t>.</w:t>
      </w:r>
      <w:r w:rsidRPr="000F7E18">
        <w:t xml:space="preserve"> </w:t>
      </w:r>
      <w:hyperlink r:id="rId67" w:history="1">
        <w:r w:rsidRPr="000F7E18">
          <w:rPr>
            <w:rStyle w:val="Hyperlink"/>
          </w:rPr>
          <w:t>https://www.wsj.com/articles/u-s-stock-futures-slip-as-concerns-about-trade-talks-mount-11570697193</w:t>
        </w:r>
      </w:hyperlink>
      <w:r w:rsidRPr="000F7E18">
        <w:t xml:space="preserve">. </w:t>
      </w:r>
    </w:p>
  </w:endnote>
  <w:endnote w:id="89">
    <w:p w14:paraId="039060BD" w14:textId="1E968DE8"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The White House</w:t>
      </w:r>
      <w:r w:rsidR="00145DE0">
        <w:t>. 2019b.</w:t>
      </w:r>
      <w:r w:rsidRPr="000F7E18">
        <w:t xml:space="preserve"> </w:t>
      </w:r>
      <w:r w:rsidR="00145DE0">
        <w:t>“</w:t>
      </w:r>
      <w:r w:rsidRPr="000F7E18">
        <w:t>Remarks by President Trump and Vice Premier Liu He of the People’s Republic of China in a Meeting</w:t>
      </w:r>
      <w:r w:rsidR="00145DE0">
        <w:t>.”</w:t>
      </w:r>
      <w:r w:rsidRPr="000F7E18">
        <w:t xml:space="preserve"> </w:t>
      </w:r>
      <w:r w:rsidR="00145DE0">
        <w:rPr>
          <w:i/>
          <w:iCs/>
        </w:rPr>
        <w:t xml:space="preserve">Remarks. </w:t>
      </w:r>
      <w:r w:rsidRPr="000F7E18">
        <w:t>October 11</w:t>
      </w:r>
      <w:r w:rsidR="00145DE0">
        <w:t>.</w:t>
      </w:r>
      <w:r w:rsidRPr="000F7E18">
        <w:t xml:space="preserve"> </w:t>
      </w:r>
      <w:hyperlink r:id="rId68" w:history="1">
        <w:r w:rsidRPr="000F7E18">
          <w:rPr>
            <w:rStyle w:val="Hyperlink"/>
          </w:rPr>
          <w:t>https://www.whitehouse.gov/briefings-statements/remarks-president-trump-vice-premier-liu-peoples-republic-china-meeting/</w:t>
        </w:r>
      </w:hyperlink>
      <w:r w:rsidRPr="000F7E18">
        <w:t xml:space="preserve">. </w:t>
      </w:r>
    </w:p>
  </w:endnote>
  <w:endnote w:id="90">
    <w:p w14:paraId="54DBE709" w14:textId="5061E47B"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w:t>
      </w:r>
      <w:proofErr w:type="spellStart"/>
      <w:r w:rsidRPr="000F7E18">
        <w:t>Hajric</w:t>
      </w:r>
      <w:proofErr w:type="spellEnd"/>
      <w:r w:rsidRPr="000F7E18">
        <w:t xml:space="preserve">, </w:t>
      </w:r>
      <w:proofErr w:type="spellStart"/>
      <w:r w:rsidRPr="000F7E18">
        <w:t>Vildana</w:t>
      </w:r>
      <w:proofErr w:type="spellEnd"/>
      <w:r w:rsidRPr="000F7E18">
        <w:t xml:space="preserve"> and Sarah </w:t>
      </w:r>
      <w:proofErr w:type="spellStart"/>
      <w:r w:rsidRPr="000F7E18">
        <w:t>Ponczek</w:t>
      </w:r>
      <w:proofErr w:type="spellEnd"/>
      <w:r w:rsidR="003B280A">
        <w:t>. 2019b.</w:t>
      </w:r>
      <w:r w:rsidRPr="000F7E18">
        <w:t xml:space="preserve"> </w:t>
      </w:r>
      <w:r w:rsidR="003B280A">
        <w:t>“</w:t>
      </w:r>
      <w:r w:rsidRPr="000F7E18">
        <w:t>Stocks Rally as Trump Says U.S., China Have a Deal: Markets Wrap</w:t>
      </w:r>
      <w:r w:rsidR="003B280A">
        <w:t>.”</w:t>
      </w:r>
      <w:r w:rsidRPr="000F7E18">
        <w:t xml:space="preserve"> </w:t>
      </w:r>
      <w:r w:rsidR="003B280A" w:rsidRPr="003B280A">
        <w:rPr>
          <w:i/>
          <w:iCs/>
        </w:rPr>
        <w:t>Bloomberg News (via Bloomberg terminal)</w:t>
      </w:r>
      <w:r w:rsidR="003B280A">
        <w:t xml:space="preserve">. </w:t>
      </w:r>
      <w:r w:rsidRPr="000F7E18">
        <w:t>October 11; Banerji, Gunjan</w:t>
      </w:r>
      <w:r w:rsidR="003B280A">
        <w:t>. 2019.</w:t>
      </w:r>
      <w:r w:rsidRPr="000F7E18">
        <w:t xml:space="preserve"> </w:t>
      </w:r>
      <w:r w:rsidR="003B280A">
        <w:t>“</w:t>
      </w:r>
      <w:r w:rsidRPr="000F7E18">
        <w:t>Stocks Climb on U.S.-China Trade Talk Progress</w:t>
      </w:r>
      <w:r w:rsidR="003B280A">
        <w:t xml:space="preserve">. </w:t>
      </w:r>
      <w:r w:rsidR="003B280A" w:rsidRPr="003B280A">
        <w:rPr>
          <w:i/>
          <w:iCs/>
        </w:rPr>
        <w:t>The</w:t>
      </w:r>
      <w:r w:rsidRPr="003B280A">
        <w:rPr>
          <w:i/>
          <w:iCs/>
        </w:rPr>
        <w:t xml:space="preserve"> Wall Street Journal</w:t>
      </w:r>
      <w:r w:rsidR="003B280A">
        <w:t>.</w:t>
      </w:r>
      <w:r w:rsidRPr="000F7E18">
        <w:t xml:space="preserve"> October 11</w:t>
      </w:r>
      <w:r w:rsidR="003B280A">
        <w:t>.</w:t>
      </w:r>
      <w:r w:rsidRPr="000F7E18">
        <w:t xml:space="preserve"> </w:t>
      </w:r>
      <w:hyperlink r:id="rId69" w:history="1">
        <w:r w:rsidRPr="000F7E18">
          <w:rPr>
            <w:rStyle w:val="Hyperlink"/>
          </w:rPr>
          <w:t>https://www.wsj.com/articles/stocks-rally-on-u-s-china-trade-talk-hopes-11570782814</w:t>
        </w:r>
      </w:hyperlink>
      <w:r w:rsidRPr="000F7E18">
        <w:t xml:space="preserve">. </w:t>
      </w:r>
    </w:p>
  </w:endnote>
  <w:endnote w:id="91">
    <w:p w14:paraId="133B1CD6" w14:textId="61093DB7"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Yahoo Finance, S&amp;P 500 (^GSPC), Historical Data; Ostroff, Caitlin and Akane Otani</w:t>
      </w:r>
      <w:r w:rsidR="003B280A">
        <w:t>. 2019.</w:t>
      </w:r>
      <w:r w:rsidRPr="000F7E18">
        <w:t xml:space="preserve"> </w:t>
      </w:r>
      <w:r w:rsidR="003B280A">
        <w:t>“</w:t>
      </w:r>
      <w:r w:rsidRPr="000F7E18">
        <w:t>U.S. Stocks Inch Lower in Quiet Session</w:t>
      </w:r>
      <w:r w:rsidR="003B280A">
        <w:t>.”</w:t>
      </w:r>
      <w:r w:rsidRPr="000F7E18">
        <w:t xml:space="preserve"> </w:t>
      </w:r>
      <w:r w:rsidR="003B280A" w:rsidRPr="003B280A">
        <w:rPr>
          <w:i/>
          <w:iCs/>
        </w:rPr>
        <w:t xml:space="preserve">The </w:t>
      </w:r>
      <w:r w:rsidRPr="003B280A">
        <w:rPr>
          <w:i/>
          <w:iCs/>
        </w:rPr>
        <w:t>Wall Street Journal</w:t>
      </w:r>
      <w:r w:rsidR="003B280A">
        <w:t xml:space="preserve">. </w:t>
      </w:r>
      <w:r w:rsidRPr="000F7E18">
        <w:t>October 14</w:t>
      </w:r>
      <w:r w:rsidR="003B280A">
        <w:t>.</w:t>
      </w:r>
      <w:r w:rsidRPr="000F7E18">
        <w:t xml:space="preserve"> </w:t>
      </w:r>
      <w:hyperlink r:id="rId70" w:history="1">
        <w:r w:rsidRPr="000F7E18">
          <w:rPr>
            <w:rStyle w:val="Hyperlink"/>
          </w:rPr>
          <w:t>https://www.wsj.com/articles/global-stocks-mixed-amid-trade-uncertainty-11571042265</w:t>
        </w:r>
      </w:hyperlink>
      <w:r w:rsidRPr="000F7E18">
        <w:t xml:space="preserve">. </w:t>
      </w:r>
    </w:p>
  </w:endnote>
  <w:endnote w:id="92">
    <w:p w14:paraId="5DCE0C0A" w14:textId="7D0C6869"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Seeking Alpha</w:t>
      </w:r>
      <w:r w:rsidR="003B280A">
        <w:t>. 2019p.</w:t>
      </w:r>
      <w:r w:rsidRPr="000F7E18">
        <w:t xml:space="preserve"> </w:t>
      </w:r>
      <w:r w:rsidR="003B280A">
        <w:t>“</w:t>
      </w:r>
      <w:r w:rsidRPr="000F7E18">
        <w:t>Wall Street Breakfast: Earnings Season Kicks Off</w:t>
      </w:r>
      <w:r w:rsidR="003B280A">
        <w:t>.”</w:t>
      </w:r>
      <w:r w:rsidRPr="000F7E18">
        <w:t xml:space="preserve"> October 15</w:t>
      </w:r>
      <w:r w:rsidR="003B280A">
        <w:t>.</w:t>
      </w:r>
      <w:r w:rsidRPr="000F7E18">
        <w:t xml:space="preserve"> </w:t>
      </w:r>
      <w:hyperlink r:id="rId71" w:history="1">
        <w:r w:rsidRPr="000F7E18">
          <w:rPr>
            <w:rStyle w:val="Hyperlink"/>
          </w:rPr>
          <w:t>https://seekingalpha.com/article/4296555-wall-street-breakfast-earnings-season-kicks-off</w:t>
        </w:r>
      </w:hyperlink>
      <w:r w:rsidRPr="000F7E18">
        <w:t>; Langley, Karen and Anna Isaac</w:t>
      </w:r>
      <w:r w:rsidR="003B280A">
        <w:t>. 2019.</w:t>
      </w:r>
      <w:r w:rsidRPr="000F7E18">
        <w:t xml:space="preserve"> </w:t>
      </w:r>
      <w:r w:rsidR="003B280A">
        <w:t>“</w:t>
      </w:r>
      <w:r w:rsidRPr="000F7E18">
        <w:t>U.S. Stocks Rise on Strong Earnings Start</w:t>
      </w:r>
      <w:r w:rsidR="003B280A">
        <w:t>.”</w:t>
      </w:r>
      <w:r w:rsidRPr="000F7E18">
        <w:t xml:space="preserve"> </w:t>
      </w:r>
      <w:r w:rsidR="003B280A">
        <w:t xml:space="preserve">The </w:t>
      </w:r>
      <w:r w:rsidRPr="000F7E18">
        <w:t>Wall Street Journal</w:t>
      </w:r>
      <w:r w:rsidR="003B280A">
        <w:t>.</w:t>
      </w:r>
      <w:r w:rsidRPr="000F7E18">
        <w:t xml:space="preserve"> October 15</w:t>
      </w:r>
      <w:r w:rsidR="003B280A">
        <w:t>.</w:t>
      </w:r>
      <w:r w:rsidRPr="000F7E18">
        <w:t xml:space="preserve"> </w:t>
      </w:r>
      <w:hyperlink r:id="rId72" w:history="1">
        <w:r w:rsidRPr="000F7E18">
          <w:rPr>
            <w:rStyle w:val="Hyperlink"/>
          </w:rPr>
          <w:t>https://www.wsj.com/articles/u-k-pound-posts-gains-on-brexit-optimism-11571130220</w:t>
        </w:r>
      </w:hyperlink>
      <w:r w:rsidRPr="000F7E18">
        <w:t>.</w:t>
      </w:r>
    </w:p>
  </w:endnote>
  <w:endnote w:id="93">
    <w:p w14:paraId="44B0D4B8" w14:textId="528B7EFB" w:rsidR="00192335" w:rsidRPr="000F7E18" w:rsidRDefault="00192335" w:rsidP="00FC6977">
      <w:pPr>
        <w:pStyle w:val="EndnoteText"/>
        <w:spacing w:afterLines="20" w:after="48"/>
        <w:jc w:val="left"/>
      </w:pPr>
      <w:r w:rsidRPr="000F7E18">
        <w:rPr>
          <w:rStyle w:val="EndnoteReference"/>
        </w:rPr>
        <w:endnoteRef/>
      </w:r>
      <w:r w:rsidRPr="000F7E18">
        <w:t xml:space="preserve"> Seeking Alpha (2019). </w:t>
      </w:r>
    </w:p>
  </w:endnote>
  <w:endnote w:id="94">
    <w:p w14:paraId="4EDD5EB3" w14:textId="667A0F39"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McHale, Patrick</w:t>
      </w:r>
      <w:r w:rsidR="005F2FF5">
        <w:t>. 2016.</w:t>
      </w:r>
      <w:r w:rsidRPr="000F7E18">
        <w:t xml:space="preserve"> </w:t>
      </w:r>
      <w:r w:rsidR="005F2FF5">
        <w:t>“</w:t>
      </w:r>
      <w:r w:rsidRPr="000F7E18">
        <w:t>U.S. Wrap: Stocks Tumble After Selloff in China</w:t>
      </w:r>
      <w:r w:rsidR="005F2FF5">
        <w:t>.”</w:t>
      </w:r>
      <w:r w:rsidRPr="000F7E18">
        <w:t xml:space="preserve"> </w:t>
      </w:r>
      <w:r w:rsidRPr="005F2FF5">
        <w:rPr>
          <w:i/>
          <w:iCs/>
        </w:rPr>
        <w:t>Bloomberg News (via Bloomberg Terminal)</w:t>
      </w:r>
      <w:r w:rsidR="005F2FF5">
        <w:t>. January 4</w:t>
      </w:r>
      <w:r w:rsidRPr="000F7E18">
        <w:t xml:space="preserve">; </w:t>
      </w:r>
      <w:proofErr w:type="spellStart"/>
      <w:r w:rsidRPr="000F7E18">
        <w:t>Strumpf</w:t>
      </w:r>
      <w:proofErr w:type="spellEnd"/>
      <w:r w:rsidRPr="000F7E18">
        <w:t xml:space="preserve">, Dan and Christopher </w:t>
      </w:r>
      <w:proofErr w:type="spellStart"/>
      <w:r w:rsidRPr="000F7E18">
        <w:t>Whittall</w:t>
      </w:r>
      <w:proofErr w:type="spellEnd"/>
      <w:r w:rsidR="005F2FF5">
        <w:t>. 2016.</w:t>
      </w:r>
      <w:r w:rsidRPr="000F7E18">
        <w:t xml:space="preserve"> </w:t>
      </w:r>
      <w:r w:rsidR="005F2FF5">
        <w:t>“</w:t>
      </w:r>
      <w:r w:rsidRPr="000F7E18">
        <w:t>Dow Plunges 276 Points in First Trading Day of 2016</w:t>
      </w:r>
      <w:r w:rsidR="005F2FF5">
        <w:t>.”</w:t>
      </w:r>
      <w:r w:rsidRPr="000F7E18">
        <w:t xml:space="preserve"> </w:t>
      </w:r>
      <w:r w:rsidR="005F2FF5" w:rsidRPr="005F2FF5">
        <w:rPr>
          <w:i/>
          <w:iCs/>
        </w:rPr>
        <w:t xml:space="preserve">The </w:t>
      </w:r>
      <w:r w:rsidRPr="005F2FF5">
        <w:rPr>
          <w:i/>
          <w:iCs/>
        </w:rPr>
        <w:t>Wall Street Journal</w:t>
      </w:r>
      <w:r w:rsidR="005F2FF5">
        <w:t>.</w:t>
      </w:r>
      <w:r w:rsidRPr="000F7E18">
        <w:t xml:space="preserve"> January 4</w:t>
      </w:r>
      <w:r w:rsidR="005F2FF5">
        <w:t xml:space="preserve">. </w:t>
      </w:r>
      <w:hyperlink r:id="rId73" w:history="1">
        <w:r w:rsidR="005F2FF5" w:rsidRPr="001B543F">
          <w:rPr>
            <w:rStyle w:val="Hyperlink"/>
          </w:rPr>
          <w:t>https://www.wsj.com/articles/stocks-fall-sharply-on-china-slowdown-worries-1451899223</w:t>
        </w:r>
      </w:hyperlink>
      <w:r w:rsidR="005F2FF5">
        <w:rPr>
          <w:rStyle w:val="Hyperlink"/>
        </w:rPr>
        <w:t>.</w:t>
      </w:r>
    </w:p>
  </w:endnote>
  <w:endnote w:id="95">
    <w:p w14:paraId="1D86DA49" w14:textId="68C79C3B"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Bown, Chad P. and Melina Kolb. 2020</w:t>
      </w:r>
      <w:r w:rsidR="00E87CFB">
        <w:t>.</w:t>
      </w:r>
      <w:r w:rsidRPr="000F7E18">
        <w:t xml:space="preserve"> </w:t>
      </w:r>
      <w:r w:rsidR="00E87CFB">
        <w:t>“</w:t>
      </w:r>
      <w:r w:rsidRPr="000F7E18">
        <w:t>Trump’s Trade War Timeline: An Up-to-Date Guide.</w:t>
      </w:r>
      <w:r w:rsidR="00E87CFB">
        <w:t>”</w:t>
      </w:r>
      <w:r w:rsidRPr="000F7E18">
        <w:t xml:space="preserve"> </w:t>
      </w:r>
      <w:r w:rsidRPr="00E87CFB">
        <w:rPr>
          <w:i/>
          <w:iCs/>
        </w:rPr>
        <w:t>Peterson Institute for International Economics.</w:t>
      </w:r>
      <w:r w:rsidRPr="000F7E18">
        <w:t xml:space="preserve"> </w:t>
      </w:r>
    </w:p>
  </w:endnote>
  <w:endnote w:id="96">
    <w:p w14:paraId="5970F384" w14:textId="58A12AD0" w:rsidR="00192335" w:rsidRPr="000F7E18" w:rsidRDefault="00192335" w:rsidP="00FC6977">
      <w:pPr>
        <w:pStyle w:val="EndnoteText"/>
        <w:spacing w:afterLines="20" w:after="48"/>
        <w:ind w:left="720" w:hanging="720"/>
        <w:jc w:val="left"/>
      </w:pPr>
      <w:r w:rsidRPr="000F7E18">
        <w:rPr>
          <w:rStyle w:val="EndnoteReference"/>
        </w:rPr>
        <w:endnoteRef/>
      </w:r>
      <w:r w:rsidRPr="000F7E18">
        <w:t xml:space="preserve"> Ponczek, Sarah</w:t>
      </w:r>
      <w:r w:rsidR="00FC6977">
        <w:t>. 2019.</w:t>
      </w:r>
      <w:r w:rsidRPr="000F7E18">
        <w:t xml:space="preserve"> </w:t>
      </w:r>
      <w:r w:rsidR="00FC6977">
        <w:t>“</w:t>
      </w:r>
      <w:r w:rsidRPr="000F7E18">
        <w:t>Stocks Fall After U.S. Says It Will Raise Tariffs: Markets Wrap</w:t>
      </w:r>
      <w:r w:rsidR="00FC6977">
        <w:t>.”</w:t>
      </w:r>
      <w:r w:rsidRPr="000F7E18">
        <w:t xml:space="preserve"> </w:t>
      </w:r>
      <w:r w:rsidRPr="00FC6977">
        <w:rPr>
          <w:i/>
          <w:iCs/>
        </w:rPr>
        <w:t>Bloomberg News (via Bloomberg Terminal)</w:t>
      </w:r>
      <w:r w:rsidR="00FC6977">
        <w:t>.</w:t>
      </w:r>
      <w:r w:rsidRPr="000F7E18">
        <w:t xml:space="preserve"> May 6; Ramkumar, </w:t>
      </w:r>
      <w:proofErr w:type="spellStart"/>
      <w:r w:rsidRPr="000F7E18">
        <w:t>Amrith</w:t>
      </w:r>
      <w:proofErr w:type="spellEnd"/>
      <w:r w:rsidR="00FC6977">
        <w:t>. 2019d.</w:t>
      </w:r>
      <w:r w:rsidRPr="000F7E18">
        <w:t xml:space="preserve"> </w:t>
      </w:r>
      <w:r w:rsidR="00FC6977">
        <w:t>“</w:t>
      </w:r>
      <w:r w:rsidRPr="000F7E18">
        <w:t>Tech, Industrial Stocks Slide on Renewed Trade Fears</w:t>
      </w:r>
      <w:r w:rsidR="00FC6977">
        <w:t>.”</w:t>
      </w:r>
      <w:r w:rsidRPr="000F7E18">
        <w:t xml:space="preserve"> </w:t>
      </w:r>
      <w:r w:rsidR="00FC6977" w:rsidRPr="00FC6977">
        <w:rPr>
          <w:i/>
          <w:iCs/>
        </w:rPr>
        <w:t xml:space="preserve">The </w:t>
      </w:r>
      <w:r w:rsidRPr="00FC6977">
        <w:rPr>
          <w:i/>
          <w:iCs/>
        </w:rPr>
        <w:t>Wall Street Journal</w:t>
      </w:r>
      <w:r w:rsidR="00FC6977">
        <w:t>.</w:t>
      </w:r>
      <w:r w:rsidRPr="000F7E18">
        <w:t xml:space="preserve"> May 6</w:t>
      </w:r>
      <w:r w:rsidR="00FC6977">
        <w:t>.</w:t>
      </w:r>
      <w:r w:rsidRPr="000F7E18">
        <w:t xml:space="preserve"> </w:t>
      </w:r>
      <w:hyperlink r:id="rId74" w:history="1">
        <w:r w:rsidRPr="000F7E18">
          <w:rPr>
            <w:rStyle w:val="Hyperlink"/>
          </w:rPr>
          <w:t>https://www.wsj.com/articles/tech-industrial-stocks-slide-on-renewed-trade-fears-11557154734</w:t>
        </w:r>
      </w:hyperlink>
      <w:r w:rsidRPr="000F7E18">
        <w:t>; Seeking Alpha</w:t>
      </w:r>
      <w:r w:rsidR="00FC6977">
        <w:t>. 2019q.</w:t>
      </w:r>
      <w:r w:rsidRPr="000F7E18">
        <w:t xml:space="preserve"> </w:t>
      </w:r>
      <w:r w:rsidR="00FC6977">
        <w:t>“</w:t>
      </w:r>
      <w:r w:rsidRPr="000F7E18">
        <w:t>Wall Street Breakfast: Trump Tariff Threats Spook Markets</w:t>
      </w:r>
      <w:r w:rsidR="00FC6977">
        <w:t>.”</w:t>
      </w:r>
      <w:r w:rsidRPr="000F7E18">
        <w:t xml:space="preserve"> </w:t>
      </w:r>
      <w:r w:rsidR="00FC6977">
        <w:t>M</w:t>
      </w:r>
      <w:r w:rsidRPr="000F7E18">
        <w:t>ay 6</w:t>
      </w:r>
      <w:r w:rsidR="00FC6977">
        <w:t>.</w:t>
      </w:r>
      <w:r w:rsidRPr="000F7E18">
        <w:t xml:space="preserve"> </w:t>
      </w:r>
      <w:hyperlink r:id="rId75" w:history="1">
        <w:r w:rsidRPr="000F7E18">
          <w:rPr>
            <w:rStyle w:val="Hyperlink"/>
          </w:rPr>
          <w:t>https://seekingalpha.com/article/4260402-wall-street-breakfast-trump-tariff-threats-spook-markets</w:t>
        </w:r>
      </w:hyperlink>
    </w:p>
  </w:endnote>
  <w:endnote w:id="97">
    <w:p w14:paraId="5D3AF65A" w14:textId="03F7A3A7" w:rsidR="00192335" w:rsidRPr="000F7E18" w:rsidRDefault="00192335" w:rsidP="00FC6977">
      <w:pPr>
        <w:pStyle w:val="EndnoteText"/>
        <w:spacing w:afterLines="20" w:after="48"/>
        <w:jc w:val="left"/>
      </w:pPr>
      <w:r w:rsidRPr="000F7E18">
        <w:rPr>
          <w:rStyle w:val="EndnoteReference"/>
        </w:rPr>
        <w:endnoteRef/>
      </w:r>
      <w:r w:rsidRPr="000F7E18">
        <w:t xml:space="preserve"> Bown and Kolb (2020)</w:t>
      </w:r>
      <w:r w:rsidR="00E87CFB">
        <w:t>.</w:t>
      </w:r>
    </w:p>
  </w:endnote>
  <w:endnote w:id="98">
    <w:p w14:paraId="3A09CE03" w14:textId="42601BBE" w:rsidR="00192335" w:rsidRDefault="00192335" w:rsidP="00FC6977">
      <w:pPr>
        <w:pStyle w:val="EndnoteText"/>
        <w:spacing w:afterLines="20" w:after="48"/>
        <w:ind w:left="720" w:hanging="720"/>
        <w:jc w:val="left"/>
        <w:rPr>
          <w:rStyle w:val="Hyperlink"/>
        </w:rPr>
      </w:pPr>
      <w:r w:rsidRPr="000F7E18">
        <w:rPr>
          <w:rStyle w:val="EndnoteReference"/>
        </w:rPr>
        <w:endnoteRef/>
      </w:r>
      <w:r w:rsidRPr="000F7E18">
        <w:t xml:space="preserve"> Nazareth, Rita and </w:t>
      </w:r>
      <w:proofErr w:type="spellStart"/>
      <w:r w:rsidRPr="000F7E18">
        <w:t>Vildana</w:t>
      </w:r>
      <w:proofErr w:type="spellEnd"/>
      <w:r w:rsidRPr="000F7E18">
        <w:t xml:space="preserve"> </w:t>
      </w:r>
      <w:proofErr w:type="spellStart"/>
      <w:r w:rsidRPr="000F7E18">
        <w:t>Hajric</w:t>
      </w:r>
      <w:proofErr w:type="spellEnd"/>
      <w:r w:rsidR="00FC6977">
        <w:t>. 2019.</w:t>
      </w:r>
      <w:r w:rsidRPr="000F7E18">
        <w:t xml:space="preserve"> </w:t>
      </w:r>
      <w:r w:rsidR="00FC6977">
        <w:t>“</w:t>
      </w:r>
      <w:r w:rsidRPr="000F7E18">
        <w:t>Stocks Sink, Bonds Gain as U.S.-China Feud Deepens: Markets Wrap</w:t>
      </w:r>
      <w:r w:rsidR="00FC6977">
        <w:t>.”</w:t>
      </w:r>
      <w:r w:rsidRPr="000F7E18">
        <w:t xml:space="preserve"> </w:t>
      </w:r>
      <w:r w:rsidRPr="00FC6977">
        <w:rPr>
          <w:i/>
          <w:iCs/>
        </w:rPr>
        <w:t>Bloomberg News (via Bloomberg Terminal)</w:t>
      </w:r>
      <w:r w:rsidR="00FC6977">
        <w:t>.</w:t>
      </w:r>
      <w:r w:rsidRPr="000F7E18">
        <w:t xml:space="preserve"> August 23; </w:t>
      </w:r>
      <w:proofErr w:type="spellStart"/>
      <w:r w:rsidRPr="000F7E18">
        <w:t>Banjeri</w:t>
      </w:r>
      <w:proofErr w:type="spellEnd"/>
      <w:r w:rsidRPr="000F7E18">
        <w:t xml:space="preserve">, </w:t>
      </w:r>
      <w:proofErr w:type="spellStart"/>
      <w:r w:rsidRPr="000F7E18">
        <w:t>Gunjun</w:t>
      </w:r>
      <w:proofErr w:type="spellEnd"/>
      <w:r w:rsidR="00FC6977">
        <w:t>. 2019.</w:t>
      </w:r>
      <w:r w:rsidRPr="000F7E18">
        <w:t xml:space="preserve"> </w:t>
      </w:r>
      <w:r w:rsidR="00FC6977">
        <w:t>“</w:t>
      </w:r>
      <w:r w:rsidRPr="000F7E18">
        <w:t>Stocks, Bond Yields Fall Sharply on Trade Tensions</w:t>
      </w:r>
      <w:r w:rsidR="00FC6977">
        <w:t>.”</w:t>
      </w:r>
      <w:r w:rsidRPr="000F7E18">
        <w:t xml:space="preserve"> </w:t>
      </w:r>
      <w:r w:rsidR="00FC6977" w:rsidRPr="00FC6977">
        <w:rPr>
          <w:i/>
          <w:iCs/>
        </w:rPr>
        <w:t xml:space="preserve">The </w:t>
      </w:r>
      <w:r w:rsidRPr="00FC6977">
        <w:rPr>
          <w:i/>
          <w:iCs/>
        </w:rPr>
        <w:t>Wall Street Journal</w:t>
      </w:r>
      <w:r w:rsidR="00FC6977">
        <w:t>.</w:t>
      </w:r>
      <w:r w:rsidRPr="000F7E18">
        <w:t xml:space="preserve"> August 23</w:t>
      </w:r>
      <w:r w:rsidR="00FC6977">
        <w:t>.</w:t>
      </w:r>
      <w:r w:rsidRPr="000F7E18">
        <w:t xml:space="preserve"> </w:t>
      </w:r>
      <w:hyperlink r:id="rId76" w:history="1">
        <w:r w:rsidRPr="000F7E18">
          <w:rPr>
            <w:rStyle w:val="Hyperlink"/>
          </w:rPr>
          <w:t>https://www.wsj.com/articles/global-stocks-rise-with-all-eyes-on-the-fed-11566547507</w:t>
        </w:r>
      </w:hyperlink>
      <w:r w:rsidR="00FC6977">
        <w:rPr>
          <w:rStyle w:val="Hyperlink"/>
        </w:rPr>
        <w:t>.</w:t>
      </w:r>
    </w:p>
    <w:p w14:paraId="25311179" w14:textId="77777777" w:rsidR="00192335" w:rsidRPr="00C80BD7" w:rsidRDefault="00192335" w:rsidP="00DB5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9A528" w14:textId="77777777" w:rsidR="00F839C8" w:rsidRDefault="00F839C8" w:rsidP="00DB576D">
      <w:r>
        <w:separator/>
      </w:r>
    </w:p>
  </w:footnote>
  <w:footnote w:type="continuationSeparator" w:id="0">
    <w:p w14:paraId="0B5296EC" w14:textId="77777777" w:rsidR="00F839C8" w:rsidRDefault="00F839C8" w:rsidP="00DB576D">
      <w:r>
        <w:continuationSeparator/>
      </w:r>
    </w:p>
  </w:footnote>
  <w:footnote w:id="1">
    <w:p w14:paraId="12B04259" w14:textId="2C8BE6FC" w:rsidR="00192335" w:rsidRDefault="00192335">
      <w:pPr>
        <w:pStyle w:val="FootnoteText"/>
      </w:pPr>
      <w:r>
        <w:rPr>
          <w:rStyle w:val="FootnoteReference"/>
        </w:rPr>
        <w:footnoteRef/>
      </w:r>
      <w:r>
        <w:t xml:space="preserve"> Due to the high density of tables and significant number of citations, references are contained in endnotes. </w:t>
      </w:r>
    </w:p>
  </w:footnote>
  <w:footnote w:id="2">
    <w:p w14:paraId="39296B1A" w14:textId="77777777" w:rsidR="00192335" w:rsidRDefault="00192335" w:rsidP="00DB576D">
      <w:pPr>
        <w:pStyle w:val="FootnoteText"/>
      </w:pPr>
      <w:r>
        <w:rPr>
          <w:rStyle w:val="FootnoteReference"/>
        </w:rPr>
        <w:footnoteRef/>
      </w:r>
      <w:r>
        <w:t xml:space="preserve"> Note: The Entity List is often referred to as a “blacklist” by the mainstream media.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0201E"/>
    <w:multiLevelType w:val="multilevel"/>
    <w:tmpl w:val="82B4CDC6"/>
    <w:lvl w:ilvl="0">
      <w:start w:val="1"/>
      <w:numFmt w:val="none"/>
      <w:pStyle w:val="Heading1"/>
      <w:suff w:val="space"/>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6D"/>
    <w:rsid w:val="00014E90"/>
    <w:rsid w:val="0002383E"/>
    <w:rsid w:val="00036856"/>
    <w:rsid w:val="00047B9D"/>
    <w:rsid w:val="0005187B"/>
    <w:rsid w:val="00060483"/>
    <w:rsid w:val="000614F8"/>
    <w:rsid w:val="00071A1D"/>
    <w:rsid w:val="00080C65"/>
    <w:rsid w:val="000B69DE"/>
    <w:rsid w:val="000C3B45"/>
    <w:rsid w:val="000E5074"/>
    <w:rsid w:val="000F09C6"/>
    <w:rsid w:val="00107C1F"/>
    <w:rsid w:val="001237DB"/>
    <w:rsid w:val="00142BE0"/>
    <w:rsid w:val="00145DE0"/>
    <w:rsid w:val="00145E73"/>
    <w:rsid w:val="00150F01"/>
    <w:rsid w:val="00153DCD"/>
    <w:rsid w:val="00154CBB"/>
    <w:rsid w:val="00155152"/>
    <w:rsid w:val="00177CA0"/>
    <w:rsid w:val="0018274E"/>
    <w:rsid w:val="00185863"/>
    <w:rsid w:val="00190DB5"/>
    <w:rsid w:val="00192335"/>
    <w:rsid w:val="001B2C40"/>
    <w:rsid w:val="001C0613"/>
    <w:rsid w:val="001E31C0"/>
    <w:rsid w:val="001E4D75"/>
    <w:rsid w:val="001F7A9A"/>
    <w:rsid w:val="0020248F"/>
    <w:rsid w:val="00211F88"/>
    <w:rsid w:val="002279A5"/>
    <w:rsid w:val="00244F8E"/>
    <w:rsid w:val="00245D75"/>
    <w:rsid w:val="002524D2"/>
    <w:rsid w:val="002608AD"/>
    <w:rsid w:val="002677B2"/>
    <w:rsid w:val="00272D8E"/>
    <w:rsid w:val="002743D1"/>
    <w:rsid w:val="002753F5"/>
    <w:rsid w:val="00287713"/>
    <w:rsid w:val="002D3AD9"/>
    <w:rsid w:val="00315C91"/>
    <w:rsid w:val="00355677"/>
    <w:rsid w:val="00360144"/>
    <w:rsid w:val="003664E7"/>
    <w:rsid w:val="00370CA0"/>
    <w:rsid w:val="003B280A"/>
    <w:rsid w:val="003B3413"/>
    <w:rsid w:val="003B7617"/>
    <w:rsid w:val="003E34F5"/>
    <w:rsid w:val="003E4364"/>
    <w:rsid w:val="003E7DF0"/>
    <w:rsid w:val="003F182E"/>
    <w:rsid w:val="004059C8"/>
    <w:rsid w:val="004125D8"/>
    <w:rsid w:val="00412AC9"/>
    <w:rsid w:val="004309D1"/>
    <w:rsid w:val="00442E35"/>
    <w:rsid w:val="004560ED"/>
    <w:rsid w:val="004604EB"/>
    <w:rsid w:val="004676A4"/>
    <w:rsid w:val="004714C1"/>
    <w:rsid w:val="004929B2"/>
    <w:rsid w:val="00497D64"/>
    <w:rsid w:val="004B5520"/>
    <w:rsid w:val="004E3EEA"/>
    <w:rsid w:val="004F6D46"/>
    <w:rsid w:val="004F7219"/>
    <w:rsid w:val="0050677D"/>
    <w:rsid w:val="00520F3E"/>
    <w:rsid w:val="005371A7"/>
    <w:rsid w:val="005373F3"/>
    <w:rsid w:val="005A5AD7"/>
    <w:rsid w:val="005B2969"/>
    <w:rsid w:val="005C1D83"/>
    <w:rsid w:val="005C320E"/>
    <w:rsid w:val="005D313E"/>
    <w:rsid w:val="005E0013"/>
    <w:rsid w:val="005F0A67"/>
    <w:rsid w:val="005F2FF5"/>
    <w:rsid w:val="005F51DF"/>
    <w:rsid w:val="00625116"/>
    <w:rsid w:val="00625A48"/>
    <w:rsid w:val="006558B4"/>
    <w:rsid w:val="00673B8A"/>
    <w:rsid w:val="00676411"/>
    <w:rsid w:val="00681A0E"/>
    <w:rsid w:val="00693BD0"/>
    <w:rsid w:val="006A018D"/>
    <w:rsid w:val="006A2CB8"/>
    <w:rsid w:val="006A5DB9"/>
    <w:rsid w:val="006A7524"/>
    <w:rsid w:val="006C2B62"/>
    <w:rsid w:val="006D5F94"/>
    <w:rsid w:val="006E35D0"/>
    <w:rsid w:val="006F7B99"/>
    <w:rsid w:val="007002A0"/>
    <w:rsid w:val="00750FA2"/>
    <w:rsid w:val="007634FF"/>
    <w:rsid w:val="007750D7"/>
    <w:rsid w:val="00794A4D"/>
    <w:rsid w:val="007A046E"/>
    <w:rsid w:val="007B02E6"/>
    <w:rsid w:val="007B05F8"/>
    <w:rsid w:val="007B0AED"/>
    <w:rsid w:val="007B7E87"/>
    <w:rsid w:val="007D7A1F"/>
    <w:rsid w:val="007E375A"/>
    <w:rsid w:val="007F78E3"/>
    <w:rsid w:val="00821E04"/>
    <w:rsid w:val="00826855"/>
    <w:rsid w:val="008273C3"/>
    <w:rsid w:val="00834A9C"/>
    <w:rsid w:val="00836D44"/>
    <w:rsid w:val="0088536F"/>
    <w:rsid w:val="00887008"/>
    <w:rsid w:val="008A75AC"/>
    <w:rsid w:val="008B351A"/>
    <w:rsid w:val="008E2FFA"/>
    <w:rsid w:val="008E42B4"/>
    <w:rsid w:val="0090343A"/>
    <w:rsid w:val="00910B64"/>
    <w:rsid w:val="00915C4C"/>
    <w:rsid w:val="009516C0"/>
    <w:rsid w:val="009A4471"/>
    <w:rsid w:val="009B2464"/>
    <w:rsid w:val="009B4869"/>
    <w:rsid w:val="00A42579"/>
    <w:rsid w:val="00A434FC"/>
    <w:rsid w:val="00A51DA1"/>
    <w:rsid w:val="00A5511C"/>
    <w:rsid w:val="00A56391"/>
    <w:rsid w:val="00A81DD1"/>
    <w:rsid w:val="00A9615B"/>
    <w:rsid w:val="00AA17D9"/>
    <w:rsid w:val="00AB3335"/>
    <w:rsid w:val="00AD0628"/>
    <w:rsid w:val="00AF7D74"/>
    <w:rsid w:val="00B1496C"/>
    <w:rsid w:val="00B32309"/>
    <w:rsid w:val="00B569BE"/>
    <w:rsid w:val="00B80A77"/>
    <w:rsid w:val="00B95A99"/>
    <w:rsid w:val="00BB62BB"/>
    <w:rsid w:val="00BC428F"/>
    <w:rsid w:val="00BE6D8D"/>
    <w:rsid w:val="00C031BE"/>
    <w:rsid w:val="00C2347C"/>
    <w:rsid w:val="00C23D21"/>
    <w:rsid w:val="00C3183A"/>
    <w:rsid w:val="00C344FB"/>
    <w:rsid w:val="00C52DFA"/>
    <w:rsid w:val="00C57D5A"/>
    <w:rsid w:val="00CB2ACC"/>
    <w:rsid w:val="00CB7840"/>
    <w:rsid w:val="00CC312B"/>
    <w:rsid w:val="00CC3CB6"/>
    <w:rsid w:val="00CD3ED2"/>
    <w:rsid w:val="00CF29A3"/>
    <w:rsid w:val="00CF760B"/>
    <w:rsid w:val="00D1210D"/>
    <w:rsid w:val="00D139FA"/>
    <w:rsid w:val="00D46D18"/>
    <w:rsid w:val="00D47C29"/>
    <w:rsid w:val="00D52CB1"/>
    <w:rsid w:val="00D54FA6"/>
    <w:rsid w:val="00D63280"/>
    <w:rsid w:val="00D752ED"/>
    <w:rsid w:val="00D8570F"/>
    <w:rsid w:val="00DA6D72"/>
    <w:rsid w:val="00DB1719"/>
    <w:rsid w:val="00DB2668"/>
    <w:rsid w:val="00DB576D"/>
    <w:rsid w:val="00DB6D1F"/>
    <w:rsid w:val="00DC4F9A"/>
    <w:rsid w:val="00DE279B"/>
    <w:rsid w:val="00E00E3D"/>
    <w:rsid w:val="00E07B78"/>
    <w:rsid w:val="00E463BF"/>
    <w:rsid w:val="00E525B0"/>
    <w:rsid w:val="00E65578"/>
    <w:rsid w:val="00E83465"/>
    <w:rsid w:val="00E87CFB"/>
    <w:rsid w:val="00E90D04"/>
    <w:rsid w:val="00EC3D3B"/>
    <w:rsid w:val="00ED2A2F"/>
    <w:rsid w:val="00ED4BF3"/>
    <w:rsid w:val="00ED6328"/>
    <w:rsid w:val="00EE234C"/>
    <w:rsid w:val="00EF45D2"/>
    <w:rsid w:val="00EF69DB"/>
    <w:rsid w:val="00F205DB"/>
    <w:rsid w:val="00F21656"/>
    <w:rsid w:val="00F24D04"/>
    <w:rsid w:val="00F25795"/>
    <w:rsid w:val="00F33458"/>
    <w:rsid w:val="00F5648F"/>
    <w:rsid w:val="00F71244"/>
    <w:rsid w:val="00F763F0"/>
    <w:rsid w:val="00F77E51"/>
    <w:rsid w:val="00F839C8"/>
    <w:rsid w:val="00F845DD"/>
    <w:rsid w:val="00FA268A"/>
    <w:rsid w:val="00FA2AE3"/>
    <w:rsid w:val="00FA7BA0"/>
    <w:rsid w:val="00FC2F7C"/>
    <w:rsid w:val="00FC477E"/>
    <w:rsid w:val="00FC6977"/>
    <w:rsid w:val="00FC6BCA"/>
    <w:rsid w:val="00FE62B4"/>
    <w:rsid w:val="00FF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D848"/>
  <w15:chartTrackingRefBased/>
  <w15:docId w15:val="{ED017D6A-F2E1-4B03-8AC2-D24219D9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7DB"/>
    <w:pPr>
      <w:spacing w:after="4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4676A4"/>
    <w:pPr>
      <w:keepNext/>
      <w:keepLines/>
      <w:numPr>
        <w:numId w:val="1"/>
      </w:numPr>
      <w:spacing w:before="480" w:after="480"/>
      <w:jc w:val="left"/>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E42B4"/>
    <w:pPr>
      <w:keepNext/>
      <w:keepLines/>
      <w:numPr>
        <w:ilvl w:val="1"/>
        <w:numId w:val="1"/>
      </w:numPr>
      <w:spacing w:before="120" w:after="360"/>
      <w:jc w:val="center"/>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4E3EEA"/>
    <w:pPr>
      <w:keepNext/>
      <w:keepLines/>
      <w:numPr>
        <w:ilvl w:val="2"/>
        <w:numId w:val="1"/>
      </w:numPr>
      <w:spacing w:before="240" w:after="120"/>
      <w:outlineLvl w:val="2"/>
    </w:pPr>
    <w:rPr>
      <w:rFonts w:eastAsiaTheme="majorEastAsia" w:cstheme="majorBidi"/>
      <w:sz w:val="28"/>
      <w:szCs w:val="24"/>
      <w:u w:val="single"/>
    </w:rPr>
  </w:style>
  <w:style w:type="paragraph" w:styleId="Heading4">
    <w:name w:val="heading 4"/>
    <w:basedOn w:val="Normal"/>
    <w:next w:val="Normal"/>
    <w:link w:val="Heading4Char"/>
    <w:uiPriority w:val="9"/>
    <w:unhideWhenUsed/>
    <w:qFormat/>
    <w:rsid w:val="00DB576D"/>
    <w:pPr>
      <w:keepNext/>
      <w:keepLines/>
      <w:numPr>
        <w:ilvl w:val="3"/>
        <w:numId w:val="1"/>
      </w:numPr>
      <w:outlineLvl w:val="3"/>
    </w:pPr>
    <w:rPr>
      <w:rFonts w:eastAsiaTheme="majorEastAsia" w:cstheme="majorBidi"/>
      <w:i/>
      <w:iCs/>
      <w:sz w:val="26"/>
    </w:rPr>
  </w:style>
  <w:style w:type="paragraph" w:styleId="Heading5">
    <w:name w:val="heading 5"/>
    <w:basedOn w:val="Normal"/>
    <w:next w:val="Normal"/>
    <w:link w:val="Heading5Char"/>
    <w:uiPriority w:val="9"/>
    <w:unhideWhenUsed/>
    <w:qFormat/>
    <w:rsid w:val="00DB576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B576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B576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B576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576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6A4"/>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8E42B4"/>
    <w:rPr>
      <w:rFonts w:ascii="Times New Roman" w:eastAsiaTheme="majorEastAsia" w:hAnsi="Times New Roman" w:cstheme="majorBidi"/>
      <w:sz w:val="28"/>
      <w:szCs w:val="26"/>
    </w:rPr>
  </w:style>
  <w:style w:type="character" w:customStyle="1" w:styleId="Heading3Char">
    <w:name w:val="Heading 3 Char"/>
    <w:basedOn w:val="DefaultParagraphFont"/>
    <w:link w:val="Heading3"/>
    <w:uiPriority w:val="9"/>
    <w:rsid w:val="004E3EEA"/>
    <w:rPr>
      <w:rFonts w:ascii="Times New Roman" w:eastAsiaTheme="majorEastAsia" w:hAnsi="Times New Roman" w:cstheme="majorBidi"/>
      <w:sz w:val="28"/>
      <w:szCs w:val="24"/>
      <w:u w:val="single"/>
    </w:rPr>
  </w:style>
  <w:style w:type="character" w:customStyle="1" w:styleId="Heading4Char">
    <w:name w:val="Heading 4 Char"/>
    <w:basedOn w:val="DefaultParagraphFont"/>
    <w:link w:val="Heading4"/>
    <w:uiPriority w:val="9"/>
    <w:rsid w:val="00DB576D"/>
    <w:rPr>
      <w:rFonts w:ascii="Times New Roman" w:eastAsiaTheme="majorEastAsia" w:hAnsi="Times New Roman" w:cstheme="majorBidi"/>
      <w:i/>
      <w:iCs/>
      <w:sz w:val="26"/>
    </w:rPr>
  </w:style>
  <w:style w:type="character" w:customStyle="1" w:styleId="Heading5Char">
    <w:name w:val="Heading 5 Char"/>
    <w:basedOn w:val="DefaultParagraphFont"/>
    <w:link w:val="Heading5"/>
    <w:uiPriority w:val="9"/>
    <w:rsid w:val="00DB576D"/>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DB576D"/>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DB576D"/>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DB57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576D"/>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DB576D"/>
    <w:rPr>
      <w:sz w:val="20"/>
      <w:szCs w:val="20"/>
    </w:rPr>
  </w:style>
  <w:style w:type="character" w:customStyle="1" w:styleId="FootnoteTextChar">
    <w:name w:val="Footnote Text Char"/>
    <w:basedOn w:val="DefaultParagraphFont"/>
    <w:link w:val="FootnoteText"/>
    <w:uiPriority w:val="99"/>
    <w:semiHidden/>
    <w:rsid w:val="00DB576D"/>
    <w:rPr>
      <w:rFonts w:ascii="Times New Roman" w:hAnsi="Times New Roman"/>
      <w:sz w:val="20"/>
      <w:szCs w:val="20"/>
    </w:rPr>
  </w:style>
  <w:style w:type="character" w:styleId="FootnoteReference">
    <w:name w:val="footnote reference"/>
    <w:basedOn w:val="DefaultParagraphFont"/>
    <w:uiPriority w:val="99"/>
    <w:semiHidden/>
    <w:unhideWhenUsed/>
    <w:rsid w:val="00DB576D"/>
    <w:rPr>
      <w:vertAlign w:val="superscript"/>
    </w:rPr>
  </w:style>
  <w:style w:type="character" w:styleId="Hyperlink">
    <w:name w:val="Hyperlink"/>
    <w:basedOn w:val="DefaultParagraphFont"/>
    <w:uiPriority w:val="99"/>
    <w:unhideWhenUsed/>
    <w:rsid w:val="00DB576D"/>
    <w:rPr>
      <w:color w:val="0000FF"/>
      <w:u w:val="single"/>
    </w:rPr>
  </w:style>
  <w:style w:type="paragraph" w:styleId="EndnoteText">
    <w:name w:val="endnote text"/>
    <w:basedOn w:val="Normal"/>
    <w:link w:val="EndnoteTextChar"/>
    <w:uiPriority w:val="99"/>
    <w:unhideWhenUsed/>
    <w:rsid w:val="00DB576D"/>
    <w:rPr>
      <w:sz w:val="20"/>
      <w:szCs w:val="20"/>
    </w:rPr>
  </w:style>
  <w:style w:type="character" w:customStyle="1" w:styleId="EndnoteTextChar">
    <w:name w:val="Endnote Text Char"/>
    <w:basedOn w:val="DefaultParagraphFont"/>
    <w:link w:val="EndnoteText"/>
    <w:uiPriority w:val="99"/>
    <w:rsid w:val="00DB576D"/>
    <w:rPr>
      <w:rFonts w:ascii="Times New Roman" w:hAnsi="Times New Roman"/>
      <w:sz w:val="20"/>
      <w:szCs w:val="20"/>
    </w:rPr>
  </w:style>
  <w:style w:type="character" w:styleId="EndnoteReference">
    <w:name w:val="endnote reference"/>
    <w:basedOn w:val="DefaultParagraphFont"/>
    <w:uiPriority w:val="99"/>
    <w:semiHidden/>
    <w:unhideWhenUsed/>
    <w:rsid w:val="00DB576D"/>
    <w:rPr>
      <w:vertAlign w:val="superscript"/>
    </w:rPr>
  </w:style>
  <w:style w:type="table" w:customStyle="1" w:styleId="TableGrid7">
    <w:name w:val="Table Grid7"/>
    <w:basedOn w:val="TableNormal"/>
    <w:next w:val="TableGrid"/>
    <w:uiPriority w:val="39"/>
    <w:rsid w:val="00DB5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5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45DD"/>
    <w:pPr>
      <w:tabs>
        <w:tab w:val="center" w:pos="4680"/>
        <w:tab w:val="right" w:pos="9360"/>
      </w:tabs>
    </w:pPr>
  </w:style>
  <w:style w:type="character" w:customStyle="1" w:styleId="HeaderChar">
    <w:name w:val="Header Char"/>
    <w:basedOn w:val="DefaultParagraphFont"/>
    <w:link w:val="Header"/>
    <w:uiPriority w:val="99"/>
    <w:rsid w:val="00F845DD"/>
    <w:rPr>
      <w:rFonts w:ascii="Times New Roman" w:hAnsi="Times New Roman"/>
      <w:sz w:val="24"/>
    </w:rPr>
  </w:style>
  <w:style w:type="paragraph" w:styleId="Footer">
    <w:name w:val="footer"/>
    <w:basedOn w:val="Normal"/>
    <w:link w:val="FooterChar"/>
    <w:uiPriority w:val="99"/>
    <w:unhideWhenUsed/>
    <w:rsid w:val="00F845DD"/>
    <w:pPr>
      <w:tabs>
        <w:tab w:val="center" w:pos="4680"/>
        <w:tab w:val="right" w:pos="9360"/>
      </w:tabs>
    </w:pPr>
  </w:style>
  <w:style w:type="character" w:customStyle="1" w:styleId="FooterChar">
    <w:name w:val="Footer Char"/>
    <w:basedOn w:val="DefaultParagraphFont"/>
    <w:link w:val="Footer"/>
    <w:uiPriority w:val="99"/>
    <w:rsid w:val="00F845DD"/>
    <w:rPr>
      <w:rFonts w:ascii="Times New Roman" w:hAnsi="Times New Roman"/>
      <w:sz w:val="24"/>
    </w:rPr>
  </w:style>
  <w:style w:type="character" w:styleId="FollowedHyperlink">
    <w:name w:val="FollowedHyperlink"/>
    <w:basedOn w:val="DefaultParagraphFont"/>
    <w:uiPriority w:val="99"/>
    <w:semiHidden/>
    <w:unhideWhenUsed/>
    <w:rsid w:val="00BB62BB"/>
    <w:rPr>
      <w:color w:val="954F72" w:themeColor="followedHyperlink"/>
      <w:u w:val="single"/>
    </w:rPr>
  </w:style>
  <w:style w:type="paragraph" w:styleId="Caption">
    <w:name w:val="caption"/>
    <w:basedOn w:val="Normal"/>
    <w:next w:val="Normal"/>
    <w:uiPriority w:val="35"/>
    <w:unhideWhenUsed/>
    <w:qFormat/>
    <w:rsid w:val="00A51DA1"/>
    <w:pPr>
      <w:spacing w:before="240" w:after="120"/>
    </w:pPr>
    <w:rPr>
      <w:b/>
      <w:iCs/>
      <w:szCs w:val="18"/>
    </w:rPr>
  </w:style>
  <w:style w:type="character" w:styleId="UnresolvedMention">
    <w:name w:val="Unresolved Mention"/>
    <w:basedOn w:val="DefaultParagraphFont"/>
    <w:uiPriority w:val="99"/>
    <w:semiHidden/>
    <w:unhideWhenUsed/>
    <w:rsid w:val="002743D1"/>
    <w:rPr>
      <w:color w:val="605E5C"/>
      <w:shd w:val="clear" w:color="auto" w:fill="E1DFDD"/>
    </w:rPr>
  </w:style>
  <w:style w:type="character" w:styleId="CommentReference">
    <w:name w:val="annotation reference"/>
    <w:basedOn w:val="DefaultParagraphFont"/>
    <w:uiPriority w:val="99"/>
    <w:semiHidden/>
    <w:unhideWhenUsed/>
    <w:rsid w:val="00AD0628"/>
    <w:rPr>
      <w:sz w:val="16"/>
      <w:szCs w:val="16"/>
    </w:rPr>
  </w:style>
  <w:style w:type="paragraph" w:styleId="CommentText">
    <w:name w:val="annotation text"/>
    <w:basedOn w:val="Normal"/>
    <w:link w:val="CommentTextChar"/>
    <w:uiPriority w:val="99"/>
    <w:semiHidden/>
    <w:unhideWhenUsed/>
    <w:rsid w:val="00AD0628"/>
    <w:rPr>
      <w:sz w:val="20"/>
      <w:szCs w:val="20"/>
    </w:rPr>
  </w:style>
  <w:style w:type="character" w:customStyle="1" w:styleId="CommentTextChar">
    <w:name w:val="Comment Text Char"/>
    <w:basedOn w:val="DefaultParagraphFont"/>
    <w:link w:val="CommentText"/>
    <w:uiPriority w:val="99"/>
    <w:semiHidden/>
    <w:rsid w:val="00AD062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D0628"/>
    <w:rPr>
      <w:b/>
      <w:bCs/>
    </w:rPr>
  </w:style>
  <w:style w:type="character" w:customStyle="1" w:styleId="CommentSubjectChar">
    <w:name w:val="Comment Subject Char"/>
    <w:basedOn w:val="CommentTextChar"/>
    <w:link w:val="CommentSubject"/>
    <w:uiPriority w:val="99"/>
    <w:semiHidden/>
    <w:rsid w:val="00AD0628"/>
    <w:rPr>
      <w:rFonts w:ascii="Times New Roman" w:hAnsi="Times New Roman"/>
      <w:b/>
      <w:bCs/>
      <w:sz w:val="20"/>
      <w:szCs w:val="20"/>
    </w:rPr>
  </w:style>
  <w:style w:type="paragraph" w:styleId="BalloonText">
    <w:name w:val="Balloon Text"/>
    <w:basedOn w:val="Normal"/>
    <w:link w:val="BalloonTextChar"/>
    <w:uiPriority w:val="99"/>
    <w:semiHidden/>
    <w:unhideWhenUsed/>
    <w:rsid w:val="00AD06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6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s://twitter.com/CommerceGov/status/1129023216830341120" TargetMode="External"/><Relationship Id="rId18" Type="http://schemas.openxmlformats.org/officeDocument/2006/relationships/hyperlink" Target="https://www.wsj.com/articles/u-s-plans-temporary-exemptions-to-huawei-blacklist-11558397319" TargetMode="External"/><Relationship Id="rId26" Type="http://schemas.openxmlformats.org/officeDocument/2006/relationships/hyperlink" Target="https://twitter.com/CommerceGov/status/1181339197170425856" TargetMode="External"/><Relationship Id="rId39" Type="http://schemas.openxmlformats.org/officeDocument/2006/relationships/hyperlink" Target="https://www.wsj.com/articles/chinas-exports-tumble-amid-broad-slowdown-1457412946?mod=article_inline" TargetMode="External"/><Relationship Id="rId21" Type="http://schemas.openxmlformats.org/officeDocument/2006/relationships/hyperlink" Target="https://www.commerce.gov/news/press-releases/2020/05/department-commerce-issues-expected-final-90-day-extension-temporary" TargetMode="External"/><Relationship Id="rId34" Type="http://schemas.openxmlformats.org/officeDocument/2006/relationships/hyperlink" Target="https://seekingalpha.com/article/3943456-wall-street-breakfast-investors-look-to-super-tuesday-for-clarity" TargetMode="External"/><Relationship Id="rId42" Type="http://schemas.openxmlformats.org/officeDocument/2006/relationships/hyperlink" Target="https://www.wsj.com/articles/china-new-yuan-loans-fell-sharply-in-february-1457705437" TargetMode="External"/><Relationship Id="rId47" Type="http://schemas.openxmlformats.org/officeDocument/2006/relationships/hyperlink" Target="https://seekingalpha.com/article/4262422-wall-street-breakfast-hailed-uber-ipo-finally-arrives" TargetMode="External"/><Relationship Id="rId50" Type="http://schemas.openxmlformats.org/officeDocument/2006/relationships/hyperlink" Target="https://seekingalpha.com/article/4263742-wall-street-breakfast-futures-claw-back-after-stock-rout" TargetMode="External"/><Relationship Id="rId55" Type="http://schemas.openxmlformats.org/officeDocument/2006/relationships/hyperlink" Target="https://www.wsj.com/articles/china-formally-arrests-detained-canadians-on-spying-charges-11558005674" TargetMode="External"/><Relationship Id="rId63" Type="http://schemas.openxmlformats.org/officeDocument/2006/relationships/hyperlink" Target="https://www.wsj.com/articles/chinese-state-broadcaster-drops-two-nba-games-11570522782" TargetMode="External"/><Relationship Id="rId68" Type="http://schemas.openxmlformats.org/officeDocument/2006/relationships/hyperlink" Target="https://www.whitehouse.gov/briefings-statements/remarks-president-trump-vice-premier-liu-peoples-republic-china-meeting/" TargetMode="External"/><Relationship Id="rId76" Type="http://schemas.openxmlformats.org/officeDocument/2006/relationships/hyperlink" Target="https://www.wsj.com/articles/global-stocks-rise-with-all-eyes-on-the-fed-11566547507" TargetMode="External"/><Relationship Id="rId7" Type="http://schemas.openxmlformats.org/officeDocument/2006/relationships/hyperlink" Target="https://www.politico.com/story/2019/05/15/trump-ban-huawei-us-1042046" TargetMode="External"/><Relationship Id="rId71" Type="http://schemas.openxmlformats.org/officeDocument/2006/relationships/hyperlink" Target="https://seekingalpha.com/article/4296555-wall-street-breakfast-earnings-season-kicks-off" TargetMode="External"/><Relationship Id="rId2" Type="http://schemas.openxmlformats.org/officeDocument/2006/relationships/hyperlink" Target="https://seekingalpha.com/article/3956277-wall-street-breakfast-will-winning-streak-continue" TargetMode="External"/><Relationship Id="rId16" Type="http://schemas.openxmlformats.org/officeDocument/2006/relationships/hyperlink" Target="https://www.wsj.com/articles/global-stocks-slip-as-trade-skirmish-drags-on-11558338168" TargetMode="External"/><Relationship Id="rId29" Type="http://schemas.openxmlformats.org/officeDocument/2006/relationships/hyperlink" Target="https://seekingalpha.com/article/4295327-wall-street-breakfast-futures-kick-off-week-on-back-foot" TargetMode="External"/><Relationship Id="rId11" Type="http://schemas.openxmlformats.org/officeDocument/2006/relationships/hyperlink" Target="https://www.wsj.com/articles/global-stocks-pause-on-mixed-economic-data-11557906881" TargetMode="External"/><Relationship Id="rId24" Type="http://schemas.openxmlformats.org/officeDocument/2006/relationships/hyperlink" Target="https://www.commerce.gov/news/press-releases/2020/06/commerce-clears-way-us-companies-more-fully-engage-tech-standards" TargetMode="External"/><Relationship Id="rId32" Type="http://schemas.openxmlformats.org/officeDocument/2006/relationships/hyperlink" Target="https://www.wsj.com/articles/u-s-adds-chinese-firms-to-blacklist-citing-repression-of-muslim-minorities-11570488642" TargetMode="External"/><Relationship Id="rId37" Type="http://schemas.openxmlformats.org/officeDocument/2006/relationships/hyperlink" Target="https://www.wsj.com/articles/china-shares-down-ahead-of-national-peoples-congress-1457058306" TargetMode="External"/><Relationship Id="rId40" Type="http://schemas.openxmlformats.org/officeDocument/2006/relationships/hyperlink" Target="https://seekingalpha.com/article/3957292-wall-street-breakfast-markets-await-ecb-policy-announcement" TargetMode="External"/><Relationship Id="rId45" Type="http://schemas.openxmlformats.org/officeDocument/2006/relationships/hyperlink" Target="https://ustr.gov/about-us/policy-offices/press-office/press-releases/2019/may/statement-us-trade-representative" TargetMode="External"/><Relationship Id="rId53" Type="http://schemas.openxmlformats.org/officeDocument/2006/relationships/hyperlink" Target="https://www.politico.com/story/2019/02/07/trump-ban-chinese-telecom-1157090" TargetMode="External"/><Relationship Id="rId58" Type="http://schemas.openxmlformats.org/officeDocument/2006/relationships/hyperlink" Target="https://seekingalpha.com/article/4264833-wall-street-breakfast-lingering-trade-worries-weigh-on-equities" TargetMode="External"/><Relationship Id="rId66" Type="http://schemas.openxmlformats.org/officeDocument/2006/relationships/hyperlink" Target="https://seekingalpha.com/article/4295869-wall-street-breakfast-first-u-s-china-trade-talks-since-july" TargetMode="External"/><Relationship Id="rId74" Type="http://schemas.openxmlformats.org/officeDocument/2006/relationships/hyperlink" Target="https://www.wsj.com/articles/tech-industrial-stocks-slide-on-renewed-trade-fears-11557154734" TargetMode="External"/><Relationship Id="rId5" Type="http://schemas.openxmlformats.org/officeDocument/2006/relationships/hyperlink" Target="https://www.wsj.com/articles/u-s-says-it-is-in-talks-with-chinas-zte-on-trade-sanctions-1458085867" TargetMode="External"/><Relationship Id="rId15" Type="http://schemas.openxmlformats.org/officeDocument/2006/relationships/hyperlink" Target="https://seekingalpha.com/article/4265207-wall-street-breakfast-huawei-ban-bites-hard" TargetMode="External"/><Relationship Id="rId23" Type="http://schemas.openxmlformats.org/officeDocument/2006/relationships/hyperlink" Target="https://www.govinfo.gov/content/pkg/FR-2020-05-19/pdf/2020-10856.pdf" TargetMode="External"/><Relationship Id="rId28" Type="http://schemas.openxmlformats.org/officeDocument/2006/relationships/hyperlink" Target="https://www.wsj.com/articles/global-stocks-waver-ahead-of-trade-talks-11570436598" TargetMode="External"/><Relationship Id="rId36" Type="http://schemas.openxmlformats.org/officeDocument/2006/relationships/hyperlink" Target="https://seekingalpha.com/article/3947116-wall-street-breakfast-futures-debate-direction-after-big-wall-street-run" TargetMode="External"/><Relationship Id="rId49" Type="http://schemas.openxmlformats.org/officeDocument/2006/relationships/hyperlink" Target="https://seekingalpha.com/article/4263397-wall-street-breakfast-trade-overhang-sparks-another-selloff" TargetMode="External"/><Relationship Id="rId57" Type="http://schemas.openxmlformats.org/officeDocument/2006/relationships/hyperlink" Target="https://www.wsj.com/articles/global-stocks-dip-as-trade-hopes-falter-11558079273" TargetMode="External"/><Relationship Id="rId61" Type="http://schemas.openxmlformats.org/officeDocument/2006/relationships/hyperlink" Target="https://www.wsj.com/articles/global-stocks-dip-amid-political-trade-tensions-11558599215" TargetMode="External"/><Relationship Id="rId10" Type="http://schemas.openxmlformats.org/officeDocument/2006/relationships/hyperlink" Target="https://seekingalpha.com/article/4264146-wall-street-breakfast-brexit-can-kicking-coming-to-end" TargetMode="External"/><Relationship Id="rId19" Type="http://schemas.openxmlformats.org/officeDocument/2006/relationships/hyperlink" Target="https://www.wsj.com/articles/global-stocks-gain-as-u-s-delays-technology-export-ban-11558424592" TargetMode="External"/><Relationship Id="rId31" Type="http://schemas.openxmlformats.org/officeDocument/2006/relationships/hyperlink" Target="https://www.wsj.com/articles/trade-hopes-lift-asian-shares-but-european-stocks-slip-11570522191" TargetMode="External"/><Relationship Id="rId44" Type="http://schemas.openxmlformats.org/officeDocument/2006/relationships/hyperlink" Target="https://seekingalpha.com/article/4261870-wall-street-breakfast-global-markets-suffer-u-s-china-dispute-intensifies" TargetMode="External"/><Relationship Id="rId52" Type="http://schemas.openxmlformats.org/officeDocument/2006/relationships/hyperlink" Target="https://www.whitehouse.gov/presidential-actions/executive-order-securing-information-communications-technology-services-supply-chain/" TargetMode="External"/><Relationship Id="rId60" Type="http://schemas.openxmlformats.org/officeDocument/2006/relationships/hyperlink" Target="https://seekingalpha.com/article/4265713-wall-street-breakfast-brexit-may-day" TargetMode="External"/><Relationship Id="rId65" Type="http://schemas.openxmlformats.org/officeDocument/2006/relationships/hyperlink" Target="https://www.wsj.com/articles/investors-hold-fire-ahead-of-fed-minutes-11570610355" TargetMode="External"/><Relationship Id="rId73" Type="http://schemas.openxmlformats.org/officeDocument/2006/relationships/hyperlink" Target="https://www.wsj.com/articles/stocks-fall-sharply-on-china-slowdown-worries-1451899223" TargetMode="External"/><Relationship Id="rId4" Type="http://schemas.openxmlformats.org/officeDocument/2006/relationships/hyperlink" Target="https://seekingalpha.com/article/3956561-wall-street-breakfast-renewed-concerns-china-exports-tumble" TargetMode="External"/><Relationship Id="rId9" Type="http://schemas.openxmlformats.org/officeDocument/2006/relationships/hyperlink" Target="https://www.wsj.com/articles/mnuchin-says-u-s-negotiators-likely-to-go-to-beijing-in-near-future-11557931783" TargetMode="External"/><Relationship Id="rId14" Type="http://schemas.openxmlformats.org/officeDocument/2006/relationships/hyperlink" Target="https://seekingalpha.com/article/4264538-wall-street-breakfast-protracted-trade-dispute" TargetMode="External"/><Relationship Id="rId22" Type="http://schemas.openxmlformats.org/officeDocument/2006/relationships/hyperlink" Target="https://www.commerce.gov/news/press-releases/2020/05/commerce-addresses-huaweis-efforts-undermine-entity-list-restricts" TargetMode="External"/><Relationship Id="rId27" Type="http://schemas.openxmlformats.org/officeDocument/2006/relationships/hyperlink" Target="https://www.federalregister.gov/public-inspection/2019/10/07" TargetMode="External"/><Relationship Id="rId30" Type="http://schemas.openxmlformats.org/officeDocument/2006/relationships/hyperlink" Target="https://seekingalpha.com/article/4295539-wall-street-breakfast-tensions-deepen-ahead-of-trade-talks" TargetMode="External"/><Relationship Id="rId35" Type="http://schemas.openxmlformats.org/officeDocument/2006/relationships/hyperlink" Target="https://www.wsj.com/articles/u-s-imposes-266-duty-on-some-chinese-steel-imports-1456878180" TargetMode="External"/><Relationship Id="rId43" Type="http://schemas.openxmlformats.org/officeDocument/2006/relationships/hyperlink" Target="https://www.wsj.com/articles/global-stocks-fall-as-china-holds-firm-in-trade-talks-11557390260" TargetMode="External"/><Relationship Id="rId48" Type="http://schemas.openxmlformats.org/officeDocument/2006/relationships/hyperlink" Target="https://www.wsj.com/articles/global-stocks-stumble-on-renewed-trade-anxiety-11557734434" TargetMode="External"/><Relationship Id="rId56" Type="http://schemas.openxmlformats.org/officeDocument/2006/relationships/hyperlink" Target="https://www.wsj.com/articles/china-says-it-doesnt-know-about-u-s-plans-for-beijing-trade-talks-11558006892" TargetMode="External"/><Relationship Id="rId64" Type="http://schemas.openxmlformats.org/officeDocument/2006/relationships/hyperlink" Target="https://seekingalpha.com/article/4295682-wall-street-breakfast-stocks-poised-for-gains-ahead-of-trade-talks" TargetMode="External"/><Relationship Id="rId69" Type="http://schemas.openxmlformats.org/officeDocument/2006/relationships/hyperlink" Target="https://www.wsj.com/articles/stocks-rally-on-u-s-china-trade-talk-hopes-11570782814" TargetMode="External"/><Relationship Id="rId8" Type="http://schemas.openxmlformats.org/officeDocument/2006/relationships/hyperlink" Target="https://www.wsj.com/articles/trump-telecom-ban-takes-aim-at-china-huawei-11557953363" TargetMode="External"/><Relationship Id="rId51" Type="http://schemas.openxmlformats.org/officeDocument/2006/relationships/hyperlink" Target="https://www.wsj.com/articles/global-selloff-pauses-as-european-stocks-post-gains-11557820118" TargetMode="External"/><Relationship Id="rId72" Type="http://schemas.openxmlformats.org/officeDocument/2006/relationships/hyperlink" Target="https://www.wsj.com/articles/u-k-pound-posts-gains-on-brexit-optimism-11571130220" TargetMode="External"/><Relationship Id="rId3" Type="http://schemas.openxmlformats.org/officeDocument/2006/relationships/hyperlink" Target="https://www.wsj.com/articles/u-s-plans-to-place-restrictions-on-zte-1457337207?mod=article_inline" TargetMode="External"/><Relationship Id="rId12" Type="http://schemas.openxmlformats.org/officeDocument/2006/relationships/hyperlink" Target="https://www.bis.doc.gov/index.php/all-articles/17-regulations/1555-addition-of-certain-entities-to-the-entity-list-final-rule-effective-may-16-2019" TargetMode="External"/><Relationship Id="rId17" Type="http://schemas.openxmlformats.org/officeDocument/2006/relationships/hyperlink" Target="https://www.commerce.gov/news/press-releases/2019/05/department-commerce-issues-limited-exemptions-huawei-products" TargetMode="External"/><Relationship Id="rId25" Type="http://schemas.openxmlformats.org/officeDocument/2006/relationships/hyperlink" Target="https://www.commerce.gov/news/press-releases/2019/10/us-department-commerce-adds-28-chinese-organizations-its-entity-list" TargetMode="External"/><Relationship Id="rId33" Type="http://schemas.openxmlformats.org/officeDocument/2006/relationships/hyperlink" Target="https://www.wsj.com/articles/expanded-u-s-trade-blacklist-hits-beijings-artificial-intelligence-ambitions-11570541277" TargetMode="External"/><Relationship Id="rId38" Type="http://schemas.openxmlformats.org/officeDocument/2006/relationships/hyperlink" Target="https://seekingalpha.com/article/3954216-wall-street-breakfast-all-eyes-on-jobs-report" TargetMode="External"/><Relationship Id="rId46" Type="http://schemas.openxmlformats.org/officeDocument/2006/relationships/hyperlink" Target="https://www.wsj.com/articles/global-stocks-rebound-as-tariff-increase-comes-into-force-11557476135" TargetMode="External"/><Relationship Id="rId59" Type="http://schemas.openxmlformats.org/officeDocument/2006/relationships/hyperlink" Target="https://www.wsj.com/articles/global-stocks-waver-after-retail-sales-decline-11558512562" TargetMode="External"/><Relationship Id="rId67" Type="http://schemas.openxmlformats.org/officeDocument/2006/relationships/hyperlink" Target="https://www.wsj.com/articles/u-s-stock-futures-slip-as-concerns-about-trade-talks-mount-11570697193" TargetMode="External"/><Relationship Id="rId20" Type="http://schemas.openxmlformats.org/officeDocument/2006/relationships/hyperlink" Target="https://seekingalpha.com/article/4265469-wall-street-breakfast-huawei-reprieve-provides-relief" TargetMode="External"/><Relationship Id="rId41" Type="http://schemas.openxmlformats.org/officeDocument/2006/relationships/hyperlink" Target="https://seekingalpha.com/article/3957672-wall-street-breakfast-investors-buy-tickets-on-ecb-roller-coaster" TargetMode="External"/><Relationship Id="rId54" Type="http://schemas.openxmlformats.org/officeDocument/2006/relationships/hyperlink" Target="https://www.wsj.com/articles/global-stocks-bond-yields-slip-11557996316" TargetMode="External"/><Relationship Id="rId62" Type="http://schemas.openxmlformats.org/officeDocument/2006/relationships/hyperlink" Target="https://www.state.gov/u-s-department-of-state-imposes-visa-restrictions-on-chinese-officials-for-repression-in-xinjiang/" TargetMode="External"/><Relationship Id="rId70" Type="http://schemas.openxmlformats.org/officeDocument/2006/relationships/hyperlink" Target="https://www.wsj.com/articles/global-stocks-mixed-amid-trade-uncertainty-11571042265" TargetMode="External"/><Relationship Id="rId75" Type="http://schemas.openxmlformats.org/officeDocument/2006/relationships/hyperlink" Target="https://seekingalpha.com/article/4260402-wall-street-breakfast-trump-tariff-threats-spook-markets" TargetMode="External"/><Relationship Id="rId1" Type="http://schemas.openxmlformats.org/officeDocument/2006/relationships/hyperlink" Target="https://www.bis.doc.gov/index.php/about-bis/newsroom/archives/press-release-archives" TargetMode="External"/><Relationship Id="rId6" Type="http://schemas.openxmlformats.org/officeDocument/2006/relationships/hyperlink" Target="https://www.commerce.gov/news/press-releases/2019/05/department-commerce-announces-addition-huawei-technologies-co-lt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C709D65-38A0-4DC6-AA94-342F5691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18</Pages>
  <Words>3075</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Allen</dc:creator>
  <cp:keywords/>
  <dc:description/>
  <cp:lastModifiedBy>Jeff Allen</cp:lastModifiedBy>
  <cp:revision>126</cp:revision>
  <dcterms:created xsi:type="dcterms:W3CDTF">2020-11-18T00:34:00Z</dcterms:created>
  <dcterms:modified xsi:type="dcterms:W3CDTF">2020-11-22T19:15:00Z</dcterms:modified>
</cp:coreProperties>
</file>