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92094" w14:textId="123468AD" w:rsidR="004874EA" w:rsidRPr="004874EA" w:rsidRDefault="004874EA" w:rsidP="004874EA">
      <w:pPr>
        <w:jc w:val="center"/>
        <w:rPr>
          <w:rFonts w:ascii="Times New Roman" w:hAnsi="Times New Roman" w:cs="Times New Roman"/>
          <w:sz w:val="40"/>
          <w:szCs w:val="40"/>
        </w:rPr>
      </w:pPr>
      <w:r w:rsidRPr="004874EA">
        <w:rPr>
          <w:rFonts w:ascii="Times New Roman" w:hAnsi="Times New Roman" w:cs="Times New Roman"/>
          <w:sz w:val="40"/>
          <w:szCs w:val="40"/>
        </w:rPr>
        <w:t xml:space="preserve">Supplemental material for </w:t>
      </w:r>
      <w:r>
        <w:rPr>
          <w:rFonts w:ascii="Times New Roman" w:hAnsi="Times New Roman" w:cs="Times New Roman"/>
          <w:sz w:val="40"/>
          <w:szCs w:val="40"/>
        </w:rPr>
        <w:t xml:space="preserve">- </w:t>
      </w:r>
      <w:r w:rsidRPr="004874EA">
        <w:rPr>
          <w:rFonts w:ascii="Times New Roman" w:hAnsi="Times New Roman" w:cs="Times New Roman"/>
          <w:i/>
          <w:iCs/>
          <w:sz w:val="40"/>
          <w:szCs w:val="40"/>
        </w:rPr>
        <w:t>Distinguishing multicellular life on exoplanets by testing Earth as an exoplanet</w:t>
      </w:r>
    </w:p>
    <w:p w14:paraId="452B8B6A" w14:textId="1F2C90CB" w:rsidR="004874EA" w:rsidRDefault="004874EA">
      <w:pPr>
        <w:rPr>
          <w:rFonts w:ascii="Times New Roman" w:hAnsi="Times New Roman" w:cs="Times New Roman"/>
          <w:sz w:val="24"/>
          <w:szCs w:val="24"/>
        </w:rPr>
      </w:pPr>
    </w:p>
    <w:p w14:paraId="0BBB71A0" w14:textId="3102AB3E" w:rsidR="004874EA" w:rsidRDefault="004874EA">
      <w:pPr>
        <w:rPr>
          <w:rFonts w:ascii="Times New Roman" w:hAnsi="Times New Roman" w:cs="Times New Roman"/>
          <w:sz w:val="24"/>
          <w:szCs w:val="24"/>
        </w:rPr>
      </w:pPr>
    </w:p>
    <w:p w14:paraId="4E703221" w14:textId="413FF634" w:rsidR="004874EA" w:rsidRDefault="004874EA">
      <w:pPr>
        <w:rPr>
          <w:rFonts w:ascii="Times New Roman" w:hAnsi="Times New Roman" w:cs="Times New Roman"/>
          <w:sz w:val="24"/>
          <w:szCs w:val="24"/>
        </w:rPr>
      </w:pPr>
    </w:p>
    <w:p w14:paraId="4DD4F70A" w14:textId="7E1625C7" w:rsidR="004874EA" w:rsidRDefault="004874EA">
      <w:pPr>
        <w:rPr>
          <w:rFonts w:ascii="Times New Roman" w:hAnsi="Times New Roman" w:cs="Times New Roman"/>
          <w:sz w:val="24"/>
          <w:szCs w:val="24"/>
        </w:rPr>
      </w:pPr>
    </w:p>
    <w:p w14:paraId="32B439C1" w14:textId="77777777" w:rsidR="004874EA" w:rsidRPr="004874EA" w:rsidRDefault="004874EA">
      <w:pPr>
        <w:rPr>
          <w:rFonts w:ascii="Times New Roman" w:hAnsi="Times New Roman" w:cs="Times New Roman"/>
          <w:sz w:val="24"/>
          <w:szCs w:val="24"/>
        </w:rPr>
      </w:pPr>
    </w:p>
    <w:p w14:paraId="6E823B70" w14:textId="77777777" w:rsidR="004874EA" w:rsidRPr="004874EA" w:rsidRDefault="004874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4EA">
        <w:rPr>
          <w:rFonts w:ascii="Times New Roman" w:hAnsi="Times New Roman" w:cs="Times New Roman"/>
          <w:b/>
          <w:bCs/>
          <w:sz w:val="24"/>
          <w:szCs w:val="24"/>
        </w:rPr>
        <w:t>Outline</w:t>
      </w:r>
    </w:p>
    <w:p w14:paraId="6EF65765" w14:textId="77777777" w:rsidR="004874EA" w:rsidRPr="004874EA" w:rsidRDefault="004874EA">
      <w:pPr>
        <w:rPr>
          <w:rFonts w:ascii="Times New Roman" w:hAnsi="Times New Roman" w:cs="Times New Roman"/>
          <w:sz w:val="24"/>
          <w:szCs w:val="24"/>
        </w:rPr>
      </w:pPr>
      <w:r w:rsidRPr="004874EA">
        <w:rPr>
          <w:rFonts w:ascii="Times New Roman" w:hAnsi="Times New Roman" w:cs="Times New Roman"/>
          <w:sz w:val="24"/>
          <w:szCs w:val="24"/>
        </w:rPr>
        <w:t>Table S1 – page 2</w:t>
      </w:r>
    </w:p>
    <w:p w14:paraId="5D23B5F6" w14:textId="1F742557" w:rsidR="004874EA" w:rsidRDefault="004874EA">
      <w:r w:rsidRPr="004874EA">
        <w:rPr>
          <w:rFonts w:ascii="Times New Roman" w:hAnsi="Times New Roman" w:cs="Times New Roman"/>
          <w:sz w:val="24"/>
          <w:szCs w:val="24"/>
        </w:rPr>
        <w:t>Figures S1-2 – pages 3-4</w:t>
      </w:r>
      <w:r>
        <w:br w:type="page"/>
      </w:r>
    </w:p>
    <w:p w14:paraId="7FD7AC41" w14:textId="77777777" w:rsidR="00CC7E8E" w:rsidRDefault="0087051A"/>
    <w:p w14:paraId="21EB74D3" w14:textId="6B7FD9DA" w:rsidR="00C936E7" w:rsidRDefault="00C936E7">
      <w:r w:rsidRPr="00C936E7">
        <w:rPr>
          <w:b/>
          <w:bCs/>
        </w:rPr>
        <w:t>Table S1</w:t>
      </w:r>
      <w:r>
        <w:t xml:space="preserve"> </w:t>
      </w:r>
      <w:r w:rsidR="003E3DE6">
        <w:t>–</w:t>
      </w:r>
      <w:r>
        <w:t xml:space="preserve"> </w:t>
      </w:r>
      <w:r w:rsidR="003E3DE6">
        <w:t xml:space="preserve">Similar to table </w:t>
      </w:r>
      <w:proofErr w:type="gramStart"/>
      <w:r w:rsidR="003E3DE6">
        <w:t>1, but</w:t>
      </w:r>
      <w:proofErr w:type="gramEnd"/>
      <w:r w:rsidR="003E3DE6">
        <w:t xml:space="preserve"> calculated with 670 and 865.  </w:t>
      </w:r>
      <w:r w:rsidRPr="00C936E7">
        <w:t>Absolute change of reflectance (between 1</w:t>
      </w:r>
      <w:r>
        <w:t xml:space="preserve">-3 </w:t>
      </w:r>
      <w:r>
        <w:rPr>
          <w:rFonts w:cstheme="minorHAnsi"/>
        </w:rPr>
        <w:t>°</w:t>
      </w:r>
      <w:r>
        <w:t xml:space="preserve"> </w:t>
      </w:r>
      <w:r w:rsidRPr="00C936E7">
        <w:t>phase angle and 20--30</w:t>
      </w:r>
      <w:r>
        <w:rPr>
          <w:rFonts w:cstheme="minorHAnsi"/>
        </w:rPr>
        <w:t>°</w:t>
      </w:r>
      <w:r w:rsidRPr="00C936E7">
        <w:t xml:space="preserve"> phase angle) for band </w:t>
      </w:r>
      <w:r>
        <w:t>865</w:t>
      </w:r>
      <w:r w:rsidRPr="00C936E7">
        <w:t xml:space="preserve"> nm, NDVI and the percent change for band </w:t>
      </w:r>
      <w:r>
        <w:t>865</w:t>
      </w:r>
      <w:r w:rsidRPr="00C936E7">
        <w:t xml:space="preserve"> nm for the Amazon, Sahara, all </w:t>
      </w:r>
      <w:proofErr w:type="gramStart"/>
      <w:r w:rsidRPr="00C936E7">
        <w:t>land</w:t>
      </w:r>
      <w:proofErr w:type="gramEnd"/>
      <w:r w:rsidRPr="00C936E7">
        <w:t xml:space="preserve"> and the world.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943"/>
        <w:gridCol w:w="826"/>
        <w:gridCol w:w="924"/>
        <w:gridCol w:w="771"/>
      </w:tblGrid>
      <w:tr w:rsidR="00C936E7" w14:paraId="5C41CF82" w14:textId="77777777" w:rsidTr="00C936E7">
        <w:tc>
          <w:tcPr>
            <w:tcW w:w="0" w:type="auto"/>
          </w:tcPr>
          <w:p w14:paraId="0A897D50" w14:textId="77777777" w:rsidR="00C936E7" w:rsidRDefault="00C936E7"/>
        </w:tc>
        <w:tc>
          <w:tcPr>
            <w:tcW w:w="0" w:type="auto"/>
          </w:tcPr>
          <w:p w14:paraId="579925C0" w14:textId="7AFFA6C7" w:rsidR="00C936E7" w:rsidRDefault="00C936E7">
            <w:r>
              <w:t>Amazon</w:t>
            </w:r>
          </w:p>
        </w:tc>
        <w:tc>
          <w:tcPr>
            <w:tcW w:w="0" w:type="auto"/>
          </w:tcPr>
          <w:p w14:paraId="294A1FBA" w14:textId="285006B8" w:rsidR="00C936E7" w:rsidRDefault="00C936E7">
            <w:r>
              <w:t>Sahara</w:t>
            </w:r>
          </w:p>
        </w:tc>
        <w:tc>
          <w:tcPr>
            <w:tcW w:w="0" w:type="auto"/>
          </w:tcPr>
          <w:p w14:paraId="1BAFE868" w14:textId="1DC3A3C3" w:rsidR="00C936E7" w:rsidRDefault="00C936E7">
            <w:r>
              <w:t>All Land</w:t>
            </w:r>
          </w:p>
        </w:tc>
        <w:tc>
          <w:tcPr>
            <w:tcW w:w="0" w:type="auto"/>
          </w:tcPr>
          <w:p w14:paraId="46739C59" w14:textId="35646DC1" w:rsidR="00C936E7" w:rsidRDefault="00C936E7">
            <w:r>
              <w:t>World</w:t>
            </w:r>
          </w:p>
        </w:tc>
      </w:tr>
      <w:tr w:rsidR="00C936E7" w14:paraId="63542E2E" w14:textId="77777777" w:rsidTr="00C936E7">
        <w:tc>
          <w:tcPr>
            <w:tcW w:w="0" w:type="auto"/>
          </w:tcPr>
          <w:p w14:paraId="63C28B83" w14:textId="1EBEE372" w:rsidR="00C936E7" w:rsidRDefault="00C936E7" w:rsidP="00C936E7">
            <w:r>
              <w:t>865 nm</w:t>
            </w:r>
          </w:p>
        </w:tc>
        <w:tc>
          <w:tcPr>
            <w:tcW w:w="0" w:type="auto"/>
            <w:vAlign w:val="bottom"/>
          </w:tcPr>
          <w:p w14:paraId="396EFFE6" w14:textId="02F926F2" w:rsidR="00C936E7" w:rsidRDefault="00C936E7" w:rsidP="00C936E7">
            <w:r>
              <w:rPr>
                <w:rFonts w:ascii="Calibri" w:hAnsi="Calibri" w:cs="Calibri"/>
                <w:color w:val="000000"/>
              </w:rPr>
              <w:t>0.029</w:t>
            </w:r>
          </w:p>
        </w:tc>
        <w:tc>
          <w:tcPr>
            <w:tcW w:w="0" w:type="auto"/>
            <w:vAlign w:val="bottom"/>
          </w:tcPr>
          <w:p w14:paraId="725BF630" w14:textId="5F0BD838" w:rsidR="00C936E7" w:rsidRDefault="00C936E7" w:rsidP="00C936E7"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0" w:type="auto"/>
            <w:vAlign w:val="bottom"/>
          </w:tcPr>
          <w:p w14:paraId="4D009542" w14:textId="22D79750" w:rsidR="00C936E7" w:rsidRDefault="00C936E7" w:rsidP="00C936E7">
            <w:r>
              <w:rPr>
                <w:rFonts w:ascii="Calibri" w:hAnsi="Calibri" w:cs="Calibri"/>
                <w:color w:val="000000"/>
              </w:rPr>
              <w:t>0.013</w:t>
            </w:r>
          </w:p>
        </w:tc>
        <w:tc>
          <w:tcPr>
            <w:tcW w:w="0" w:type="auto"/>
            <w:vAlign w:val="bottom"/>
          </w:tcPr>
          <w:p w14:paraId="2A6AEEB4" w14:textId="4F2A5A13" w:rsidR="00C936E7" w:rsidRDefault="00C936E7" w:rsidP="00C936E7">
            <w:r>
              <w:rPr>
                <w:rFonts w:ascii="Calibri" w:hAnsi="Calibri" w:cs="Calibri"/>
                <w:color w:val="000000"/>
              </w:rPr>
              <w:t>0.024</w:t>
            </w:r>
          </w:p>
        </w:tc>
      </w:tr>
      <w:tr w:rsidR="00C936E7" w14:paraId="59F2273F" w14:textId="77777777" w:rsidTr="00C936E7">
        <w:tc>
          <w:tcPr>
            <w:tcW w:w="0" w:type="auto"/>
          </w:tcPr>
          <w:p w14:paraId="2F7C7CCB" w14:textId="62B5116A" w:rsidR="00C936E7" w:rsidRDefault="00C936E7" w:rsidP="00C936E7">
            <w:r>
              <w:t>NDVI</w:t>
            </w:r>
          </w:p>
        </w:tc>
        <w:tc>
          <w:tcPr>
            <w:tcW w:w="0" w:type="auto"/>
            <w:vAlign w:val="bottom"/>
          </w:tcPr>
          <w:p w14:paraId="55CC48AB" w14:textId="59BEBEE1" w:rsidR="00C936E7" w:rsidRDefault="00C936E7" w:rsidP="00C936E7">
            <w:r>
              <w:rPr>
                <w:rFonts w:ascii="Calibri" w:hAnsi="Calibri" w:cs="Calibri"/>
                <w:color w:val="000000"/>
              </w:rPr>
              <w:t>0.045</w:t>
            </w:r>
          </w:p>
        </w:tc>
        <w:tc>
          <w:tcPr>
            <w:tcW w:w="0" w:type="auto"/>
            <w:vAlign w:val="bottom"/>
          </w:tcPr>
          <w:p w14:paraId="190CA88E" w14:textId="72D8B530" w:rsidR="00C936E7" w:rsidRDefault="00C936E7" w:rsidP="00C936E7">
            <w:r>
              <w:rPr>
                <w:rFonts w:ascii="Calibri" w:hAnsi="Calibri" w:cs="Calibri"/>
                <w:color w:val="000000"/>
              </w:rPr>
              <w:t>0.004</w:t>
            </w:r>
          </w:p>
        </w:tc>
        <w:tc>
          <w:tcPr>
            <w:tcW w:w="0" w:type="auto"/>
            <w:vAlign w:val="bottom"/>
          </w:tcPr>
          <w:p w14:paraId="15AB20A9" w14:textId="25D30BF7" w:rsidR="00C936E7" w:rsidRDefault="00C936E7" w:rsidP="00C936E7">
            <w:r>
              <w:rPr>
                <w:rFonts w:ascii="Calibri" w:hAnsi="Calibri" w:cs="Calibri"/>
                <w:color w:val="000000"/>
              </w:rPr>
              <w:t>0.007</w:t>
            </w:r>
          </w:p>
        </w:tc>
        <w:tc>
          <w:tcPr>
            <w:tcW w:w="0" w:type="auto"/>
            <w:vAlign w:val="bottom"/>
          </w:tcPr>
          <w:p w14:paraId="6110BB66" w14:textId="164E87D7" w:rsidR="00C936E7" w:rsidRDefault="00C936E7" w:rsidP="00C936E7">
            <w:r>
              <w:rPr>
                <w:rFonts w:ascii="Calibri" w:hAnsi="Calibri" w:cs="Calibri"/>
                <w:color w:val="000000"/>
              </w:rPr>
              <w:t>0.038</w:t>
            </w:r>
          </w:p>
        </w:tc>
      </w:tr>
      <w:tr w:rsidR="00C936E7" w14:paraId="7113C3B4" w14:textId="77777777" w:rsidTr="00C936E7">
        <w:tc>
          <w:tcPr>
            <w:tcW w:w="0" w:type="auto"/>
          </w:tcPr>
          <w:p w14:paraId="39D88B02" w14:textId="3B53E3C5" w:rsidR="00C936E7" w:rsidRDefault="00C936E7" w:rsidP="00C936E7">
            <w:r>
              <w:t>Per 865 nm</w:t>
            </w:r>
          </w:p>
        </w:tc>
        <w:tc>
          <w:tcPr>
            <w:tcW w:w="0" w:type="auto"/>
            <w:vAlign w:val="bottom"/>
          </w:tcPr>
          <w:p w14:paraId="43598D84" w14:textId="4B40FC8C" w:rsidR="00C936E7" w:rsidRDefault="003D2EE2" w:rsidP="00C936E7">
            <w:r>
              <w:t>10</w:t>
            </w:r>
          </w:p>
        </w:tc>
        <w:tc>
          <w:tcPr>
            <w:tcW w:w="0" w:type="auto"/>
            <w:vAlign w:val="bottom"/>
          </w:tcPr>
          <w:p w14:paraId="5D96C6DC" w14:textId="0FA4C682" w:rsidR="00C936E7" w:rsidRDefault="00C936E7" w:rsidP="00C936E7">
            <w:r>
              <w:rPr>
                <w:rFonts w:ascii="Calibri" w:hAnsi="Calibri" w:cs="Calibri"/>
                <w:color w:val="000000"/>
              </w:rPr>
              <w:t>2</w:t>
            </w:r>
            <w:r w:rsidR="003D2EE2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7C57D1D1" w14:textId="3832F577" w:rsidR="00C936E7" w:rsidRDefault="00C936E7" w:rsidP="00C936E7">
            <w:r>
              <w:rPr>
                <w:rFonts w:ascii="Calibri" w:hAnsi="Calibri" w:cs="Calibri"/>
                <w:color w:val="000000"/>
              </w:rPr>
              <w:t>14</w:t>
            </w:r>
            <w:r w:rsidR="003D2EE2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14:paraId="50192E58" w14:textId="5AFA8835" w:rsidR="00C936E7" w:rsidRDefault="00C936E7" w:rsidP="00C936E7">
            <w:r>
              <w:rPr>
                <w:rFonts w:ascii="Calibri" w:hAnsi="Calibri" w:cs="Calibri"/>
                <w:color w:val="000000"/>
              </w:rPr>
              <w:t>18</w:t>
            </w:r>
            <w:r w:rsidR="003D2EE2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13AE0113" w14:textId="4F4687D1" w:rsidR="00C936E7" w:rsidRDefault="00C936E7"/>
    <w:p w14:paraId="5FD53F28" w14:textId="12E4C065" w:rsidR="00C936E7" w:rsidRDefault="00C936E7">
      <w:r>
        <w:br w:type="page"/>
      </w:r>
    </w:p>
    <w:p w14:paraId="6CB59484" w14:textId="274D1A0B" w:rsidR="00C936E7" w:rsidRDefault="00C936E7"/>
    <w:p w14:paraId="53ECDDFA" w14:textId="410CB2B0" w:rsidR="00C936E7" w:rsidRDefault="00C936E7"/>
    <w:p w14:paraId="1F2FCEE0" w14:textId="2E35B8DC" w:rsidR="00C936E7" w:rsidRDefault="00C936E7">
      <w:r w:rsidRPr="00C936E7">
        <w:rPr>
          <w:noProof/>
        </w:rPr>
        <w:drawing>
          <wp:inline distT="0" distB="0" distL="0" distR="0" wp14:anchorId="30FFDC35" wp14:editId="20205F9C">
            <wp:extent cx="5242560" cy="4251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42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19947" w14:textId="608D60C7" w:rsidR="00C936E7" w:rsidRDefault="00C936E7">
      <w:r w:rsidRPr="00A86A63">
        <w:rPr>
          <w:b/>
          <w:bCs/>
        </w:rPr>
        <w:t>Figure S1</w:t>
      </w:r>
      <w:r>
        <w:t xml:space="preserve"> – </w:t>
      </w:r>
      <w:r w:rsidR="005A5928">
        <w:t>NDVI calculated with 670</w:t>
      </w:r>
      <w:r w:rsidR="005A5928" w:rsidRPr="007771F6">
        <w:t xml:space="preserve"> nm and </w:t>
      </w:r>
      <w:r w:rsidR="005A5928">
        <w:t>865</w:t>
      </w:r>
      <w:r w:rsidR="005A5928" w:rsidRPr="007771F6">
        <w:t xml:space="preserve"> nm</w:t>
      </w:r>
      <w:r w:rsidR="005A5928">
        <w:t xml:space="preserve"> for a cloud free land scenario at phase angles 20-30</w:t>
      </w:r>
      <w:r w:rsidR="005A5928">
        <w:rPr>
          <w:rFonts w:cstheme="minorHAnsi"/>
        </w:rPr>
        <w:t>°</w:t>
      </w:r>
      <w:r w:rsidR="005A5928">
        <w:t>.</w:t>
      </w:r>
    </w:p>
    <w:p w14:paraId="3FF78A20" w14:textId="167AB9E8" w:rsidR="00A86A63" w:rsidRDefault="00A86A63"/>
    <w:p w14:paraId="7D3AA94F" w14:textId="4E7E2619" w:rsidR="00A86A63" w:rsidRDefault="00A86A63">
      <w:r>
        <w:br w:type="page"/>
      </w:r>
    </w:p>
    <w:p w14:paraId="58886439" w14:textId="0379C211" w:rsidR="00A86A63" w:rsidRDefault="00A86A63"/>
    <w:p w14:paraId="7116B41B" w14:textId="1F4265EA" w:rsidR="00A86A63" w:rsidRDefault="007771F6">
      <w:r w:rsidRPr="007771F6">
        <w:rPr>
          <w:noProof/>
        </w:rPr>
        <w:drawing>
          <wp:inline distT="0" distB="0" distL="0" distR="0" wp14:anchorId="6D32532D" wp14:editId="1F0669CE">
            <wp:extent cx="5943600" cy="4559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2B937" w14:textId="23435820" w:rsidR="00A86A63" w:rsidRDefault="00A86A63">
      <w:r w:rsidRPr="00A86A63">
        <w:rPr>
          <w:b/>
          <w:bCs/>
        </w:rPr>
        <w:t>Figure S2</w:t>
      </w:r>
      <w:r>
        <w:t xml:space="preserve"> - </w:t>
      </w:r>
      <w:r w:rsidR="007771F6" w:rsidRPr="007771F6">
        <w:t>(</w:t>
      </w:r>
      <w:r w:rsidR="007771F6">
        <w:t>a</w:t>
      </w:r>
      <w:r w:rsidR="007771F6" w:rsidRPr="007771F6">
        <w:t xml:space="preserve">) Averaged NDVI </w:t>
      </w:r>
      <w:r w:rsidR="005A5928">
        <w:t>calculated with 670</w:t>
      </w:r>
      <w:r w:rsidR="005A5928" w:rsidRPr="007771F6">
        <w:t xml:space="preserve"> nm and </w:t>
      </w:r>
      <w:r w:rsidR="005A5928">
        <w:t>865</w:t>
      </w:r>
      <w:r w:rsidR="005A5928" w:rsidRPr="007771F6">
        <w:t xml:space="preserve"> nm </w:t>
      </w:r>
      <w:r w:rsidR="007771F6" w:rsidRPr="007771F6">
        <w:t>at different phase angles for a cloud covered Earth (red), all terrestrial land (black), the Amazon region (green), and the Sahara region (blue).</w:t>
      </w:r>
      <w:r w:rsidR="005A5928">
        <w:t xml:space="preserve"> </w:t>
      </w:r>
      <w:r w:rsidR="007771F6" w:rsidRPr="007771F6">
        <w:t xml:space="preserve">Averaged reflectance at different phase angles at </w:t>
      </w:r>
      <w:r w:rsidR="007771F6">
        <w:t>670</w:t>
      </w:r>
      <w:r w:rsidR="007771F6" w:rsidRPr="007771F6">
        <w:t xml:space="preserve"> nm </w:t>
      </w:r>
      <w:r w:rsidR="005A5928">
        <w:t xml:space="preserve">(b) </w:t>
      </w:r>
      <w:r w:rsidR="007771F6" w:rsidRPr="007771F6">
        <w:t xml:space="preserve">and </w:t>
      </w:r>
      <w:r w:rsidR="007771F6">
        <w:t>865</w:t>
      </w:r>
      <w:r w:rsidR="007771F6" w:rsidRPr="007771F6">
        <w:t xml:space="preserve"> nm</w:t>
      </w:r>
      <w:r w:rsidR="005A5928">
        <w:t xml:space="preserve"> (c</w:t>
      </w:r>
      <w:r w:rsidR="007771F6" w:rsidRPr="007771F6">
        <w:t>)</w:t>
      </w:r>
      <w:r w:rsidR="005A5928">
        <w:t xml:space="preserve">.  </w:t>
      </w:r>
      <w:r w:rsidR="007771F6" w:rsidRPr="007771F6">
        <w:t>(</w:t>
      </w:r>
      <w:r w:rsidR="005A5928">
        <w:t>d</w:t>
      </w:r>
      <w:r w:rsidR="007771F6" w:rsidRPr="007771F6">
        <w:t>) Average</w:t>
      </w:r>
      <w:r w:rsidR="005A5928">
        <w:t xml:space="preserve"> change in</w:t>
      </w:r>
      <w:r w:rsidR="007771F6" w:rsidRPr="007771F6">
        <w:t xml:space="preserve"> reflectance </w:t>
      </w:r>
      <w:r w:rsidR="005A5928">
        <w:t>(i.e. 1-3</w:t>
      </w:r>
      <w:r w:rsidR="005A5928">
        <w:rPr>
          <w:rFonts w:cstheme="minorHAnsi"/>
        </w:rPr>
        <w:t>°</w:t>
      </w:r>
      <w:r w:rsidR="005A5928">
        <w:t xml:space="preserve"> minus 3-6</w:t>
      </w:r>
      <w:r w:rsidR="005A5928">
        <w:rPr>
          <w:rFonts w:cstheme="minorHAnsi"/>
        </w:rPr>
        <w:t>°</w:t>
      </w:r>
      <w:r w:rsidR="005A5928">
        <w:t xml:space="preserve">) </w:t>
      </w:r>
      <w:r w:rsidR="007771F6" w:rsidRPr="007771F6">
        <w:t xml:space="preserve">at different phase angles for </w:t>
      </w:r>
      <w:r w:rsidR="005A5928">
        <w:t>the four scenarios for NDVI, 670nm, and 865nm</w:t>
      </w:r>
      <w:r w:rsidR="007771F6" w:rsidRPr="007771F6">
        <w:t xml:space="preserve">. </w:t>
      </w:r>
    </w:p>
    <w:p w14:paraId="3BB80A20" w14:textId="1547BE86" w:rsidR="00C936E7" w:rsidRDefault="00C936E7"/>
    <w:p w14:paraId="7C64DE90" w14:textId="77777777" w:rsidR="00C936E7" w:rsidRDefault="00C936E7"/>
    <w:sectPr w:rsidR="00C936E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D8121" w14:textId="77777777" w:rsidR="0087051A" w:rsidRDefault="0087051A" w:rsidP="004874EA">
      <w:pPr>
        <w:spacing w:after="0" w:line="240" w:lineRule="auto"/>
      </w:pPr>
      <w:r>
        <w:separator/>
      </w:r>
    </w:p>
  </w:endnote>
  <w:endnote w:type="continuationSeparator" w:id="0">
    <w:p w14:paraId="66C99975" w14:textId="77777777" w:rsidR="0087051A" w:rsidRDefault="0087051A" w:rsidP="0048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319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FAC57" w14:textId="5AD459AC" w:rsidR="004874EA" w:rsidRDefault="004874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1FD10F" w14:textId="77777777" w:rsidR="004874EA" w:rsidRDefault="00487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C5FA1" w14:textId="77777777" w:rsidR="0087051A" w:rsidRDefault="0087051A" w:rsidP="004874EA">
      <w:pPr>
        <w:spacing w:after="0" w:line="240" w:lineRule="auto"/>
      </w:pPr>
      <w:r>
        <w:separator/>
      </w:r>
    </w:p>
  </w:footnote>
  <w:footnote w:type="continuationSeparator" w:id="0">
    <w:p w14:paraId="61F8A2B4" w14:textId="77777777" w:rsidR="0087051A" w:rsidRDefault="0087051A" w:rsidP="00487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E7"/>
    <w:rsid w:val="003B1EE1"/>
    <w:rsid w:val="003D2EE2"/>
    <w:rsid w:val="003E3DE6"/>
    <w:rsid w:val="004874EA"/>
    <w:rsid w:val="005A5928"/>
    <w:rsid w:val="007251C0"/>
    <w:rsid w:val="00777070"/>
    <w:rsid w:val="007771F6"/>
    <w:rsid w:val="0087051A"/>
    <w:rsid w:val="00A86A63"/>
    <w:rsid w:val="00B834FE"/>
    <w:rsid w:val="00B9235C"/>
    <w:rsid w:val="00C936E7"/>
    <w:rsid w:val="00FD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86FBB"/>
  <w15:chartTrackingRefBased/>
  <w15:docId w15:val="{22A9E43A-92C3-4798-80DF-F6EB0E7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B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7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4EA"/>
  </w:style>
  <w:style w:type="paragraph" w:styleId="Footer">
    <w:name w:val="footer"/>
    <w:basedOn w:val="Normal"/>
    <w:link w:val="FooterChar"/>
    <w:uiPriority w:val="99"/>
    <w:unhideWhenUsed/>
    <w:rsid w:val="00487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Doughty</dc:creator>
  <cp:keywords/>
  <dc:description/>
  <cp:lastModifiedBy>Christopher Doughty</cp:lastModifiedBy>
  <cp:revision>4</cp:revision>
  <dcterms:created xsi:type="dcterms:W3CDTF">2020-07-31T22:57:00Z</dcterms:created>
  <dcterms:modified xsi:type="dcterms:W3CDTF">2020-08-20T17:48:00Z</dcterms:modified>
</cp:coreProperties>
</file>