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52CFA4" w14:textId="77777777" w:rsidR="006A2E4C" w:rsidRDefault="00FA4C15" w:rsidP="00FA4C15">
      <w:pPr>
        <w:jc w:val="center"/>
      </w:pPr>
      <w:r>
        <w:t>Supplementary Data</w:t>
      </w:r>
    </w:p>
    <w:p w14:paraId="43F4A55D" w14:textId="3EE8D155" w:rsidR="00E71165" w:rsidRDefault="00E71165" w:rsidP="00E71165">
      <w:pPr>
        <w:pStyle w:val="IJABSubheadingStyle"/>
      </w:pPr>
      <w:r>
        <w:t xml:space="preserve">Robustness-plated volume </w:t>
      </w:r>
    </w:p>
    <w:p w14:paraId="04B37530" w14:textId="77777777" w:rsidR="006768FB" w:rsidRDefault="006768FB" w:rsidP="00E71165">
      <w:pPr>
        <w:pStyle w:val="IJABSubheadingStyle"/>
      </w:pPr>
    </w:p>
    <w:p w14:paraId="1B78B203" w14:textId="6BF777BF" w:rsidR="00E71165" w:rsidRDefault="00E71165" w:rsidP="00E71165">
      <w:pPr>
        <w:ind w:firstLine="720"/>
        <w:rPr>
          <w:rFonts w:eastAsia="Calibri"/>
        </w:rPr>
      </w:pPr>
      <w:r>
        <w:rPr>
          <w:rFonts w:eastAsia="Calibri"/>
        </w:rPr>
        <w:t xml:space="preserve">To facilitate incorporation into the NASA Standard Assay, the </w:t>
      </w:r>
      <w:r w:rsidR="00677256" w:rsidRPr="00677256">
        <w:rPr>
          <w:rFonts w:eastAsia="Calibri"/>
        </w:rPr>
        <w:t xml:space="preserve">3M™ Petrifilm™ Rapid Aerobic Count </w:t>
      </w:r>
      <w:r w:rsidR="00677256">
        <w:rPr>
          <w:rFonts w:eastAsia="Calibri"/>
        </w:rPr>
        <w:t>(</w:t>
      </w:r>
      <w:r>
        <w:rPr>
          <w:rFonts w:eastAsia="Calibri"/>
        </w:rPr>
        <w:t>RAC</w:t>
      </w:r>
      <w:r w:rsidR="00677256">
        <w:rPr>
          <w:rFonts w:eastAsia="Calibri"/>
        </w:rPr>
        <w:t>)</w:t>
      </w:r>
      <w:r>
        <w:rPr>
          <w:rFonts w:eastAsia="Calibri"/>
        </w:rPr>
        <w:t xml:space="preserve"> plates were assessed for robustness in enumeration results over variations of plated volume</w:t>
      </w:r>
      <w:r w:rsidR="00684C07">
        <w:rPr>
          <w:rFonts w:eastAsia="Calibri"/>
        </w:rPr>
        <w:t xml:space="preserve">. </w:t>
      </w:r>
      <w:r>
        <w:rPr>
          <w:rFonts w:eastAsia="Calibri"/>
        </w:rPr>
        <w:t xml:space="preserve">NASA Standard Assay procedures involve manually pipetting samples acquired from spacecraft surfaces via swabbing, wiping, and air sampling. TSA plates within the NASA Standard Assay are often plated with </w:t>
      </w:r>
      <w:r w:rsidR="002F7702">
        <w:rPr>
          <w:rFonts w:eastAsia="Calibri"/>
        </w:rPr>
        <w:t>up to</w:t>
      </w:r>
      <w:r>
        <w:rPr>
          <w:rFonts w:eastAsia="Calibri"/>
        </w:rPr>
        <w:t xml:space="preserve"> 4 mL </w:t>
      </w:r>
      <w:r w:rsidR="004C2928">
        <w:rPr>
          <w:rFonts w:eastAsia="Calibri"/>
        </w:rPr>
        <w:t>s</w:t>
      </w:r>
      <w:r>
        <w:rPr>
          <w:rFonts w:eastAsia="Calibri"/>
        </w:rPr>
        <w:t>ample</w:t>
      </w:r>
      <w:r w:rsidR="000B5AE7">
        <w:rPr>
          <w:rFonts w:eastAsia="Calibri"/>
        </w:rPr>
        <w:t>s</w:t>
      </w:r>
      <w:r>
        <w:rPr>
          <w:rFonts w:eastAsia="Calibri"/>
        </w:rPr>
        <w:t xml:space="preserve">, depending on the expected number of organisms on the plates; however, the new membrane filtration technique involves </w:t>
      </w:r>
      <w:r w:rsidR="00B86DFA">
        <w:rPr>
          <w:rFonts w:eastAsia="Calibri"/>
        </w:rPr>
        <w:t xml:space="preserve">straining anywhere from </w:t>
      </w:r>
      <w:r w:rsidR="00340DDF">
        <w:rPr>
          <w:rFonts w:eastAsia="Calibri"/>
        </w:rPr>
        <w:t xml:space="preserve">1 mL </w:t>
      </w:r>
      <w:r w:rsidR="00B86DFA">
        <w:rPr>
          <w:rFonts w:eastAsia="Calibri"/>
        </w:rPr>
        <w:t>to 200 mL of sample</w:t>
      </w:r>
      <w:r>
        <w:rPr>
          <w:rFonts w:eastAsia="Calibri"/>
        </w:rPr>
        <w:t xml:space="preserve"> </w:t>
      </w:r>
      <w:r w:rsidR="00516F6C">
        <w:rPr>
          <w:rFonts w:eastAsia="Calibri"/>
        </w:rPr>
        <w:t>(including microorganisms)</w:t>
      </w:r>
      <w:r w:rsidRPr="00C35BCC">
        <w:rPr>
          <w:rFonts w:eastAsia="Calibri"/>
        </w:rPr>
        <w:t xml:space="preserve"> on the</w:t>
      </w:r>
      <w:r w:rsidR="00C35BCC" w:rsidRPr="00C35BCC">
        <w:rPr>
          <w:rFonts w:eastAsia="Calibri"/>
        </w:rPr>
        <w:t xml:space="preserve"> filter,</w:t>
      </w:r>
      <w:r w:rsidRPr="00C35BCC">
        <w:rPr>
          <w:rFonts w:eastAsia="Calibri"/>
        </w:rPr>
        <w:t xml:space="preserve"> </w:t>
      </w:r>
      <w:r>
        <w:rPr>
          <w:rFonts w:eastAsia="Calibri"/>
        </w:rPr>
        <w:t xml:space="preserve">itself. </w:t>
      </w:r>
      <w:r w:rsidR="00A964BF">
        <w:rPr>
          <w:rFonts w:eastAsia="Calibri"/>
        </w:rPr>
        <w:t>According</w:t>
      </w:r>
      <w:r>
        <w:rPr>
          <w:rFonts w:eastAsia="Calibri"/>
        </w:rPr>
        <w:t xml:space="preserve"> to </w:t>
      </w:r>
      <w:proofErr w:type="spellStart"/>
      <w:r>
        <w:rPr>
          <w:rFonts w:eastAsia="Calibri"/>
        </w:rPr>
        <w:t>manufacturers</w:t>
      </w:r>
      <w:proofErr w:type="spellEnd"/>
      <w:r>
        <w:rPr>
          <w:rFonts w:eastAsia="Calibri"/>
        </w:rPr>
        <w:t xml:space="preserve"> instructions, the RAC plates can </w:t>
      </w:r>
      <w:r w:rsidR="00A964BF">
        <w:rPr>
          <w:rFonts w:eastAsia="Calibri"/>
        </w:rPr>
        <w:t>accommodate</w:t>
      </w:r>
      <w:r>
        <w:rPr>
          <w:rFonts w:eastAsia="Calibri"/>
        </w:rPr>
        <w:t xml:space="preserve"> a 1 mL sample solution, but the range of possible plated solution within the NASA Standard Assay is important knowledge for future Planetary Protection </w:t>
      </w:r>
      <w:r w:rsidR="002B435B">
        <w:rPr>
          <w:rFonts w:eastAsia="Calibri"/>
        </w:rPr>
        <w:t>flight sampling activities</w:t>
      </w:r>
      <w:r>
        <w:rPr>
          <w:rFonts w:eastAsia="Calibri"/>
        </w:rPr>
        <w:t xml:space="preserve">. Therefore, 1 mL, 1.5 mL, and 2 mL of </w:t>
      </w:r>
      <w:r>
        <w:rPr>
          <w:rFonts w:eastAsia="Calibri"/>
          <w:i/>
        </w:rPr>
        <w:t>B. atrophaeus</w:t>
      </w:r>
      <w:r>
        <w:rPr>
          <w:rFonts w:eastAsia="Calibri"/>
        </w:rPr>
        <w:t xml:space="preserve"> spores </w:t>
      </w:r>
      <w:r>
        <w:t>(NASA Standard Assay indicator organism</w:t>
      </w:r>
      <w:r>
        <w:rPr>
          <w:rFonts w:eastAsia="Calibri"/>
        </w:rPr>
        <w:t>)</w:t>
      </w:r>
      <w:r w:rsidR="00520DC4">
        <w:rPr>
          <w:rFonts w:eastAsia="Calibri"/>
        </w:rPr>
        <w:t xml:space="preserve"> </w:t>
      </w:r>
      <w:r>
        <w:rPr>
          <w:rFonts w:eastAsia="Calibri"/>
        </w:rPr>
        <w:t xml:space="preserve">were plated onto the RAC plates and directly compared to CFUs from TSA plates. A targeted range of </w:t>
      </w:r>
      <w:r w:rsidR="006D55FD">
        <w:rPr>
          <w:rFonts w:eastAsia="Calibri"/>
        </w:rPr>
        <w:t>CFU</w:t>
      </w:r>
      <w:r>
        <w:rPr>
          <w:rFonts w:eastAsia="Calibri"/>
        </w:rPr>
        <w:t xml:space="preserve"> concentrations, namely 10, 25, 100, and 300 CFU per plate were evaluated, and the enumerated results after 24 hours of incubation are in shown in  </w:t>
      </w:r>
      <w:r>
        <w:rPr>
          <w:rFonts w:eastAsia="Calibri"/>
        </w:rPr>
        <w:fldChar w:fldCharType="begin"/>
      </w:r>
      <w:r>
        <w:rPr>
          <w:rFonts w:eastAsia="Calibri"/>
        </w:rPr>
        <w:instrText xml:space="preserve"> REF _Ref77857881 \h </w:instrText>
      </w:r>
      <w:r>
        <w:rPr>
          <w:rFonts w:eastAsia="Calibri"/>
        </w:rPr>
      </w:r>
      <w:r>
        <w:rPr>
          <w:rFonts w:eastAsia="Calibri"/>
        </w:rPr>
        <w:fldChar w:fldCharType="separate"/>
      </w:r>
      <w:r w:rsidR="00D46101">
        <w:t>Figure S</w:t>
      </w:r>
      <w:r w:rsidR="00D46101">
        <w:rPr>
          <w:noProof/>
        </w:rPr>
        <w:t>1</w:t>
      </w:r>
      <w:r>
        <w:rPr>
          <w:rFonts w:eastAsia="Calibri"/>
        </w:rPr>
        <w:fldChar w:fldCharType="end"/>
      </w:r>
      <w:r>
        <w:rPr>
          <w:rFonts w:eastAsia="Calibri"/>
        </w:rPr>
        <w:t>.</w:t>
      </w:r>
    </w:p>
    <w:p w14:paraId="0051CCAC" w14:textId="4F5FD703" w:rsidR="00E71165" w:rsidRPr="00A31A61" w:rsidRDefault="00E71165" w:rsidP="00E71165">
      <w:pPr>
        <w:rPr>
          <w:i/>
        </w:rPr>
      </w:pPr>
      <w:r>
        <w:tab/>
        <w:t>Overall, at 24 hours the acquired CFUs were lower than theoretical target CFUs across the board; however, the difference in CFUs between plates were not significantly different despite plated volume or CFU target. At the highest concentration tested with the 1m</w:t>
      </w:r>
      <w:r w:rsidR="00BB7036">
        <w:t>L</w:t>
      </w:r>
      <w:r>
        <w:t xml:space="preserve"> plated volume,</w:t>
      </w:r>
      <w:r w:rsidR="00BB7036">
        <w:t xml:space="preserve"> </w:t>
      </w:r>
      <w:r>
        <w:t>a significant difference was observed with counts of 163 of and 214 on RAC and TSA respectively</w:t>
      </w:r>
      <w:r w:rsidR="007B2957">
        <w:t>; however, this was the only significant difference of data sets in the experiment</w:t>
      </w:r>
      <w:r>
        <w:t xml:space="preserve">. </w:t>
      </w:r>
      <w:r w:rsidR="008F44EE">
        <w:t xml:space="preserve">The reasoning for this difference is unclear, and as the first experiment performed may be due to a mistake from the operators or may be that Petrifilm plates tested at 300 CFU per plate are outside of the operating range recommended by the manufacturer (250 CFU). </w:t>
      </w:r>
      <w:r w:rsidR="006B4DA6">
        <w:t>More importantly, v</w:t>
      </w:r>
      <w:r>
        <w:t xml:space="preserve">olumes of 1.5 </w:t>
      </w:r>
      <w:r w:rsidR="00583FB1">
        <w:t xml:space="preserve">mL or more </w:t>
      </w:r>
      <w:r>
        <w:t xml:space="preserve">resulted in </w:t>
      </w:r>
      <w:r w:rsidR="008F7C7A">
        <w:t xml:space="preserve">solution running off of the culturable area </w:t>
      </w:r>
      <w:r>
        <w:t xml:space="preserve">on the RAC plates.  </w:t>
      </w:r>
      <w:r w:rsidRPr="00AE0975">
        <w:t>A one-way ANOVA with Tukey’s multiple comparison post-hoc test was performed comparing each plate type to the volume plated for each B. atrophaeus CFU target amount (NS, not significant; *, P &lt; 0.05).</w:t>
      </w:r>
    </w:p>
    <w:p w14:paraId="5D25A312" w14:textId="77777777" w:rsidR="00E71165" w:rsidRPr="0059593E" w:rsidRDefault="00E71165" w:rsidP="00E71165">
      <w:pPr>
        <w:rPr>
          <w:rFonts w:eastAsia="Calibri"/>
        </w:rPr>
      </w:pPr>
    </w:p>
    <w:p w14:paraId="07EDD96A" w14:textId="13762559" w:rsidR="00E71165" w:rsidRDefault="00E71165" w:rsidP="00E71165">
      <w:pPr>
        <w:keepNext/>
      </w:pPr>
    </w:p>
    <w:p w14:paraId="34B32A0C" w14:textId="78E4457B" w:rsidR="00C24570" w:rsidRDefault="00E447F7" w:rsidP="00E71165">
      <w:pPr>
        <w:keepNext/>
      </w:pPr>
      <w:r>
        <w:rPr>
          <w:noProof/>
        </w:rPr>
        <w:drawing>
          <wp:inline distT="0" distB="0" distL="0" distR="0" wp14:anchorId="4B0ACD37" wp14:editId="7A6E5486">
            <wp:extent cx="5943600" cy="318352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183527"/>
                    </a:xfrm>
                    <a:prstGeom prst="rect">
                      <a:avLst/>
                    </a:prstGeom>
                    <a:noFill/>
                  </pic:spPr>
                </pic:pic>
              </a:graphicData>
            </a:graphic>
          </wp:inline>
        </w:drawing>
      </w:r>
    </w:p>
    <w:p w14:paraId="1C878D9D" w14:textId="341296E1" w:rsidR="00E447F7" w:rsidRDefault="00E447F7" w:rsidP="00E71165">
      <w:pPr>
        <w:keepNext/>
      </w:pPr>
      <w:r>
        <w:rPr>
          <w:noProof/>
        </w:rPr>
        <w:drawing>
          <wp:inline distT="0" distB="0" distL="0" distR="0" wp14:anchorId="7322AE0B" wp14:editId="62174835">
            <wp:extent cx="5943600" cy="3160847"/>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160847"/>
                    </a:xfrm>
                    <a:prstGeom prst="rect">
                      <a:avLst/>
                    </a:prstGeom>
                    <a:noFill/>
                  </pic:spPr>
                </pic:pic>
              </a:graphicData>
            </a:graphic>
          </wp:inline>
        </w:drawing>
      </w:r>
    </w:p>
    <w:p w14:paraId="75F5DCF4" w14:textId="34EEEE57" w:rsidR="00E447F7" w:rsidRDefault="00E447F7" w:rsidP="00E71165">
      <w:pPr>
        <w:keepNext/>
      </w:pPr>
      <w:r>
        <w:rPr>
          <w:noProof/>
        </w:rPr>
        <w:lastRenderedPageBreak/>
        <w:drawing>
          <wp:inline distT="0" distB="0" distL="0" distR="0" wp14:anchorId="7CD89815" wp14:editId="032C3071">
            <wp:extent cx="5943600" cy="326690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266908"/>
                    </a:xfrm>
                    <a:prstGeom prst="rect">
                      <a:avLst/>
                    </a:prstGeom>
                    <a:noFill/>
                  </pic:spPr>
                </pic:pic>
              </a:graphicData>
            </a:graphic>
          </wp:inline>
        </w:drawing>
      </w:r>
    </w:p>
    <w:p w14:paraId="46076E41" w14:textId="6590F9C6" w:rsidR="00E447F7" w:rsidRDefault="00E447F7" w:rsidP="00E71165">
      <w:pPr>
        <w:keepNext/>
      </w:pPr>
      <w:r>
        <w:rPr>
          <w:noProof/>
        </w:rPr>
        <w:drawing>
          <wp:inline distT="0" distB="0" distL="0" distR="0" wp14:anchorId="07D087A1" wp14:editId="5ED342CD">
            <wp:extent cx="5943600" cy="326045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260456"/>
                    </a:xfrm>
                    <a:prstGeom prst="rect">
                      <a:avLst/>
                    </a:prstGeom>
                    <a:noFill/>
                  </pic:spPr>
                </pic:pic>
              </a:graphicData>
            </a:graphic>
          </wp:inline>
        </w:drawing>
      </w:r>
    </w:p>
    <w:p w14:paraId="4ABA5A46" w14:textId="24F5BBFF" w:rsidR="00E71165" w:rsidRPr="007959F4" w:rsidRDefault="00E71165" w:rsidP="00E71165">
      <w:pPr>
        <w:pStyle w:val="Caption"/>
        <w:rPr>
          <w:i w:val="0"/>
        </w:rPr>
      </w:pPr>
      <w:bookmarkStart w:id="0" w:name="_Ref77857881"/>
      <w:r>
        <w:t xml:space="preserve">Figure </w:t>
      </w:r>
      <w:r w:rsidR="00D05998">
        <w:t>S</w:t>
      </w:r>
      <w:fldSimple w:instr=" SEQ Figure \* ARABIC ">
        <w:r w:rsidR="0091313B">
          <w:rPr>
            <w:noProof/>
          </w:rPr>
          <w:t>1</w:t>
        </w:r>
      </w:fldSimple>
      <w:bookmarkEnd w:id="0"/>
      <w:r>
        <w:t xml:space="preserve"> </w:t>
      </w:r>
      <w:r w:rsidRPr="00775DCD">
        <w:rPr>
          <w:i w:val="0"/>
        </w:rPr>
        <w:t>Evaluation of various plated volume</w:t>
      </w:r>
      <w:r w:rsidR="00430A29">
        <w:rPr>
          <w:i w:val="0"/>
        </w:rPr>
        <w:t>s (1 mL, 1.5 mL, and 2 mL)</w:t>
      </w:r>
      <w:r w:rsidRPr="00775DCD">
        <w:rPr>
          <w:i w:val="0"/>
        </w:rPr>
        <w:t xml:space="preserve"> of </w:t>
      </w:r>
      <w:r w:rsidRPr="00430A29">
        <w:t>B. atrophaeus</w:t>
      </w:r>
      <w:r w:rsidRPr="00775DCD">
        <w:rPr>
          <w:i w:val="0"/>
        </w:rPr>
        <w:t xml:space="preserve"> on TSA and RAC.</w:t>
      </w:r>
      <w:r w:rsidR="005F34D7">
        <w:rPr>
          <w:i w:val="0"/>
        </w:rPr>
        <w:t xml:space="preserve"> </w:t>
      </w:r>
      <w:r w:rsidR="002C31F8">
        <w:rPr>
          <w:i w:val="0"/>
        </w:rPr>
        <w:t xml:space="preserve">a) </w:t>
      </w:r>
      <w:r w:rsidR="00430A29">
        <w:rPr>
          <w:i w:val="0"/>
        </w:rPr>
        <w:t xml:space="preserve">10 CFU, b) 25 CFU, c) 100 CFU, and d) 300 CFU of </w:t>
      </w:r>
      <w:r w:rsidR="00430A29">
        <w:t>B. atrophaeus</w:t>
      </w:r>
      <w:r w:rsidR="00430A29">
        <w:rPr>
          <w:i w:val="0"/>
        </w:rPr>
        <w:t xml:space="preserve"> organisms were evaluated.</w:t>
      </w:r>
      <w:r w:rsidR="00822C09" w:rsidRPr="005F34D7">
        <w:rPr>
          <w:i w:val="0"/>
        </w:rPr>
        <w:t xml:space="preserve"> </w:t>
      </w:r>
      <w:r w:rsidR="00822C09">
        <w:rPr>
          <w:i w:val="0"/>
        </w:rPr>
        <w:t>The error bars shown are ±SEM.</w:t>
      </w:r>
      <w:r w:rsidR="00864D3D">
        <w:rPr>
          <w:i w:val="0"/>
        </w:rPr>
        <w:t xml:space="preserve"> </w:t>
      </w:r>
    </w:p>
    <w:p w14:paraId="6BA20E13" w14:textId="111BCA7D" w:rsidR="003427DB" w:rsidRDefault="00DE2081" w:rsidP="003427DB">
      <w:r>
        <w:tab/>
      </w:r>
      <w:r w:rsidR="003C0D6A" w:rsidRPr="006B7246">
        <w:t>Besides the</w:t>
      </w:r>
      <w:r w:rsidR="00011EF0" w:rsidRPr="006B7246">
        <w:t xml:space="preserve"> plated volume variation in counted colonies seen in Figure S1, an increase in plated volume above 1 mL </w:t>
      </w:r>
      <w:r w:rsidR="006544A1" w:rsidRPr="00F11B72">
        <w:t xml:space="preserve">(1.5 mL was tested) </w:t>
      </w:r>
      <w:r w:rsidR="00011EF0" w:rsidRPr="00F11B72">
        <w:t xml:space="preserve">caused sample </w:t>
      </w:r>
      <w:r w:rsidR="00011EF0" w:rsidRPr="006B7246">
        <w:t>to leak off of the RAC target plate</w:t>
      </w:r>
      <w:r w:rsidR="00C44D7D" w:rsidRPr="006B7246">
        <w:t xml:space="preserve"> within the NASA Standard Assay protocols</w:t>
      </w:r>
      <w:r w:rsidR="00011EF0" w:rsidRPr="006B7246">
        <w:t xml:space="preserve">. </w:t>
      </w:r>
      <w:r w:rsidR="00F1037F" w:rsidRPr="006B7246">
        <w:t>This phenomenon is illustrated in Figure S2</w:t>
      </w:r>
      <w:r w:rsidR="002D0060" w:rsidRPr="006B7246">
        <w:t>, which shows</w:t>
      </w:r>
      <w:r w:rsidR="00F1037F" w:rsidRPr="006B7246">
        <w:t xml:space="preserve"> </w:t>
      </w:r>
      <w:r w:rsidR="002D0060" w:rsidRPr="006B7246">
        <w:t xml:space="preserve">1.5 mL and 2.0 mL of sample </w:t>
      </w:r>
      <w:r w:rsidR="002E658F" w:rsidRPr="006B7246">
        <w:rPr>
          <w:i/>
        </w:rPr>
        <w:t xml:space="preserve">B. </w:t>
      </w:r>
      <w:r w:rsidR="002E658F" w:rsidRPr="007959F4">
        <w:rPr>
          <w:i/>
        </w:rPr>
        <w:t>atrophaeus</w:t>
      </w:r>
      <w:r w:rsidR="002E658F" w:rsidRPr="006B7246">
        <w:t xml:space="preserve"> </w:t>
      </w:r>
      <w:r w:rsidR="002D0060" w:rsidRPr="006B7246">
        <w:t xml:space="preserve">organisms plated on RAC </w:t>
      </w:r>
      <w:r w:rsidR="00984FB2" w:rsidRPr="006B7246">
        <w:t>with</w:t>
      </w:r>
      <w:r w:rsidR="002D0060" w:rsidRPr="006B7246">
        <w:t xml:space="preserve"> increas</w:t>
      </w:r>
      <w:r w:rsidR="00984FB2" w:rsidRPr="006B7246">
        <w:t>ing amounts of sample</w:t>
      </w:r>
      <w:r w:rsidR="002D0060" w:rsidRPr="006B7246">
        <w:t xml:space="preserve"> seeping off of the target media.</w:t>
      </w:r>
      <w:r w:rsidR="00FA01DB" w:rsidRPr="00F11B72">
        <w:t xml:space="preserve"> In addition, as close to complete</w:t>
      </w:r>
      <w:r w:rsidR="00FA01DB" w:rsidRPr="006B7246">
        <w:t xml:space="preserve"> hydration of the RAC plate as possible is important to </w:t>
      </w:r>
      <w:r w:rsidR="00FA01DB" w:rsidRPr="006B7246">
        <w:lastRenderedPageBreak/>
        <w:t>maximize the plate growth area; this is more important as the number of plated organisms increases to close to 250 CFUs as a plated volume under 1 mL can cause under-hydration of the plate.</w:t>
      </w:r>
      <w:r w:rsidR="008C3A86" w:rsidRPr="006B7246">
        <w:t xml:space="preserve"> </w:t>
      </w:r>
      <w:r w:rsidR="005216A3" w:rsidRPr="006B7246">
        <w:t>Therefore, in hydrating RAC plates</w:t>
      </w:r>
      <w:r w:rsidR="00173DCF" w:rsidRPr="006B7246">
        <w:t xml:space="preserve"> with either sample or with DI water post-membrane filtration adhering to a plated volume of 1 mL </w:t>
      </w:r>
      <w:r w:rsidR="00173DCF" w:rsidRPr="006B7246">
        <w:rPr>
          <w:rFonts w:cstheme="minorHAnsi"/>
        </w:rPr>
        <w:t>±</w:t>
      </w:r>
      <w:r w:rsidR="00173DCF" w:rsidRPr="006B7246">
        <w:t>0.25 mL is recommended.</w:t>
      </w:r>
      <w:r w:rsidR="00581360" w:rsidRPr="006B7246">
        <w:t xml:space="preserve"> Practice with Petrifilm plates for Planetary Protection personnel is also recommended prior to working with flight </w:t>
      </w:r>
      <w:proofErr w:type="spellStart"/>
      <w:proofErr w:type="gramStart"/>
      <w:r w:rsidR="00581360" w:rsidRPr="006B7246">
        <w:t>samples.</w:t>
      </w:r>
      <w:r w:rsidR="00BC6BF3">
        <w:t>It</w:t>
      </w:r>
      <w:proofErr w:type="spellEnd"/>
      <w:proofErr w:type="gramEnd"/>
      <w:r w:rsidR="00BC6BF3">
        <w:t xml:space="preserve"> is to be noted that the intended volume to be used with the Petrifilm plate is 1ml and our data substantiates this requirement.</w:t>
      </w:r>
    </w:p>
    <w:p w14:paraId="2A584E83" w14:textId="6D22600E" w:rsidR="005B1E31" w:rsidRPr="006B7246" w:rsidRDefault="005B1E31" w:rsidP="007959F4">
      <w:pPr>
        <w:keepNext/>
      </w:pPr>
      <w:r w:rsidRPr="006B7246">
        <w:rPr>
          <w:noProof/>
        </w:rPr>
        <w:drawing>
          <wp:inline distT="0" distB="0" distL="0" distR="0" wp14:anchorId="6B51C1EF" wp14:editId="222D2B10">
            <wp:extent cx="5943600" cy="23817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381785"/>
                    </a:xfrm>
                    <a:prstGeom prst="rect">
                      <a:avLst/>
                    </a:prstGeom>
                    <a:noFill/>
                  </pic:spPr>
                </pic:pic>
              </a:graphicData>
            </a:graphic>
          </wp:inline>
        </w:drawing>
      </w:r>
    </w:p>
    <w:p w14:paraId="5DD3F185" w14:textId="1462225B" w:rsidR="005B1E31" w:rsidRDefault="005B1E31" w:rsidP="005B1E31">
      <w:pPr>
        <w:pStyle w:val="Caption"/>
        <w:rPr>
          <w:i w:val="0"/>
        </w:rPr>
      </w:pPr>
      <w:r w:rsidRPr="006B7246">
        <w:t xml:space="preserve">Figure </w:t>
      </w:r>
      <w:r w:rsidR="00623AFF" w:rsidRPr="006B7246">
        <w:t>S</w:t>
      </w:r>
      <w:fldSimple w:instr=" SEQ Figure \* ARABIC ">
        <w:r w:rsidR="0091313B">
          <w:rPr>
            <w:noProof/>
          </w:rPr>
          <w:t>2</w:t>
        </w:r>
      </w:fldSimple>
      <w:r w:rsidR="00623AFF" w:rsidRPr="006B7246">
        <w:rPr>
          <w:i w:val="0"/>
        </w:rPr>
        <w:t xml:space="preserve"> </w:t>
      </w:r>
      <w:r w:rsidR="00435BFD" w:rsidRPr="006B7246">
        <w:rPr>
          <w:i w:val="0"/>
        </w:rPr>
        <w:t>Example images</w:t>
      </w:r>
      <w:r w:rsidR="00623AFF" w:rsidRPr="006B7246">
        <w:rPr>
          <w:i w:val="0"/>
        </w:rPr>
        <w:t xml:space="preserve"> of RAC plates </w:t>
      </w:r>
      <w:r w:rsidR="001D1A57" w:rsidRPr="006B7246">
        <w:rPr>
          <w:i w:val="0"/>
        </w:rPr>
        <w:t xml:space="preserve">from Figure S1. The images were taken with the Petrifilm Plate Reader, and the red boxes are the </w:t>
      </w:r>
      <w:r w:rsidR="001D1A57" w:rsidRPr="00F11B72">
        <w:rPr>
          <w:i w:val="0"/>
        </w:rPr>
        <w:t xml:space="preserve">reader’s estimate of the colony locations in the images. </w:t>
      </w:r>
      <w:r w:rsidR="00DC2892" w:rsidRPr="00F11B72">
        <w:rPr>
          <w:i w:val="0"/>
        </w:rPr>
        <w:t>As the plated volume increased the sample leaking out of the culture area</w:t>
      </w:r>
      <w:r w:rsidR="00DC2892" w:rsidRPr="006B7246">
        <w:rPr>
          <w:i w:val="0"/>
        </w:rPr>
        <w:t xml:space="preserve"> also increased and the colonies began to increase in size, which brings the potential for spreaders as well.</w:t>
      </w:r>
    </w:p>
    <w:p w14:paraId="0BFF0D38" w14:textId="77777777" w:rsidR="001032EB" w:rsidRDefault="001032EB" w:rsidP="001032EB">
      <w:pPr>
        <w:pStyle w:val="IJABSubheadingStyle"/>
      </w:pPr>
      <w:r>
        <w:t xml:space="preserve">Detailed Microorganism Archival Information for Future Research Reference </w:t>
      </w:r>
    </w:p>
    <w:p w14:paraId="52AACB93" w14:textId="77777777" w:rsidR="001032EB" w:rsidRDefault="001032EB" w:rsidP="001032EB">
      <w:pPr>
        <w:ind w:firstLine="360"/>
      </w:pPr>
    </w:p>
    <w:p w14:paraId="7D50A303" w14:textId="33348221" w:rsidR="001032EB" w:rsidRDefault="001032EB" w:rsidP="001032EB">
      <w:pPr>
        <w:ind w:firstLine="360"/>
      </w:pPr>
      <w:r>
        <w:t>Microorganisms acquired from spacecraft and cleanrooms are regularly archived and stored for future research or flight sample reference needs. The organisms used in this manuscript are no different. Therefore, the precise location code and information within the Planetary Protection Microbial Archive are included in Supplementary Table S</w:t>
      </w:r>
      <w:r w:rsidR="004D48F6">
        <w:t>1</w:t>
      </w:r>
      <w:r>
        <w:t xml:space="preserve"> below.</w:t>
      </w:r>
      <w:r w:rsidR="000F5D98">
        <w:t xml:space="preserve"> Note that </w:t>
      </w:r>
      <w:r w:rsidR="00957A15" w:rsidRPr="00957A15">
        <w:t xml:space="preserve">while the </w:t>
      </w:r>
      <w:r w:rsidR="00957A15" w:rsidRPr="00B84E43">
        <w:rPr>
          <w:i/>
        </w:rPr>
        <w:t>P. lactis</w:t>
      </w:r>
      <w:r w:rsidR="00957A15" w:rsidRPr="00957A15">
        <w:t xml:space="preserve">, </w:t>
      </w:r>
      <w:r w:rsidR="00957A15" w:rsidRPr="00B84E43">
        <w:rPr>
          <w:i/>
        </w:rPr>
        <w:t>B. subtilis</w:t>
      </w:r>
      <w:r w:rsidR="00957A15" w:rsidRPr="00957A15">
        <w:t xml:space="preserve">, and Mars 2020 </w:t>
      </w:r>
      <w:r w:rsidR="00957A15" w:rsidRPr="00B84E43">
        <w:rPr>
          <w:i/>
        </w:rPr>
        <w:t>Bacillus</w:t>
      </w:r>
      <w:r w:rsidR="00957A15" w:rsidRPr="00957A15">
        <w:t xml:space="preserve"> isolate are stored permanently in the Planetary Protection Archive the 4th organism, the B. </w:t>
      </w:r>
      <w:proofErr w:type="spellStart"/>
      <w:r w:rsidR="00957A15" w:rsidRPr="00957A15">
        <w:t>atrophaeus</w:t>
      </w:r>
      <w:proofErr w:type="spellEnd"/>
      <w:r w:rsidR="00957A15" w:rsidRPr="00957A15">
        <w:t xml:space="preserve"> spores, were purchased from Mesa Labs and not permanently stored in the Planetary Protection Archive; however, some additional information on the </w:t>
      </w:r>
      <w:r w:rsidR="00957A15" w:rsidRPr="00B84E43">
        <w:rPr>
          <w:i/>
        </w:rPr>
        <w:t xml:space="preserve">B. </w:t>
      </w:r>
      <w:proofErr w:type="spellStart"/>
      <w:r w:rsidR="00957A15" w:rsidRPr="00B84E43">
        <w:rPr>
          <w:i/>
        </w:rPr>
        <w:t>atrophaeus</w:t>
      </w:r>
      <w:proofErr w:type="spellEnd"/>
      <w:r w:rsidR="00957A15" w:rsidRPr="00957A15">
        <w:t xml:space="preserve"> spores is still included for reference.</w:t>
      </w:r>
    </w:p>
    <w:p w14:paraId="3F5344A0" w14:textId="478BF0E3" w:rsidR="00891CFC" w:rsidRPr="00B84E43" w:rsidRDefault="00891CFC" w:rsidP="00B84E43">
      <w:pPr>
        <w:pStyle w:val="Caption"/>
        <w:keepNext/>
        <w:rPr>
          <w:i w:val="0"/>
        </w:rPr>
      </w:pPr>
      <w:r>
        <w:t>Table S</w:t>
      </w:r>
      <w:fldSimple w:instr=" SEQ Table \* ARABIC ">
        <w:r>
          <w:rPr>
            <w:noProof/>
          </w:rPr>
          <w:t>1</w:t>
        </w:r>
      </w:fldSimple>
      <w:r>
        <w:t xml:space="preserve"> </w:t>
      </w:r>
      <w:r w:rsidR="00FB6A26">
        <w:rPr>
          <w:i w:val="0"/>
        </w:rPr>
        <w:t xml:space="preserve">The </w:t>
      </w:r>
      <w:r w:rsidR="00F730C8">
        <w:rPr>
          <w:i w:val="0"/>
        </w:rPr>
        <w:t xml:space="preserve">location of the samples used in this study within the Planetary Protection Archive. </w:t>
      </w:r>
      <w:r w:rsidR="00396086">
        <w:rPr>
          <w:i w:val="0"/>
        </w:rPr>
        <w:t>This location is provided for reference for future follow-up studies.</w:t>
      </w:r>
    </w:p>
    <w:p w14:paraId="3A3C0544" w14:textId="2AC60A64" w:rsidR="000159E5" w:rsidRDefault="005F4528" w:rsidP="00134996">
      <w:r w:rsidRPr="005F4528">
        <w:rPr>
          <w:noProof/>
        </w:rPr>
        <w:drawing>
          <wp:inline distT="0" distB="0" distL="0" distR="0" wp14:anchorId="6660C88F" wp14:editId="38572E53">
            <wp:extent cx="5943600" cy="4413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1316"/>
                    </a:xfrm>
                    <a:prstGeom prst="rect">
                      <a:avLst/>
                    </a:prstGeom>
                    <a:noFill/>
                    <a:ln>
                      <a:noFill/>
                    </a:ln>
                  </pic:spPr>
                </pic:pic>
              </a:graphicData>
            </a:graphic>
          </wp:inline>
        </w:drawing>
      </w:r>
    </w:p>
    <w:p w14:paraId="0E3317DD" w14:textId="59272A5D" w:rsidR="0031063C" w:rsidRDefault="0031063C" w:rsidP="00134996"/>
    <w:p w14:paraId="4E910AA6" w14:textId="4C11B668" w:rsidR="0031063C" w:rsidRDefault="0031063C" w:rsidP="00B84E43"/>
    <w:p w14:paraId="5E8F9D34" w14:textId="77777777" w:rsidR="00B84E43" w:rsidRDefault="00B84E43" w:rsidP="00B84E43"/>
    <w:p w14:paraId="2121F812" w14:textId="0CB537DC" w:rsidR="006D59A8" w:rsidRDefault="00582F17" w:rsidP="003F69B0">
      <w:pPr>
        <w:pStyle w:val="IJABSubheadingStyle"/>
      </w:pPr>
      <w:r>
        <w:lastRenderedPageBreak/>
        <w:t xml:space="preserve">Environmental Microorganism Detection and </w:t>
      </w:r>
      <w:r w:rsidR="00F05A0E">
        <w:t>Evaluation</w:t>
      </w:r>
      <w:r w:rsidR="00D73858">
        <w:t xml:space="preserve"> </w:t>
      </w:r>
    </w:p>
    <w:p w14:paraId="7DC1180E" w14:textId="7F6A940A" w:rsidR="000A4D1D" w:rsidRDefault="00F05A0E" w:rsidP="001A7984">
      <w:pPr>
        <w:ind w:firstLine="360"/>
      </w:pPr>
      <w:r>
        <w:t xml:space="preserve">The environmental microorganism sampling </w:t>
      </w:r>
      <w:r w:rsidR="00955B64">
        <w:t>done to demonstrate the incorporation of RAC plates directly into</w:t>
      </w:r>
      <w:r w:rsidR="009D1CAF">
        <w:t xml:space="preserve"> the</w:t>
      </w:r>
      <w:r w:rsidR="00955B64">
        <w:t xml:space="preserve"> Planetary Protection NASA Standard Assay</w:t>
      </w:r>
      <w:r w:rsidR="00BE268C">
        <w:t xml:space="preserve"> was followed-up with post-processing steps including harvesting microorganisms from the plates to identify the organisms present</w:t>
      </w:r>
      <w:r w:rsidR="001D151D">
        <w:t xml:space="preserve"> via MALDI-TOF MS analysis</w:t>
      </w:r>
      <w:r w:rsidR="00BE268C">
        <w:t xml:space="preserve">. </w:t>
      </w:r>
      <w:r w:rsidR="00EE0DC6">
        <w:t xml:space="preserve">Microorganisms have been identified </w:t>
      </w:r>
      <w:r w:rsidR="00416C3B">
        <w:t xml:space="preserve">and archived </w:t>
      </w:r>
      <w:r w:rsidR="00EE0DC6">
        <w:t>since the Viking Mars Landers</w:t>
      </w:r>
      <w:r w:rsidR="00416C3B">
        <w:t xml:space="preserve"> launched in the mid-1970s</w:t>
      </w:r>
      <w:r w:rsidR="0089197E">
        <w:t xml:space="preserve"> with the Planetary Protection Group at the Jet Propulsion Laboratory in Pasadena, CA</w:t>
      </w:r>
      <w:r w:rsidR="00515DBC">
        <w:t xml:space="preserve">. </w:t>
      </w:r>
      <w:r w:rsidR="00EE0DC6">
        <w:t xml:space="preserve"> </w:t>
      </w:r>
      <w:r w:rsidR="00D36E7C">
        <w:t>The MAL</w:t>
      </w:r>
      <w:r w:rsidR="004F03BF">
        <w:t>D</w:t>
      </w:r>
      <w:r w:rsidR="00D36E7C">
        <w:t xml:space="preserve">I-TOF analysis employed the </w:t>
      </w:r>
      <w:r w:rsidR="00FD3831">
        <w:t xml:space="preserve">stock Bruker MALDI-TOF database as well as an addition of </w:t>
      </w:r>
      <w:r w:rsidR="0089197E">
        <w:t xml:space="preserve">hundreds of isolates found on spacecraft </w:t>
      </w:r>
      <w:r w:rsidR="00483B82">
        <w:t>through the Planetary Protection archive.</w:t>
      </w:r>
      <w:r w:rsidR="004F03BF">
        <w:t xml:space="preserve">  The Planetary Protection MALDI-TOF database was established entirely through TSA plates using the NASA Standard Assay, complete with 80</w:t>
      </w:r>
      <w:r w:rsidR="004F03BF">
        <w:rPr>
          <w:rFonts w:cstheme="minorHAnsi"/>
        </w:rPr>
        <w:t>°</w:t>
      </w:r>
      <w:r w:rsidR="004F03BF">
        <w:t>C heat shock for 15 minutes</w:t>
      </w:r>
      <w:r w:rsidR="00577728">
        <w:t xml:space="preserve"> </w:t>
      </w:r>
      <w:r w:rsidR="006F0768">
        <w:fldChar w:fldCharType="begin" w:fldLock="1"/>
      </w:r>
      <w:r w:rsidR="00824A5E">
        <w:instrText>ADDIN CSL_CITATION {"citationItems":[{"id":"ITEM-1","itemData":{"DOI":"10.3389/fmicb.2018.00780","ISSN":"1664302X","abstract":"Since the 1970s, the Planetary Protection Group at the Jet Propulsion Laboratory (JPL) has maintained an archive of spacecraft-associated bacterial isolates. Identification of these isolates was routinely performed by sequencing the 16S rRNA gene. Although this technique is an industry standard, it is time consuming and has poor resolving power for some closely related taxa. Matrix-assisted laser desorption/ionization time of flight (MALDI-TOF) mass spectrometry is widely used in clinical diagnostics and is a promising method to substitute standard 16S rRNA sequencing. However, manufacturer-provided databases lack the bacterial diversity found in spacecraft-assembly cleanrooms. This study reports the development of the first custom database of MALDI-TOF MS profiles of bacterial isolates obtained from spacecraft and associated cleanroom environments. With the use of this in-house database, 454 bacterial isolates were successfully identified in concurrence with their 16S rRNA sequence-based classifications. Additionally, MALDI-TOF MS resolved strain-level variations, identified potential novel species and distinguished between members of taxonomic groups, which is not possible using conventional 16S rRNA sequencing. MALDI-TOF MS has proved to be an accurate, high-throughput approach for real-time identification of bacterial isolates during the spacecraft assembly process.","author":[{"dropping-particle":"","family":"Seuylemezian","given":"Arman","non-dropping-particle":"","parse-names":false,"suffix":""},{"dropping-particle":"","family":"Aronson","given":"Heidi S.","non-dropping-particle":"","parse-names":false,"suffix":""},{"dropping-particle":"","family":"Tan","given":"James","non-dropping-particle":"","parse-names":false,"suffix":""},{"dropping-particle":"","family":"Lin","given":"Mandy","non-dropping-particle":"","parse-names":false,"suffix":""},{"dropping-particle":"","family":"Schubert","given":"Wayne","non-dropping-particle":"","parse-names":false,"suffix":""},{"dropping-particle":"","family":"Vaishampayan","given":"Parag","non-dropping-particle":"","parse-names":false,"suffix":""}],"container-title":"Frontiers in Microbiology","id":"ITEM-1","issue":"MAY","issued":{"date-parts":[["2018"]]},"page":"1-8","title":"Development of a custom MALDI-TOF MS database for species-level identification of bacterial isolates collected from spacecraft and associated surfaces","type":"article-journal","volume":"9"},"uris":["http://www.mendeley.com/documents/?uuid=334a4095-6481-4f58-839c-cb2be205bcf2"]}],"mendeley":{"formattedCitation":"(Seuylemezian &lt;i&gt;et al.&lt;/i&gt;, 2018)","plainTextFormattedCitation":"(Seuylemezian et al., 2018)","previouslyFormattedCitation":"(Seuylemezian &lt;i&gt;et al.&lt;/i&gt;, 2018)"},"properties":{"noteIndex":0},"schema":"https://github.com/citation-style-language/schema/raw/master/csl-citation.json"}</w:instrText>
      </w:r>
      <w:r w:rsidR="006F0768">
        <w:fldChar w:fldCharType="separate"/>
      </w:r>
      <w:r w:rsidR="006F0768" w:rsidRPr="006F0768">
        <w:rPr>
          <w:noProof/>
        </w:rPr>
        <w:t xml:space="preserve">(Seuylemezian </w:t>
      </w:r>
      <w:r w:rsidR="006F0768" w:rsidRPr="006F0768">
        <w:rPr>
          <w:i/>
          <w:noProof/>
        </w:rPr>
        <w:t>et al.</w:t>
      </w:r>
      <w:r w:rsidR="006F0768" w:rsidRPr="006F0768">
        <w:rPr>
          <w:noProof/>
        </w:rPr>
        <w:t>, 2018)</w:t>
      </w:r>
      <w:r w:rsidR="006F0768">
        <w:fldChar w:fldCharType="end"/>
      </w:r>
      <w:r w:rsidR="00B165A2">
        <w:t>.</w:t>
      </w:r>
      <w:r w:rsidR="00B56795">
        <w:t xml:space="preserve">  For this reason</w:t>
      </w:r>
      <w:r w:rsidR="00804107">
        <w:t>,</w:t>
      </w:r>
      <w:r w:rsidR="00B56795">
        <w:t xml:space="preserve"> RAC plate isolates were </w:t>
      </w:r>
      <w:r w:rsidR="00804107">
        <w:t xml:space="preserve">measured for their ability to grow isolates </w:t>
      </w:r>
      <w:r w:rsidR="00A36E03">
        <w:t xml:space="preserve">with </w:t>
      </w:r>
      <w:r w:rsidR="00804107">
        <w:t xml:space="preserve">matching </w:t>
      </w:r>
      <w:r w:rsidR="0022103B">
        <w:t>spectra</w:t>
      </w:r>
      <w:r w:rsidR="00B56795">
        <w:t xml:space="preserve"> to the MALDI-TOF Planetary Protection database</w:t>
      </w:r>
      <w:r w:rsidR="00804107">
        <w:t>.</w:t>
      </w:r>
      <w:r w:rsidR="00CC39E1">
        <w:t xml:space="preserve"> The results, shown in Figure S3, illustrate the ability of RAC plates to archive organisms via MALDI-TOF.  More information is needed to confirm that other post-growth tasks such as ATP and LAL are possible using RAC plates, but given the sensitivity of MALDI-TOF spectra other analyses are highly likely.</w:t>
      </w:r>
    </w:p>
    <w:p w14:paraId="0B890ED4" w14:textId="3C879AF1" w:rsidR="00935E5D" w:rsidRPr="00BD4E80" w:rsidRDefault="00935E5D" w:rsidP="00935E5D">
      <w:pPr>
        <w:pStyle w:val="Caption"/>
        <w:keepNext/>
        <w:rPr>
          <w:i w:val="0"/>
        </w:rPr>
      </w:pPr>
      <w:bookmarkStart w:id="1" w:name="_Ref94520017"/>
      <w:r>
        <w:t xml:space="preserve">Table </w:t>
      </w:r>
      <w:r w:rsidR="00DE206A">
        <w:t>S</w:t>
      </w:r>
      <w:fldSimple w:instr=" SEQ Table \* ARABIC ">
        <w:r w:rsidR="00891CFC">
          <w:rPr>
            <w:noProof/>
          </w:rPr>
          <w:t>2</w:t>
        </w:r>
      </w:fldSimple>
      <w:bookmarkEnd w:id="1"/>
      <w:r>
        <w:rPr>
          <w:i w:val="0"/>
        </w:rPr>
        <w:t xml:space="preserve"> The growth on RAC and TSA plates from environmental samples</w:t>
      </w:r>
      <w:r w:rsidR="000E38A5">
        <w:rPr>
          <w:i w:val="0"/>
        </w:rPr>
        <w:t xml:space="preserve"> after 24 hours of incubation</w:t>
      </w:r>
      <w:r>
        <w:rPr>
          <w:i w:val="0"/>
        </w:rPr>
        <w:t xml:space="preserve">. </w:t>
      </w:r>
    </w:p>
    <w:tbl>
      <w:tblPr>
        <w:tblW w:w="6122" w:type="dxa"/>
        <w:tblLayout w:type="fixed"/>
        <w:tblLook w:val="04A0" w:firstRow="1" w:lastRow="0" w:firstColumn="1" w:lastColumn="0" w:noHBand="0" w:noVBand="1"/>
      </w:tblPr>
      <w:tblGrid>
        <w:gridCol w:w="1772"/>
        <w:gridCol w:w="1450"/>
        <w:gridCol w:w="1611"/>
        <w:gridCol w:w="1289"/>
      </w:tblGrid>
      <w:tr w:rsidR="00935E5D" w:rsidRPr="00A757A0" w14:paraId="51113D8B" w14:textId="77777777" w:rsidTr="000D7DE3">
        <w:trPr>
          <w:trHeight w:val="321"/>
        </w:trPr>
        <w:tc>
          <w:tcPr>
            <w:tcW w:w="1772" w:type="dxa"/>
            <w:tcBorders>
              <w:top w:val="single" w:sz="12" w:space="0" w:color="auto"/>
              <w:bottom w:val="single" w:sz="4" w:space="0" w:color="auto"/>
            </w:tcBorders>
            <w:shd w:val="clear" w:color="auto" w:fill="auto"/>
            <w:vAlign w:val="center"/>
          </w:tcPr>
          <w:p w14:paraId="240A844E" w14:textId="77777777" w:rsidR="00935E5D" w:rsidRPr="00A757A0" w:rsidRDefault="00935E5D" w:rsidP="000D7DE3">
            <w:pPr>
              <w:jc w:val="center"/>
            </w:pPr>
            <w:r w:rsidRPr="00A757A0">
              <w:t>Sample Number</w:t>
            </w:r>
          </w:p>
        </w:tc>
        <w:tc>
          <w:tcPr>
            <w:tcW w:w="1450" w:type="dxa"/>
            <w:tcBorders>
              <w:top w:val="single" w:sz="12" w:space="0" w:color="auto"/>
              <w:bottom w:val="single" w:sz="4" w:space="0" w:color="auto"/>
            </w:tcBorders>
            <w:shd w:val="clear" w:color="auto" w:fill="auto"/>
            <w:vAlign w:val="center"/>
          </w:tcPr>
          <w:p w14:paraId="42825B09" w14:textId="77777777" w:rsidR="00935E5D" w:rsidRPr="00A757A0" w:rsidRDefault="00935E5D" w:rsidP="000D7DE3">
            <w:pPr>
              <w:jc w:val="center"/>
            </w:pPr>
            <w:r w:rsidRPr="004871A6">
              <w:rPr>
                <w:bCs/>
              </w:rPr>
              <w:t>Heat Shocked</w:t>
            </w:r>
          </w:p>
        </w:tc>
        <w:tc>
          <w:tcPr>
            <w:tcW w:w="1611" w:type="dxa"/>
            <w:tcBorders>
              <w:top w:val="single" w:sz="12" w:space="0" w:color="auto"/>
              <w:bottom w:val="single" w:sz="4" w:space="0" w:color="auto"/>
            </w:tcBorders>
            <w:shd w:val="clear" w:color="auto" w:fill="auto"/>
            <w:vAlign w:val="center"/>
          </w:tcPr>
          <w:p w14:paraId="1DEB32AD" w14:textId="77777777" w:rsidR="00935E5D" w:rsidRDefault="00935E5D" w:rsidP="000D7DE3">
            <w:pPr>
              <w:jc w:val="center"/>
            </w:pPr>
            <w:r w:rsidRPr="00A757A0">
              <w:t>RAC</w:t>
            </w:r>
            <w:r>
              <w:t xml:space="preserve"> </w:t>
            </w:r>
            <w:r w:rsidRPr="00A757A0">
              <w:t>Plate</w:t>
            </w:r>
          </w:p>
          <w:p w14:paraId="6303D87C" w14:textId="77777777" w:rsidR="00935E5D" w:rsidRPr="00A757A0" w:rsidRDefault="00935E5D" w:rsidP="000D7DE3">
            <w:pPr>
              <w:jc w:val="center"/>
            </w:pPr>
            <w:r w:rsidRPr="00A757A0">
              <w:t>+ / -</w:t>
            </w:r>
          </w:p>
        </w:tc>
        <w:tc>
          <w:tcPr>
            <w:tcW w:w="1288" w:type="dxa"/>
            <w:tcBorders>
              <w:top w:val="single" w:sz="12" w:space="0" w:color="auto"/>
              <w:bottom w:val="single" w:sz="4" w:space="0" w:color="auto"/>
            </w:tcBorders>
            <w:shd w:val="clear" w:color="auto" w:fill="auto"/>
            <w:vAlign w:val="center"/>
          </w:tcPr>
          <w:p w14:paraId="2594EB62" w14:textId="77777777" w:rsidR="00935E5D" w:rsidRDefault="00935E5D" w:rsidP="000D7DE3">
            <w:pPr>
              <w:jc w:val="center"/>
            </w:pPr>
            <w:r>
              <w:t xml:space="preserve">TSA </w:t>
            </w:r>
            <w:r w:rsidRPr="00A757A0">
              <w:t>Plate</w:t>
            </w:r>
          </w:p>
          <w:p w14:paraId="5D16DC60" w14:textId="77777777" w:rsidR="00935E5D" w:rsidRPr="00A757A0" w:rsidRDefault="00935E5D" w:rsidP="000D7DE3">
            <w:pPr>
              <w:jc w:val="center"/>
            </w:pPr>
            <w:r w:rsidRPr="00A757A0">
              <w:t>+ / -</w:t>
            </w:r>
          </w:p>
        </w:tc>
      </w:tr>
      <w:tr w:rsidR="00935E5D" w:rsidRPr="00A757A0" w14:paraId="4693B26A" w14:textId="77777777" w:rsidTr="000D7DE3">
        <w:trPr>
          <w:trHeight w:val="353"/>
        </w:trPr>
        <w:tc>
          <w:tcPr>
            <w:tcW w:w="1772" w:type="dxa"/>
            <w:tcBorders>
              <w:top w:val="single" w:sz="4" w:space="0" w:color="auto"/>
            </w:tcBorders>
            <w:shd w:val="clear" w:color="auto" w:fill="auto"/>
            <w:vAlign w:val="center"/>
          </w:tcPr>
          <w:p w14:paraId="1D72E234" w14:textId="77777777" w:rsidR="00935E5D" w:rsidRPr="00A757A0" w:rsidRDefault="00935E5D" w:rsidP="000D7DE3">
            <w:pPr>
              <w:jc w:val="center"/>
            </w:pPr>
            <w:r w:rsidRPr="00A757A0">
              <w:t>1</w:t>
            </w:r>
          </w:p>
        </w:tc>
        <w:tc>
          <w:tcPr>
            <w:tcW w:w="1450" w:type="dxa"/>
            <w:tcBorders>
              <w:top w:val="single" w:sz="4" w:space="0" w:color="auto"/>
            </w:tcBorders>
            <w:shd w:val="clear" w:color="auto" w:fill="auto"/>
            <w:vAlign w:val="center"/>
          </w:tcPr>
          <w:p w14:paraId="5B5C9D29" w14:textId="77777777" w:rsidR="00935E5D" w:rsidRPr="00A757A0" w:rsidRDefault="00935E5D" w:rsidP="000D7DE3">
            <w:pPr>
              <w:jc w:val="center"/>
            </w:pPr>
            <w:r w:rsidRPr="00A757A0">
              <w:t>Yes</w:t>
            </w:r>
          </w:p>
        </w:tc>
        <w:tc>
          <w:tcPr>
            <w:tcW w:w="1611" w:type="dxa"/>
            <w:tcBorders>
              <w:top w:val="single" w:sz="4" w:space="0" w:color="auto"/>
            </w:tcBorders>
            <w:shd w:val="clear" w:color="auto" w:fill="auto"/>
            <w:vAlign w:val="center"/>
          </w:tcPr>
          <w:p w14:paraId="0B06178C" w14:textId="77777777" w:rsidR="00935E5D" w:rsidRPr="00A757A0" w:rsidRDefault="00935E5D" w:rsidP="000D7DE3">
            <w:pPr>
              <w:jc w:val="center"/>
            </w:pPr>
            <w:r w:rsidRPr="00A757A0">
              <w:t>-</w:t>
            </w:r>
          </w:p>
        </w:tc>
        <w:tc>
          <w:tcPr>
            <w:tcW w:w="1288" w:type="dxa"/>
            <w:tcBorders>
              <w:top w:val="single" w:sz="4" w:space="0" w:color="auto"/>
            </w:tcBorders>
            <w:shd w:val="clear" w:color="auto" w:fill="auto"/>
            <w:vAlign w:val="center"/>
          </w:tcPr>
          <w:p w14:paraId="03C20DAF" w14:textId="77777777" w:rsidR="00935E5D" w:rsidRPr="00A757A0" w:rsidRDefault="00935E5D" w:rsidP="000D7DE3">
            <w:pPr>
              <w:jc w:val="center"/>
            </w:pPr>
            <w:r w:rsidRPr="00A757A0">
              <w:t>-</w:t>
            </w:r>
          </w:p>
        </w:tc>
      </w:tr>
      <w:tr w:rsidR="00935E5D" w:rsidRPr="00A757A0" w14:paraId="75C03A78" w14:textId="77777777" w:rsidTr="000D7DE3">
        <w:trPr>
          <w:trHeight w:val="353"/>
        </w:trPr>
        <w:tc>
          <w:tcPr>
            <w:tcW w:w="1772" w:type="dxa"/>
            <w:shd w:val="clear" w:color="auto" w:fill="auto"/>
            <w:vAlign w:val="center"/>
          </w:tcPr>
          <w:p w14:paraId="2B305D0F" w14:textId="77777777" w:rsidR="00935E5D" w:rsidRPr="00A757A0" w:rsidRDefault="00935E5D" w:rsidP="000D7DE3">
            <w:pPr>
              <w:jc w:val="center"/>
            </w:pPr>
            <w:r w:rsidRPr="00A757A0">
              <w:t>2</w:t>
            </w:r>
          </w:p>
        </w:tc>
        <w:tc>
          <w:tcPr>
            <w:tcW w:w="1450" w:type="dxa"/>
            <w:shd w:val="clear" w:color="auto" w:fill="auto"/>
            <w:vAlign w:val="center"/>
          </w:tcPr>
          <w:p w14:paraId="796EC609" w14:textId="77777777" w:rsidR="00935E5D" w:rsidRPr="00A757A0" w:rsidRDefault="00935E5D" w:rsidP="000D7DE3">
            <w:pPr>
              <w:jc w:val="center"/>
            </w:pPr>
            <w:r w:rsidRPr="00A757A0">
              <w:t>Yes</w:t>
            </w:r>
          </w:p>
        </w:tc>
        <w:tc>
          <w:tcPr>
            <w:tcW w:w="1611" w:type="dxa"/>
            <w:shd w:val="clear" w:color="auto" w:fill="auto"/>
            <w:vAlign w:val="center"/>
          </w:tcPr>
          <w:p w14:paraId="29B05350" w14:textId="77777777" w:rsidR="00935E5D" w:rsidRPr="00A757A0" w:rsidRDefault="00935E5D" w:rsidP="000D7DE3">
            <w:pPr>
              <w:jc w:val="center"/>
            </w:pPr>
            <w:r w:rsidRPr="00A757A0">
              <w:t>-</w:t>
            </w:r>
          </w:p>
        </w:tc>
        <w:tc>
          <w:tcPr>
            <w:tcW w:w="1288" w:type="dxa"/>
            <w:shd w:val="clear" w:color="auto" w:fill="auto"/>
            <w:vAlign w:val="center"/>
          </w:tcPr>
          <w:p w14:paraId="6C78EA45" w14:textId="77777777" w:rsidR="00935E5D" w:rsidRPr="00A757A0" w:rsidRDefault="00935E5D" w:rsidP="000D7DE3">
            <w:pPr>
              <w:jc w:val="center"/>
            </w:pPr>
            <w:r w:rsidRPr="00A757A0">
              <w:t>-</w:t>
            </w:r>
          </w:p>
        </w:tc>
      </w:tr>
      <w:tr w:rsidR="00935E5D" w:rsidRPr="00A757A0" w14:paraId="1B022B9E" w14:textId="77777777" w:rsidTr="000D7DE3">
        <w:trPr>
          <w:trHeight w:val="353"/>
        </w:trPr>
        <w:tc>
          <w:tcPr>
            <w:tcW w:w="1772" w:type="dxa"/>
            <w:shd w:val="clear" w:color="auto" w:fill="auto"/>
            <w:vAlign w:val="center"/>
          </w:tcPr>
          <w:p w14:paraId="6A9012E4" w14:textId="77777777" w:rsidR="00935E5D" w:rsidRPr="00A757A0" w:rsidRDefault="00935E5D" w:rsidP="000D7DE3">
            <w:pPr>
              <w:jc w:val="center"/>
            </w:pPr>
            <w:r w:rsidRPr="00A757A0">
              <w:t>3</w:t>
            </w:r>
          </w:p>
        </w:tc>
        <w:tc>
          <w:tcPr>
            <w:tcW w:w="1450" w:type="dxa"/>
            <w:shd w:val="clear" w:color="auto" w:fill="auto"/>
            <w:vAlign w:val="center"/>
          </w:tcPr>
          <w:p w14:paraId="34319410" w14:textId="77777777" w:rsidR="00935E5D" w:rsidRPr="00A757A0" w:rsidRDefault="00935E5D" w:rsidP="000D7DE3">
            <w:pPr>
              <w:jc w:val="center"/>
            </w:pPr>
            <w:r w:rsidRPr="00A757A0">
              <w:t>Yes</w:t>
            </w:r>
          </w:p>
        </w:tc>
        <w:tc>
          <w:tcPr>
            <w:tcW w:w="1611" w:type="dxa"/>
            <w:shd w:val="clear" w:color="auto" w:fill="auto"/>
            <w:vAlign w:val="center"/>
          </w:tcPr>
          <w:p w14:paraId="6D09FE7B" w14:textId="77777777" w:rsidR="00935E5D" w:rsidRPr="00A757A0" w:rsidRDefault="00935E5D" w:rsidP="000D7DE3">
            <w:pPr>
              <w:jc w:val="center"/>
            </w:pPr>
            <w:r w:rsidRPr="00A757A0">
              <w:t>-</w:t>
            </w:r>
          </w:p>
        </w:tc>
        <w:tc>
          <w:tcPr>
            <w:tcW w:w="1288" w:type="dxa"/>
            <w:shd w:val="clear" w:color="auto" w:fill="auto"/>
            <w:vAlign w:val="center"/>
          </w:tcPr>
          <w:p w14:paraId="33749844" w14:textId="77777777" w:rsidR="00935E5D" w:rsidRPr="00A757A0" w:rsidRDefault="00935E5D" w:rsidP="000D7DE3">
            <w:pPr>
              <w:jc w:val="center"/>
            </w:pPr>
            <w:r w:rsidRPr="00A757A0">
              <w:t>-</w:t>
            </w:r>
          </w:p>
        </w:tc>
      </w:tr>
      <w:tr w:rsidR="00935E5D" w:rsidRPr="00A757A0" w14:paraId="028FAA52" w14:textId="77777777" w:rsidTr="000D7DE3">
        <w:trPr>
          <w:trHeight w:val="353"/>
        </w:trPr>
        <w:tc>
          <w:tcPr>
            <w:tcW w:w="1772" w:type="dxa"/>
            <w:shd w:val="clear" w:color="auto" w:fill="auto"/>
            <w:vAlign w:val="center"/>
          </w:tcPr>
          <w:p w14:paraId="3D5007BE" w14:textId="77777777" w:rsidR="00935E5D" w:rsidRPr="00A757A0" w:rsidRDefault="00935E5D" w:rsidP="000D7DE3">
            <w:pPr>
              <w:jc w:val="center"/>
            </w:pPr>
            <w:r w:rsidRPr="00A757A0">
              <w:t>4</w:t>
            </w:r>
          </w:p>
        </w:tc>
        <w:tc>
          <w:tcPr>
            <w:tcW w:w="1450" w:type="dxa"/>
            <w:shd w:val="clear" w:color="auto" w:fill="auto"/>
            <w:vAlign w:val="center"/>
          </w:tcPr>
          <w:p w14:paraId="4245D878" w14:textId="77777777" w:rsidR="00935E5D" w:rsidRPr="00A757A0" w:rsidRDefault="00935E5D" w:rsidP="000D7DE3">
            <w:pPr>
              <w:jc w:val="center"/>
            </w:pPr>
            <w:r w:rsidRPr="00A757A0">
              <w:t>Yes</w:t>
            </w:r>
          </w:p>
        </w:tc>
        <w:tc>
          <w:tcPr>
            <w:tcW w:w="1611" w:type="dxa"/>
            <w:shd w:val="clear" w:color="auto" w:fill="auto"/>
            <w:vAlign w:val="center"/>
          </w:tcPr>
          <w:p w14:paraId="0C8E4246" w14:textId="77777777" w:rsidR="00935E5D" w:rsidRPr="00B557D4" w:rsidRDefault="00935E5D" w:rsidP="000D7DE3">
            <w:pPr>
              <w:jc w:val="center"/>
            </w:pPr>
            <w:r w:rsidRPr="00B557D4">
              <w:t>+</w:t>
            </w:r>
          </w:p>
        </w:tc>
        <w:tc>
          <w:tcPr>
            <w:tcW w:w="1288" w:type="dxa"/>
            <w:shd w:val="clear" w:color="auto" w:fill="auto"/>
            <w:vAlign w:val="center"/>
          </w:tcPr>
          <w:p w14:paraId="48912044" w14:textId="77777777" w:rsidR="00935E5D" w:rsidRPr="00B557D4" w:rsidRDefault="00935E5D" w:rsidP="000D7DE3">
            <w:pPr>
              <w:jc w:val="center"/>
            </w:pPr>
            <w:r w:rsidRPr="00B557D4">
              <w:t>+</w:t>
            </w:r>
          </w:p>
        </w:tc>
      </w:tr>
      <w:tr w:rsidR="00935E5D" w:rsidRPr="00A757A0" w14:paraId="58531F67" w14:textId="77777777" w:rsidTr="000D7DE3">
        <w:trPr>
          <w:trHeight w:val="353"/>
        </w:trPr>
        <w:tc>
          <w:tcPr>
            <w:tcW w:w="1772" w:type="dxa"/>
            <w:shd w:val="clear" w:color="auto" w:fill="auto"/>
            <w:vAlign w:val="center"/>
          </w:tcPr>
          <w:p w14:paraId="5C85C88E" w14:textId="77777777" w:rsidR="00935E5D" w:rsidRPr="00A757A0" w:rsidRDefault="00935E5D" w:rsidP="000D7DE3">
            <w:pPr>
              <w:jc w:val="center"/>
            </w:pPr>
            <w:r w:rsidRPr="00A757A0">
              <w:t>5</w:t>
            </w:r>
          </w:p>
        </w:tc>
        <w:tc>
          <w:tcPr>
            <w:tcW w:w="1450" w:type="dxa"/>
            <w:shd w:val="clear" w:color="auto" w:fill="auto"/>
            <w:vAlign w:val="center"/>
          </w:tcPr>
          <w:p w14:paraId="136BD558" w14:textId="77777777" w:rsidR="00935E5D" w:rsidRPr="00A757A0" w:rsidRDefault="00935E5D" w:rsidP="000D7DE3">
            <w:pPr>
              <w:jc w:val="center"/>
            </w:pPr>
            <w:r w:rsidRPr="00A757A0">
              <w:t>Yes</w:t>
            </w:r>
          </w:p>
        </w:tc>
        <w:tc>
          <w:tcPr>
            <w:tcW w:w="1611" w:type="dxa"/>
            <w:shd w:val="clear" w:color="auto" w:fill="auto"/>
            <w:vAlign w:val="center"/>
          </w:tcPr>
          <w:p w14:paraId="2AE44EB6" w14:textId="77777777" w:rsidR="00935E5D" w:rsidRPr="00B557D4" w:rsidRDefault="00935E5D" w:rsidP="000D7DE3">
            <w:pPr>
              <w:jc w:val="center"/>
            </w:pPr>
            <w:r w:rsidRPr="00B557D4">
              <w:t>+</w:t>
            </w:r>
          </w:p>
        </w:tc>
        <w:tc>
          <w:tcPr>
            <w:tcW w:w="1288" w:type="dxa"/>
            <w:shd w:val="clear" w:color="auto" w:fill="auto"/>
            <w:vAlign w:val="center"/>
          </w:tcPr>
          <w:p w14:paraId="13AC695F" w14:textId="77777777" w:rsidR="00935E5D" w:rsidRPr="00B557D4" w:rsidRDefault="00935E5D" w:rsidP="000D7DE3">
            <w:pPr>
              <w:jc w:val="center"/>
            </w:pPr>
            <w:r w:rsidRPr="00B557D4">
              <w:t>+</w:t>
            </w:r>
          </w:p>
        </w:tc>
      </w:tr>
      <w:tr w:rsidR="00935E5D" w:rsidRPr="00A757A0" w14:paraId="762F632A" w14:textId="77777777" w:rsidTr="000D7DE3">
        <w:trPr>
          <w:trHeight w:val="353"/>
        </w:trPr>
        <w:tc>
          <w:tcPr>
            <w:tcW w:w="1772" w:type="dxa"/>
            <w:shd w:val="clear" w:color="auto" w:fill="auto"/>
            <w:vAlign w:val="center"/>
          </w:tcPr>
          <w:p w14:paraId="07E88D9C" w14:textId="77777777" w:rsidR="00935E5D" w:rsidRPr="00A757A0" w:rsidRDefault="00935E5D" w:rsidP="000D7DE3">
            <w:pPr>
              <w:jc w:val="center"/>
            </w:pPr>
            <w:r w:rsidRPr="00A757A0">
              <w:t>1</w:t>
            </w:r>
          </w:p>
        </w:tc>
        <w:tc>
          <w:tcPr>
            <w:tcW w:w="1450" w:type="dxa"/>
            <w:shd w:val="clear" w:color="auto" w:fill="auto"/>
            <w:vAlign w:val="center"/>
          </w:tcPr>
          <w:p w14:paraId="7F8D4F51" w14:textId="77777777" w:rsidR="00935E5D" w:rsidRPr="00A757A0" w:rsidRDefault="00935E5D" w:rsidP="000D7DE3">
            <w:pPr>
              <w:jc w:val="center"/>
            </w:pPr>
            <w:r w:rsidRPr="00A757A0">
              <w:t>No</w:t>
            </w:r>
          </w:p>
        </w:tc>
        <w:tc>
          <w:tcPr>
            <w:tcW w:w="1611" w:type="dxa"/>
            <w:shd w:val="clear" w:color="auto" w:fill="auto"/>
            <w:vAlign w:val="center"/>
          </w:tcPr>
          <w:p w14:paraId="6B28D8B9" w14:textId="77777777" w:rsidR="00935E5D" w:rsidRPr="00B557D4" w:rsidRDefault="00935E5D" w:rsidP="000D7DE3">
            <w:pPr>
              <w:jc w:val="center"/>
            </w:pPr>
            <w:r w:rsidRPr="00B557D4">
              <w:t>-</w:t>
            </w:r>
          </w:p>
        </w:tc>
        <w:tc>
          <w:tcPr>
            <w:tcW w:w="1288" w:type="dxa"/>
            <w:shd w:val="clear" w:color="auto" w:fill="auto"/>
            <w:vAlign w:val="center"/>
          </w:tcPr>
          <w:p w14:paraId="190F2C9E" w14:textId="77777777" w:rsidR="00935E5D" w:rsidRPr="00B557D4" w:rsidRDefault="00935E5D" w:rsidP="000D7DE3">
            <w:pPr>
              <w:jc w:val="center"/>
            </w:pPr>
            <w:r w:rsidRPr="00B557D4">
              <w:t>-</w:t>
            </w:r>
          </w:p>
        </w:tc>
      </w:tr>
      <w:tr w:rsidR="00935E5D" w:rsidRPr="00A757A0" w14:paraId="57D5C4AB" w14:textId="77777777" w:rsidTr="000D7DE3">
        <w:trPr>
          <w:trHeight w:val="353"/>
        </w:trPr>
        <w:tc>
          <w:tcPr>
            <w:tcW w:w="1772" w:type="dxa"/>
            <w:shd w:val="clear" w:color="auto" w:fill="auto"/>
            <w:vAlign w:val="center"/>
          </w:tcPr>
          <w:p w14:paraId="12FC4430" w14:textId="77777777" w:rsidR="00935E5D" w:rsidRPr="00A757A0" w:rsidRDefault="00935E5D" w:rsidP="000D7DE3">
            <w:pPr>
              <w:jc w:val="center"/>
            </w:pPr>
            <w:r w:rsidRPr="00A757A0">
              <w:t>2</w:t>
            </w:r>
          </w:p>
        </w:tc>
        <w:tc>
          <w:tcPr>
            <w:tcW w:w="1450" w:type="dxa"/>
            <w:shd w:val="clear" w:color="auto" w:fill="auto"/>
            <w:vAlign w:val="center"/>
          </w:tcPr>
          <w:p w14:paraId="72D097B6" w14:textId="77777777" w:rsidR="00935E5D" w:rsidRPr="00A757A0" w:rsidRDefault="00935E5D" w:rsidP="000D7DE3">
            <w:pPr>
              <w:jc w:val="center"/>
            </w:pPr>
            <w:r w:rsidRPr="00A757A0">
              <w:t>No</w:t>
            </w:r>
          </w:p>
        </w:tc>
        <w:tc>
          <w:tcPr>
            <w:tcW w:w="1611" w:type="dxa"/>
            <w:shd w:val="clear" w:color="auto" w:fill="auto"/>
            <w:vAlign w:val="center"/>
          </w:tcPr>
          <w:p w14:paraId="47591CC0" w14:textId="77777777" w:rsidR="00935E5D" w:rsidRPr="00B557D4" w:rsidRDefault="00935E5D" w:rsidP="000D7DE3">
            <w:pPr>
              <w:jc w:val="center"/>
            </w:pPr>
            <w:r w:rsidRPr="00B557D4">
              <w:t>-</w:t>
            </w:r>
          </w:p>
        </w:tc>
        <w:tc>
          <w:tcPr>
            <w:tcW w:w="1288" w:type="dxa"/>
            <w:shd w:val="clear" w:color="auto" w:fill="auto"/>
            <w:vAlign w:val="center"/>
          </w:tcPr>
          <w:p w14:paraId="40B0C080" w14:textId="77777777" w:rsidR="00935E5D" w:rsidRPr="00B557D4" w:rsidRDefault="00935E5D" w:rsidP="000D7DE3">
            <w:pPr>
              <w:jc w:val="center"/>
            </w:pPr>
            <w:r w:rsidRPr="00B557D4">
              <w:t>-</w:t>
            </w:r>
          </w:p>
        </w:tc>
      </w:tr>
      <w:tr w:rsidR="00935E5D" w:rsidRPr="00A757A0" w14:paraId="13F58323" w14:textId="77777777" w:rsidTr="000D7DE3">
        <w:trPr>
          <w:trHeight w:val="353"/>
        </w:trPr>
        <w:tc>
          <w:tcPr>
            <w:tcW w:w="1772" w:type="dxa"/>
            <w:shd w:val="clear" w:color="auto" w:fill="auto"/>
            <w:vAlign w:val="center"/>
          </w:tcPr>
          <w:p w14:paraId="3EE6A99D" w14:textId="77777777" w:rsidR="00935E5D" w:rsidRPr="00A757A0" w:rsidRDefault="00935E5D" w:rsidP="000D7DE3">
            <w:pPr>
              <w:jc w:val="center"/>
            </w:pPr>
            <w:r w:rsidRPr="00A757A0">
              <w:t>3</w:t>
            </w:r>
          </w:p>
        </w:tc>
        <w:tc>
          <w:tcPr>
            <w:tcW w:w="1450" w:type="dxa"/>
            <w:shd w:val="clear" w:color="auto" w:fill="auto"/>
            <w:vAlign w:val="center"/>
          </w:tcPr>
          <w:p w14:paraId="3205CF8B" w14:textId="77777777" w:rsidR="00935E5D" w:rsidRPr="00A757A0" w:rsidRDefault="00935E5D" w:rsidP="000D7DE3">
            <w:pPr>
              <w:jc w:val="center"/>
            </w:pPr>
            <w:r w:rsidRPr="00A757A0">
              <w:t>No</w:t>
            </w:r>
          </w:p>
        </w:tc>
        <w:tc>
          <w:tcPr>
            <w:tcW w:w="1611" w:type="dxa"/>
            <w:shd w:val="clear" w:color="auto" w:fill="auto"/>
            <w:vAlign w:val="center"/>
          </w:tcPr>
          <w:p w14:paraId="23F7C35E" w14:textId="77777777" w:rsidR="00935E5D" w:rsidRPr="00B557D4" w:rsidRDefault="00935E5D" w:rsidP="000D7DE3">
            <w:pPr>
              <w:jc w:val="center"/>
            </w:pPr>
            <w:r w:rsidRPr="00B557D4">
              <w:t>+</w:t>
            </w:r>
          </w:p>
        </w:tc>
        <w:tc>
          <w:tcPr>
            <w:tcW w:w="1288" w:type="dxa"/>
            <w:shd w:val="clear" w:color="auto" w:fill="auto"/>
            <w:vAlign w:val="center"/>
          </w:tcPr>
          <w:p w14:paraId="730EA5A4" w14:textId="77777777" w:rsidR="00935E5D" w:rsidRPr="00B557D4" w:rsidRDefault="00935E5D" w:rsidP="000D7DE3">
            <w:pPr>
              <w:jc w:val="center"/>
            </w:pPr>
            <w:r w:rsidRPr="00B557D4">
              <w:t>+</w:t>
            </w:r>
          </w:p>
        </w:tc>
      </w:tr>
      <w:tr w:rsidR="00935E5D" w:rsidRPr="00A757A0" w14:paraId="7AF1D996" w14:textId="77777777" w:rsidTr="000D7DE3">
        <w:trPr>
          <w:trHeight w:val="353"/>
        </w:trPr>
        <w:tc>
          <w:tcPr>
            <w:tcW w:w="1772" w:type="dxa"/>
            <w:shd w:val="clear" w:color="auto" w:fill="auto"/>
            <w:vAlign w:val="center"/>
          </w:tcPr>
          <w:p w14:paraId="4CB4813F" w14:textId="77777777" w:rsidR="00935E5D" w:rsidRPr="00A757A0" w:rsidRDefault="00935E5D" w:rsidP="000D7DE3">
            <w:pPr>
              <w:jc w:val="center"/>
            </w:pPr>
            <w:r w:rsidRPr="00A757A0">
              <w:t>4</w:t>
            </w:r>
          </w:p>
        </w:tc>
        <w:tc>
          <w:tcPr>
            <w:tcW w:w="1450" w:type="dxa"/>
            <w:shd w:val="clear" w:color="auto" w:fill="auto"/>
            <w:vAlign w:val="center"/>
          </w:tcPr>
          <w:p w14:paraId="43CF3C2E" w14:textId="77777777" w:rsidR="00935E5D" w:rsidRPr="00A757A0" w:rsidRDefault="00935E5D" w:rsidP="000D7DE3">
            <w:pPr>
              <w:jc w:val="center"/>
            </w:pPr>
            <w:r w:rsidRPr="00A757A0">
              <w:t>No</w:t>
            </w:r>
          </w:p>
        </w:tc>
        <w:tc>
          <w:tcPr>
            <w:tcW w:w="1611" w:type="dxa"/>
            <w:shd w:val="clear" w:color="auto" w:fill="auto"/>
            <w:vAlign w:val="center"/>
          </w:tcPr>
          <w:p w14:paraId="004498F1" w14:textId="77777777" w:rsidR="00935E5D" w:rsidRPr="00B557D4" w:rsidRDefault="00935E5D" w:rsidP="000D7DE3">
            <w:pPr>
              <w:jc w:val="center"/>
            </w:pPr>
            <w:r w:rsidRPr="00B557D4">
              <w:t>+</w:t>
            </w:r>
          </w:p>
        </w:tc>
        <w:tc>
          <w:tcPr>
            <w:tcW w:w="1288" w:type="dxa"/>
            <w:shd w:val="clear" w:color="auto" w:fill="auto"/>
            <w:vAlign w:val="center"/>
          </w:tcPr>
          <w:p w14:paraId="62ABFC10" w14:textId="77777777" w:rsidR="00935E5D" w:rsidRPr="00B557D4" w:rsidRDefault="00935E5D" w:rsidP="000D7DE3">
            <w:pPr>
              <w:jc w:val="center"/>
            </w:pPr>
            <w:r w:rsidRPr="00B557D4">
              <w:t>+</w:t>
            </w:r>
          </w:p>
        </w:tc>
      </w:tr>
      <w:tr w:rsidR="00935E5D" w:rsidRPr="00A757A0" w14:paraId="26344622" w14:textId="77777777" w:rsidTr="000D7DE3">
        <w:trPr>
          <w:trHeight w:val="353"/>
        </w:trPr>
        <w:tc>
          <w:tcPr>
            <w:tcW w:w="1772" w:type="dxa"/>
            <w:shd w:val="clear" w:color="auto" w:fill="auto"/>
            <w:vAlign w:val="center"/>
          </w:tcPr>
          <w:p w14:paraId="2B354DAC" w14:textId="77777777" w:rsidR="00935E5D" w:rsidRPr="00A757A0" w:rsidRDefault="00935E5D" w:rsidP="000D7DE3">
            <w:pPr>
              <w:jc w:val="center"/>
            </w:pPr>
            <w:r w:rsidRPr="00A757A0">
              <w:t>5</w:t>
            </w:r>
          </w:p>
        </w:tc>
        <w:tc>
          <w:tcPr>
            <w:tcW w:w="1450" w:type="dxa"/>
            <w:shd w:val="clear" w:color="auto" w:fill="auto"/>
            <w:vAlign w:val="center"/>
          </w:tcPr>
          <w:p w14:paraId="36F194D4" w14:textId="77777777" w:rsidR="00935E5D" w:rsidRPr="00A757A0" w:rsidRDefault="00935E5D" w:rsidP="000D7DE3">
            <w:pPr>
              <w:jc w:val="center"/>
            </w:pPr>
            <w:r w:rsidRPr="00A757A0">
              <w:t>No</w:t>
            </w:r>
          </w:p>
        </w:tc>
        <w:tc>
          <w:tcPr>
            <w:tcW w:w="1611" w:type="dxa"/>
            <w:shd w:val="clear" w:color="auto" w:fill="auto"/>
            <w:vAlign w:val="center"/>
          </w:tcPr>
          <w:p w14:paraId="6CE75E95" w14:textId="77777777" w:rsidR="00935E5D" w:rsidRPr="00B557D4" w:rsidRDefault="00935E5D" w:rsidP="000D7DE3">
            <w:pPr>
              <w:jc w:val="center"/>
            </w:pPr>
            <w:r w:rsidRPr="00B557D4">
              <w:t>+</w:t>
            </w:r>
          </w:p>
        </w:tc>
        <w:tc>
          <w:tcPr>
            <w:tcW w:w="1288" w:type="dxa"/>
            <w:shd w:val="clear" w:color="auto" w:fill="auto"/>
            <w:vAlign w:val="center"/>
          </w:tcPr>
          <w:p w14:paraId="0324649B" w14:textId="77777777" w:rsidR="00935E5D" w:rsidRPr="00B557D4" w:rsidRDefault="00935E5D" w:rsidP="000D7DE3">
            <w:pPr>
              <w:jc w:val="center"/>
            </w:pPr>
            <w:r w:rsidRPr="00B557D4">
              <w:t>+</w:t>
            </w:r>
          </w:p>
        </w:tc>
      </w:tr>
      <w:tr w:rsidR="00935E5D" w:rsidRPr="00A757A0" w14:paraId="3759CEE9" w14:textId="77777777" w:rsidTr="000D7DE3">
        <w:trPr>
          <w:trHeight w:val="353"/>
        </w:trPr>
        <w:tc>
          <w:tcPr>
            <w:tcW w:w="1772" w:type="dxa"/>
            <w:shd w:val="clear" w:color="auto" w:fill="auto"/>
            <w:vAlign w:val="center"/>
          </w:tcPr>
          <w:p w14:paraId="3E734631" w14:textId="77777777" w:rsidR="00935E5D" w:rsidRPr="00A757A0" w:rsidRDefault="00935E5D" w:rsidP="000D7DE3">
            <w:pPr>
              <w:jc w:val="center"/>
            </w:pPr>
            <w:r w:rsidRPr="00A757A0">
              <w:t>Handling Control</w:t>
            </w:r>
          </w:p>
        </w:tc>
        <w:tc>
          <w:tcPr>
            <w:tcW w:w="1450" w:type="dxa"/>
            <w:shd w:val="clear" w:color="auto" w:fill="auto"/>
            <w:vAlign w:val="center"/>
          </w:tcPr>
          <w:p w14:paraId="6758AD59" w14:textId="77777777" w:rsidR="00935E5D" w:rsidRPr="00A757A0" w:rsidRDefault="00935E5D" w:rsidP="000D7DE3">
            <w:pPr>
              <w:jc w:val="center"/>
            </w:pPr>
            <w:r w:rsidRPr="00A757A0">
              <w:t>Yes</w:t>
            </w:r>
          </w:p>
        </w:tc>
        <w:tc>
          <w:tcPr>
            <w:tcW w:w="1611" w:type="dxa"/>
            <w:shd w:val="clear" w:color="auto" w:fill="auto"/>
            <w:vAlign w:val="center"/>
          </w:tcPr>
          <w:p w14:paraId="4FFF3095" w14:textId="77777777" w:rsidR="00935E5D" w:rsidRPr="00A757A0" w:rsidRDefault="00935E5D" w:rsidP="000D7DE3">
            <w:pPr>
              <w:jc w:val="center"/>
            </w:pPr>
            <w:r w:rsidRPr="00A757A0">
              <w:t>-</w:t>
            </w:r>
          </w:p>
        </w:tc>
        <w:tc>
          <w:tcPr>
            <w:tcW w:w="1288" w:type="dxa"/>
            <w:shd w:val="clear" w:color="auto" w:fill="auto"/>
            <w:vAlign w:val="center"/>
          </w:tcPr>
          <w:p w14:paraId="0BF7AAA2" w14:textId="77777777" w:rsidR="00935E5D" w:rsidRPr="00A757A0" w:rsidRDefault="00935E5D" w:rsidP="000D7DE3">
            <w:pPr>
              <w:jc w:val="center"/>
            </w:pPr>
            <w:r w:rsidRPr="00A757A0">
              <w:t>-</w:t>
            </w:r>
          </w:p>
        </w:tc>
      </w:tr>
      <w:tr w:rsidR="00935E5D" w:rsidRPr="00A757A0" w14:paraId="79E5CF90" w14:textId="77777777" w:rsidTr="000D7DE3">
        <w:trPr>
          <w:trHeight w:val="353"/>
        </w:trPr>
        <w:tc>
          <w:tcPr>
            <w:tcW w:w="1772" w:type="dxa"/>
            <w:shd w:val="clear" w:color="auto" w:fill="auto"/>
            <w:vAlign w:val="center"/>
          </w:tcPr>
          <w:p w14:paraId="0B63941E" w14:textId="77777777" w:rsidR="00935E5D" w:rsidRPr="00A757A0" w:rsidRDefault="00935E5D" w:rsidP="000D7DE3">
            <w:pPr>
              <w:jc w:val="center"/>
            </w:pPr>
            <w:r w:rsidRPr="00A757A0">
              <w:t>Negative Control</w:t>
            </w:r>
          </w:p>
        </w:tc>
        <w:tc>
          <w:tcPr>
            <w:tcW w:w="1450" w:type="dxa"/>
            <w:shd w:val="clear" w:color="auto" w:fill="auto"/>
            <w:vAlign w:val="center"/>
          </w:tcPr>
          <w:p w14:paraId="063603B7" w14:textId="77777777" w:rsidR="00935E5D" w:rsidRPr="00A757A0" w:rsidRDefault="00935E5D" w:rsidP="000D7DE3">
            <w:pPr>
              <w:jc w:val="center"/>
            </w:pPr>
            <w:r w:rsidRPr="00A757A0">
              <w:t>No</w:t>
            </w:r>
          </w:p>
        </w:tc>
        <w:tc>
          <w:tcPr>
            <w:tcW w:w="1611" w:type="dxa"/>
            <w:shd w:val="clear" w:color="auto" w:fill="auto"/>
            <w:vAlign w:val="center"/>
          </w:tcPr>
          <w:p w14:paraId="61393B86" w14:textId="77777777" w:rsidR="00935E5D" w:rsidRPr="00A757A0" w:rsidRDefault="00935E5D" w:rsidP="000D7DE3">
            <w:pPr>
              <w:jc w:val="center"/>
            </w:pPr>
            <w:r w:rsidRPr="00A757A0">
              <w:t>-</w:t>
            </w:r>
          </w:p>
        </w:tc>
        <w:tc>
          <w:tcPr>
            <w:tcW w:w="1288" w:type="dxa"/>
            <w:shd w:val="clear" w:color="auto" w:fill="auto"/>
            <w:vAlign w:val="center"/>
          </w:tcPr>
          <w:p w14:paraId="6BAD7EC9" w14:textId="77777777" w:rsidR="00935E5D" w:rsidRPr="00A757A0" w:rsidRDefault="00935E5D" w:rsidP="000D7DE3">
            <w:pPr>
              <w:jc w:val="center"/>
            </w:pPr>
            <w:r w:rsidRPr="00A757A0">
              <w:t>-</w:t>
            </w:r>
          </w:p>
        </w:tc>
      </w:tr>
      <w:tr w:rsidR="00935E5D" w:rsidRPr="00A757A0" w14:paraId="288964ED" w14:textId="77777777" w:rsidTr="000D7DE3">
        <w:trPr>
          <w:trHeight w:val="353"/>
        </w:trPr>
        <w:tc>
          <w:tcPr>
            <w:tcW w:w="1772" w:type="dxa"/>
            <w:tcBorders>
              <w:bottom w:val="single" w:sz="4" w:space="0" w:color="auto"/>
            </w:tcBorders>
            <w:shd w:val="clear" w:color="auto" w:fill="auto"/>
            <w:vAlign w:val="center"/>
          </w:tcPr>
          <w:p w14:paraId="0058D2E8" w14:textId="77777777" w:rsidR="00935E5D" w:rsidRPr="00A757A0" w:rsidRDefault="00935E5D" w:rsidP="000D7DE3">
            <w:pPr>
              <w:jc w:val="center"/>
            </w:pPr>
            <w:r w:rsidRPr="00A757A0">
              <w:t>Positive Control</w:t>
            </w:r>
          </w:p>
        </w:tc>
        <w:tc>
          <w:tcPr>
            <w:tcW w:w="1450" w:type="dxa"/>
            <w:tcBorders>
              <w:bottom w:val="single" w:sz="4" w:space="0" w:color="auto"/>
            </w:tcBorders>
            <w:shd w:val="clear" w:color="auto" w:fill="auto"/>
            <w:vAlign w:val="center"/>
          </w:tcPr>
          <w:p w14:paraId="6A9FD10A" w14:textId="77777777" w:rsidR="00935E5D" w:rsidRPr="00A757A0" w:rsidRDefault="00935E5D" w:rsidP="000D7DE3">
            <w:pPr>
              <w:jc w:val="center"/>
            </w:pPr>
            <w:r w:rsidRPr="00A757A0">
              <w:t>No</w:t>
            </w:r>
          </w:p>
        </w:tc>
        <w:tc>
          <w:tcPr>
            <w:tcW w:w="1611" w:type="dxa"/>
            <w:tcBorders>
              <w:bottom w:val="single" w:sz="4" w:space="0" w:color="auto"/>
            </w:tcBorders>
            <w:shd w:val="clear" w:color="auto" w:fill="auto"/>
            <w:vAlign w:val="center"/>
          </w:tcPr>
          <w:p w14:paraId="102366C5" w14:textId="77777777" w:rsidR="00935E5D" w:rsidRPr="00A757A0" w:rsidRDefault="00935E5D" w:rsidP="000D7DE3">
            <w:pPr>
              <w:jc w:val="center"/>
            </w:pPr>
            <w:r w:rsidRPr="00A757A0">
              <w:t>Growth</w:t>
            </w:r>
          </w:p>
        </w:tc>
        <w:tc>
          <w:tcPr>
            <w:tcW w:w="1288" w:type="dxa"/>
            <w:tcBorders>
              <w:bottom w:val="single" w:sz="4" w:space="0" w:color="auto"/>
            </w:tcBorders>
            <w:shd w:val="clear" w:color="auto" w:fill="auto"/>
            <w:vAlign w:val="center"/>
          </w:tcPr>
          <w:p w14:paraId="392A5847" w14:textId="77777777" w:rsidR="00935E5D" w:rsidRPr="00A757A0" w:rsidRDefault="00935E5D" w:rsidP="000D7DE3">
            <w:pPr>
              <w:jc w:val="center"/>
            </w:pPr>
            <w:r w:rsidRPr="00A757A0">
              <w:t>Growth</w:t>
            </w:r>
          </w:p>
        </w:tc>
      </w:tr>
      <w:tr w:rsidR="00935E5D" w:rsidRPr="00A757A0" w14:paraId="31CF3A8C" w14:textId="77777777" w:rsidTr="000D7DE3">
        <w:trPr>
          <w:trHeight w:val="478"/>
        </w:trPr>
        <w:tc>
          <w:tcPr>
            <w:tcW w:w="6122" w:type="dxa"/>
            <w:gridSpan w:val="4"/>
            <w:tcBorders>
              <w:top w:val="single" w:sz="4" w:space="0" w:color="auto"/>
              <w:bottom w:val="single" w:sz="12" w:space="0" w:color="auto"/>
            </w:tcBorders>
            <w:shd w:val="clear" w:color="auto" w:fill="auto"/>
            <w:vAlign w:val="center"/>
          </w:tcPr>
          <w:p w14:paraId="39F1965D" w14:textId="77777777" w:rsidR="00935E5D" w:rsidRPr="004871A6" w:rsidRDefault="00935E5D" w:rsidP="000D7DE3">
            <w:pPr>
              <w:rPr>
                <w:sz w:val="20"/>
              </w:rPr>
            </w:pPr>
            <w:r w:rsidRPr="004871A6">
              <w:rPr>
                <w:sz w:val="20"/>
              </w:rPr>
              <w:t>+ Low level bioburden, &lt;1 Colony Forming Units (CFU) / mL</w:t>
            </w:r>
          </w:p>
          <w:p w14:paraId="04224575" w14:textId="77777777" w:rsidR="00935E5D" w:rsidRPr="004871A6" w:rsidRDefault="00935E5D" w:rsidP="000D7DE3">
            <w:pPr>
              <w:rPr>
                <w:sz w:val="20"/>
              </w:rPr>
            </w:pPr>
            <w:r w:rsidRPr="004871A6">
              <w:rPr>
                <w:sz w:val="20"/>
              </w:rPr>
              <w:t xml:space="preserve">- </w:t>
            </w:r>
            <w:r>
              <w:rPr>
                <w:sz w:val="20"/>
              </w:rPr>
              <w:t xml:space="preserve"> </w:t>
            </w:r>
            <w:r w:rsidRPr="004871A6">
              <w:rPr>
                <w:sz w:val="20"/>
              </w:rPr>
              <w:t>No growth</w:t>
            </w:r>
          </w:p>
        </w:tc>
      </w:tr>
    </w:tbl>
    <w:p w14:paraId="419C2A0A" w14:textId="076F0DA5" w:rsidR="002632CB" w:rsidRDefault="002632CB" w:rsidP="00F909BE"/>
    <w:p w14:paraId="06AEBDDB" w14:textId="77777777" w:rsidR="002B5152" w:rsidRPr="006B7246" w:rsidRDefault="002B5152" w:rsidP="002B5152">
      <w:pPr>
        <w:pStyle w:val="IJABSubheadingStyle"/>
      </w:pPr>
      <w:r w:rsidRPr="006B7246">
        <w:lastRenderedPageBreak/>
        <w:t>Table of Membrane Filtration Data</w:t>
      </w:r>
    </w:p>
    <w:p w14:paraId="46D81E6F" w14:textId="77777777" w:rsidR="00F909BE" w:rsidRDefault="002B5152" w:rsidP="002B5152">
      <w:r w:rsidRPr="00F11B72">
        <w:t xml:space="preserve"> </w:t>
      </w:r>
      <w:r w:rsidR="000E185A" w:rsidRPr="006B7246">
        <w:tab/>
      </w:r>
    </w:p>
    <w:p w14:paraId="2D7F11DF" w14:textId="2A7E3586" w:rsidR="002B5152" w:rsidRPr="006B7246" w:rsidRDefault="00C23631" w:rsidP="00F909BE">
      <w:pPr>
        <w:ind w:firstLine="360"/>
      </w:pPr>
      <w:r w:rsidRPr="006B7246">
        <w:t>The membrane filtration data used in Figure 4 is included below for reference.</w:t>
      </w:r>
      <w:r w:rsidR="00A17675" w:rsidRPr="006B7246">
        <w:t xml:space="preserve">  5 replicates were used for each sample.</w:t>
      </w:r>
    </w:p>
    <w:p w14:paraId="648416C3" w14:textId="0D928296" w:rsidR="00154828" w:rsidRPr="007959F4" w:rsidRDefault="00154828" w:rsidP="007959F4">
      <w:pPr>
        <w:pStyle w:val="Caption"/>
        <w:keepNext/>
        <w:rPr>
          <w:i w:val="0"/>
        </w:rPr>
      </w:pPr>
      <w:r w:rsidRPr="006B7246">
        <w:t xml:space="preserve">Table </w:t>
      </w:r>
      <w:r w:rsidR="001A7B90" w:rsidRPr="006B7246">
        <w:t>S</w:t>
      </w:r>
      <w:bookmarkStart w:id="2" w:name="_GoBack"/>
      <w:bookmarkEnd w:id="2"/>
      <w:r w:rsidR="004F017B">
        <w:fldChar w:fldCharType="begin"/>
      </w:r>
      <w:r w:rsidR="004F017B">
        <w:instrText xml:space="preserve"> SEQ Table \* ARABIC </w:instrText>
      </w:r>
      <w:r w:rsidR="004F017B">
        <w:fldChar w:fldCharType="separate"/>
      </w:r>
      <w:r w:rsidR="0059235A">
        <w:rPr>
          <w:noProof/>
        </w:rPr>
        <w:t>3</w:t>
      </w:r>
      <w:r w:rsidR="004F017B">
        <w:rPr>
          <w:noProof/>
        </w:rPr>
        <w:fldChar w:fldCharType="end"/>
      </w:r>
      <w:r w:rsidR="00F926C6" w:rsidRPr="006B7246">
        <w:rPr>
          <w:i w:val="0"/>
        </w:rPr>
        <w:t xml:space="preserve"> </w:t>
      </w:r>
      <w:r w:rsidR="00103C24" w:rsidRPr="006B7246">
        <w:rPr>
          <w:i w:val="0"/>
        </w:rPr>
        <w:t>The membrane filtration data from the Figure 4 experiment is included below</w:t>
      </w:r>
      <w:r w:rsidR="00000167" w:rsidRPr="006B7246">
        <w:rPr>
          <w:i w:val="0"/>
        </w:rPr>
        <w:t xml:space="preserve"> along with the average, standard deviation, and standard error calculated for each group of CFUs.</w:t>
      </w:r>
    </w:p>
    <w:p w14:paraId="3AE92414" w14:textId="6E65207A" w:rsidR="0090481F" w:rsidRDefault="006B7246" w:rsidP="007959F4">
      <w:pPr>
        <w:jc w:val="center"/>
      </w:pPr>
      <w:r w:rsidRPr="0046203F">
        <w:rPr>
          <w:noProof/>
        </w:rPr>
        <w:drawing>
          <wp:inline distT="0" distB="0" distL="0" distR="0" wp14:anchorId="02FD4620" wp14:editId="4977FA37">
            <wp:extent cx="3332480" cy="2719705"/>
            <wp:effectExtent l="0" t="0" r="127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2480" cy="2719705"/>
                    </a:xfrm>
                    <a:prstGeom prst="rect">
                      <a:avLst/>
                    </a:prstGeom>
                    <a:noFill/>
                    <a:ln>
                      <a:noFill/>
                    </a:ln>
                  </pic:spPr>
                </pic:pic>
              </a:graphicData>
            </a:graphic>
          </wp:inline>
        </w:drawing>
      </w:r>
    </w:p>
    <w:p w14:paraId="53EDAADD" w14:textId="478521C0" w:rsidR="004B27E4" w:rsidRPr="00F11B72" w:rsidRDefault="004B27E4" w:rsidP="004B27E4">
      <w:pPr>
        <w:pStyle w:val="IJABSubheadingStyle"/>
        <w:rPr>
          <w:i w:val="0"/>
        </w:rPr>
      </w:pPr>
      <w:r w:rsidRPr="008B242D">
        <w:t xml:space="preserve">Detailed </w:t>
      </w:r>
      <w:r w:rsidRPr="00857157">
        <w:t xml:space="preserve">waste savings estimate based on Mars Science Laboratory Flagship </w:t>
      </w:r>
      <w:r w:rsidRPr="00F11B72">
        <w:t>Flight Mission</w:t>
      </w:r>
    </w:p>
    <w:p w14:paraId="1D23FDBD" w14:textId="77777777" w:rsidR="00D03209" w:rsidRDefault="00D03209" w:rsidP="007959F4">
      <w:pPr>
        <w:ind w:firstLine="360"/>
        <w:rPr>
          <w:color w:val="4472C4" w:themeColor="accent1"/>
        </w:rPr>
      </w:pPr>
    </w:p>
    <w:p w14:paraId="596CA6B4" w14:textId="1AE5E0C9" w:rsidR="004B27E4" w:rsidRPr="00123207" w:rsidRDefault="00EF61F4" w:rsidP="007959F4">
      <w:pPr>
        <w:ind w:firstLine="360"/>
      </w:pPr>
      <w:r w:rsidRPr="00123207">
        <w:t xml:space="preserve">A waste savings calculation from a flagship mission (Mars 2020, which became the Mars Perseverance rover) is included in a footnote in the </w:t>
      </w:r>
      <w:r w:rsidR="00C27E21" w:rsidRPr="00123207">
        <w:t>manuscript I</w:t>
      </w:r>
      <w:r w:rsidRPr="00123207">
        <w:t xml:space="preserve">ntroduction on page 3, </w:t>
      </w:r>
      <w:r w:rsidR="00C27E21" w:rsidRPr="00123207">
        <w:t>here we present</w:t>
      </w:r>
      <w:r w:rsidRPr="00123207">
        <w:t xml:space="preserve"> an additional calculation based on Mars Science Laboratory, MSL (the Mars Curiosity rover) </w:t>
      </w:r>
      <w:r w:rsidRPr="00123207">
        <w:fldChar w:fldCharType="begin" w:fldLock="1"/>
      </w:r>
      <w:r w:rsidR="005253A2" w:rsidRPr="00123207">
        <w:instrText>ADDIN CSL_CITATION {"citationItems":[{"id":"ITEM-1","itemData":{"DOI":"10.1089/ast.2013.0989","ISSN":"15311074","PMID":"24432776","abstract":"The Mars Science Laboratory (MSL), comprising a cruise stage; an aeroshell; an entry, descent, and landing system; and the radioisotope thermoelectric generator-powered Curiosity rover, made history with its unprecedented sky crane landing on Mars on August 6, 2012. The mission's primary science objective has been to explore the area surrounding Gale Crater and assess its habitability for past life. Because microbial contamination could profoundly impact the integrity of the mission and compliance with international treaty was required, planetary protection measures were implemented on MSL hardware to verify that bioburden levels complied with NASA regulations. By applying the proper antimicrobial countermeasures throughout all phases of assembly, the total bacterial endospore burden of MSL at the time of launch was kept to 2.78×105 spores, well within the required specification of less than 5.0×105 spores. The total spore burden of the exposed surfaces of the landed MSL hardware was 5.64×104, well below the allowed limit of 3.0×105 spores. At the time of launch, the MSL spacecraft was burdened with an average of 22 spores/m2, which included both planned landed and planned impacted hardware. Here, we report the results of a campaign to implement and verify planetary protection measures on the MSL flight system. Key Words: Planetary protection-Spore-Bioburden-MSL- Curiosity-Contamination-Mars. Astrobiology 14, 27-32. © 2014 Mary Ann Liebert, Inc.","author":[{"dropping-particle":"","family":"Benardini","given":"James N.","non-dropping-particle":"","parse-names":false,"suffix":""},{"dropping-particle":"","family":"Duc","given":"Myron T.","non-dropping-particle":"La","parse-names":false,"suffix":""},{"dropping-particle":"","family":"Beaudet","given":"Robert A.","non-dropping-particle":"","parse-names":false,"suffix":""},{"dropping-particle":"","family":"Koukol","given":"Robert","non-dropping-particle":"","parse-names":false,"suffix":""}],"container-title":"Astrobiology","id":"ITEM-1","issue":"1","issued":{"date-parts":[["2014"]]},"page":"27-32","title":"Implementing planetary protection measures on the mars science laboratory","type":"article-journal","volume":"14"},"uris":["http://www.mendeley.com/documents/?uuid=5c24c495-7098-4c89-88fc-690941240a65"]}],"mendeley":{"formattedCitation":"(Benardini &lt;i&gt;et al.&lt;/i&gt;, 2014)","plainTextFormattedCitation":"(Benardini et al., 2014)","previouslyFormattedCitation":"(Benardini &lt;i&gt;et al.&lt;/i&gt;, 2014)"},"properties":{"noteIndex":0},"schema":"https://github.com/citation-style-language/schema/raw/master/csl-citation.json"}</w:instrText>
      </w:r>
      <w:r w:rsidRPr="00123207">
        <w:fldChar w:fldCharType="separate"/>
      </w:r>
      <w:r w:rsidRPr="00123207">
        <w:rPr>
          <w:noProof/>
        </w:rPr>
        <w:t xml:space="preserve">(Benardini </w:t>
      </w:r>
      <w:r w:rsidRPr="00123207">
        <w:rPr>
          <w:i/>
          <w:noProof/>
        </w:rPr>
        <w:t>et al.</w:t>
      </w:r>
      <w:r w:rsidRPr="00123207">
        <w:rPr>
          <w:noProof/>
        </w:rPr>
        <w:t>, 2014)</w:t>
      </w:r>
      <w:r w:rsidRPr="00123207">
        <w:fldChar w:fldCharType="end"/>
      </w:r>
      <w:r w:rsidRPr="00123207">
        <w:t xml:space="preserve">. On MSL, more than 500 sampling events used 3541 swabs (4 TSA plates each) and 1312 wipes (25 TSA plates each); this equates to 46,964 TSA plates. 1 gram of TSA on the plates with 20 grams of water and a </w:t>
      </w:r>
      <w:proofErr w:type="gramStart"/>
      <w:r w:rsidRPr="00123207">
        <w:t>15 gram</w:t>
      </w:r>
      <w:proofErr w:type="gramEnd"/>
      <w:r w:rsidRPr="00123207">
        <w:t xml:space="preserve"> petri plate (36 grams total) means that during the entire MSL mission 1,690,704 grams of TSA plates were used</w:t>
      </w:r>
      <w:r w:rsidR="00857157" w:rsidRPr="00123207">
        <w:t xml:space="preserve"> in total</w:t>
      </w:r>
      <w:r w:rsidR="00BB599B" w:rsidRPr="00123207">
        <w:t>. This equates to about 11,752 plates and 421.2 kilograms of material per year during the mission. Using the 3M</w:t>
      </w:r>
      <w:r w:rsidR="00BB599B" w:rsidRPr="00123207">
        <w:rPr>
          <w:vertAlign w:val="superscript"/>
        </w:rPr>
        <w:t>TM</w:t>
      </w:r>
      <w:r w:rsidR="00BB599B" w:rsidRPr="00123207">
        <w:t xml:space="preserve"> sustainability calculator (</w:t>
      </w:r>
      <w:hyperlink r:id="rId15" w:history="1">
        <w:r w:rsidR="00BB599B" w:rsidRPr="00123207">
          <w:rPr>
            <w:rStyle w:val="Hyperlink"/>
            <w:color w:val="auto"/>
          </w:rPr>
          <w:t>https://multimedia.3m.com/mws/media/1359805O/3m-petrifilm-sustainability-calculator-pdf.pdf</w:t>
        </w:r>
      </w:hyperlink>
      <w:r w:rsidR="00BB599B" w:rsidRPr="00123207">
        <w:t xml:space="preserve">), 352.6 kg/year can be saved using </w:t>
      </w:r>
      <w:proofErr w:type="spellStart"/>
      <w:r w:rsidR="00BB599B" w:rsidRPr="00123207">
        <w:t>Petrifilm</w:t>
      </w:r>
      <w:r w:rsidR="00BB599B" w:rsidRPr="00123207">
        <w:rPr>
          <w:vertAlign w:val="superscript"/>
        </w:rPr>
        <w:t>TM</w:t>
      </w:r>
      <w:proofErr w:type="spellEnd"/>
      <w:r w:rsidR="00BB599B" w:rsidRPr="00123207">
        <w:t xml:space="preserve"> Rapid Aerobic Count Plates</w:t>
      </w:r>
      <w:r w:rsidR="00663EF7" w:rsidRPr="00123207">
        <w:t xml:space="preserve"> (68.6 kg total</w:t>
      </w:r>
      <w:r w:rsidR="00D46101">
        <w:t xml:space="preserve"> during the duration of the Mars Science Laboratory rover</w:t>
      </w:r>
      <w:r w:rsidR="00886DC1">
        <w:t xml:space="preserve"> mission</w:t>
      </w:r>
      <w:r w:rsidR="00663EF7" w:rsidRPr="00123207">
        <w:t>).</w:t>
      </w:r>
    </w:p>
    <w:p w14:paraId="5CC71CCC" w14:textId="4B5541F8" w:rsidR="004B27E4" w:rsidRDefault="004B27E4" w:rsidP="004B27E4">
      <w:pPr>
        <w:pStyle w:val="IJABSubheadingStyle"/>
        <w:ind w:left="0"/>
      </w:pPr>
    </w:p>
    <w:p w14:paraId="57D60120" w14:textId="47F61486" w:rsidR="00CE3B65" w:rsidRDefault="00CE3B65" w:rsidP="004B27E4">
      <w:pPr>
        <w:pStyle w:val="IJABSubheadingStyle"/>
        <w:ind w:left="0"/>
      </w:pPr>
    </w:p>
    <w:p w14:paraId="467E21BC" w14:textId="6FE106F4" w:rsidR="00CE3B65" w:rsidRDefault="00CE3B65" w:rsidP="004B27E4">
      <w:pPr>
        <w:pStyle w:val="IJABSubheadingStyle"/>
        <w:ind w:left="0"/>
      </w:pPr>
    </w:p>
    <w:p w14:paraId="26D4C0CB" w14:textId="4AF4F2DA" w:rsidR="00CE3B65" w:rsidRDefault="00CE3B65" w:rsidP="004B27E4">
      <w:pPr>
        <w:pStyle w:val="IJABSubheadingStyle"/>
        <w:ind w:left="0"/>
      </w:pPr>
    </w:p>
    <w:p w14:paraId="32157D7F" w14:textId="7D7C44FA" w:rsidR="00CE3B65" w:rsidRDefault="00CE3B65" w:rsidP="004B27E4">
      <w:pPr>
        <w:pStyle w:val="IJABSubheadingStyle"/>
        <w:ind w:left="0"/>
      </w:pPr>
    </w:p>
    <w:p w14:paraId="2B81A136" w14:textId="5CE2A1BC" w:rsidR="00CE3B65" w:rsidRPr="00F11B72" w:rsidRDefault="00DF244C" w:rsidP="00CE3B65">
      <w:pPr>
        <w:pStyle w:val="IJABSubheadingStyle"/>
        <w:rPr>
          <w:i w:val="0"/>
        </w:rPr>
      </w:pPr>
      <w:r>
        <w:lastRenderedPageBreak/>
        <w:t xml:space="preserve">Thin Film Media Versus TSA Plates: </w:t>
      </w:r>
      <w:r w:rsidR="00CE3B65">
        <w:t xml:space="preserve">Time to Count </w:t>
      </w:r>
      <w:r>
        <w:t>Plate</w:t>
      </w:r>
      <w:r w:rsidR="00CA188D">
        <w:t>s</w:t>
      </w:r>
    </w:p>
    <w:p w14:paraId="6068B200" w14:textId="77777777" w:rsidR="00CE3B65" w:rsidRDefault="00CE3B65" w:rsidP="004B27E4">
      <w:pPr>
        <w:pStyle w:val="IJABSubheadingStyle"/>
        <w:ind w:left="0"/>
      </w:pPr>
    </w:p>
    <w:p w14:paraId="372A012E" w14:textId="77777777" w:rsidR="00013F35" w:rsidRDefault="002E5FBE" w:rsidP="00013F35">
      <w:pPr>
        <w:pStyle w:val="IJABSubheadingStyle"/>
        <w:keepNext/>
        <w:ind w:left="0"/>
      </w:pPr>
      <w:r>
        <w:rPr>
          <w:noProof/>
        </w:rPr>
        <w:drawing>
          <wp:inline distT="0" distB="0" distL="0" distR="0" wp14:anchorId="483DA32B" wp14:editId="68CAB5B8">
            <wp:extent cx="5751542" cy="3287081"/>
            <wp:effectExtent l="0" t="0" r="1905" b="8890"/>
            <wp:docPr id="1" name="Chart 1">
              <a:extLst xmlns:a="http://schemas.openxmlformats.org/drawingml/2006/main">
                <a:ext uri="{FF2B5EF4-FFF2-40B4-BE49-F238E27FC236}">
                  <a16:creationId xmlns:a16="http://schemas.microsoft.com/office/drawing/2014/main" id="{A5900FD1-A681-457F-B343-0B5F2BA74A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0D0B025" w14:textId="642BFA67" w:rsidR="002E5FBE" w:rsidRDefault="00013F35" w:rsidP="00013F35">
      <w:pPr>
        <w:pStyle w:val="Caption"/>
      </w:pPr>
      <w:r>
        <w:t>Figure S</w:t>
      </w:r>
      <w:fldSimple w:instr=" SEQ Figure \* ARABIC ">
        <w:r w:rsidR="0091313B">
          <w:rPr>
            <w:noProof/>
          </w:rPr>
          <w:t>3</w:t>
        </w:r>
      </w:fldSimple>
      <w:r>
        <w:t xml:space="preserve"> A comparison of the time taken to count 10 CFUs and 250 CFUs on thin film media using the automated plate reader and manually counting TSA plates</w:t>
      </w:r>
      <w:r w:rsidR="00A83178">
        <w:t xml:space="preserve">.  The count times were comparable for 10 CFU samples at </w:t>
      </w:r>
      <w:r w:rsidR="00443CA6">
        <w:t>6.75 seconds and 4.60 seconds for automated count plate reader RAC plates and manual count TSA plates, respectively. At 250 CFUs, the count times were vastly different at 6.27 seconds for automated count plate reader RAC plates and at 88.51 seconds for manual count TSA plates, respectively.</w:t>
      </w:r>
    </w:p>
    <w:p w14:paraId="3210A237" w14:textId="77777777" w:rsidR="00360A1F" w:rsidRDefault="00360A1F" w:rsidP="00360A1F">
      <w:pPr>
        <w:pStyle w:val="IJABSubheadingStyle"/>
      </w:pPr>
      <w:r w:rsidRPr="00B44D64">
        <w:t>Detailed comparison between automated Plate Reader and NASA Standard Assay manual counting over time</w:t>
      </w:r>
    </w:p>
    <w:p w14:paraId="432BEFA6" w14:textId="77777777" w:rsidR="00360A1F" w:rsidRPr="00B44D64" w:rsidRDefault="00360A1F" w:rsidP="00360A1F"/>
    <w:p w14:paraId="07957AB7" w14:textId="77777777" w:rsidR="00360A1F" w:rsidRDefault="00360A1F" w:rsidP="00360A1F">
      <w:r w:rsidRPr="000C6857">
        <w:t xml:space="preserve">We manually counted the RAC plates using the NASA Standard Assay alongside the Plate Reader Advanced. The results are illustrated in Figure S4. At 24 hours and for CFUs of 100 or more the manual counts fell behind, or above, the automated Plate Reader counts; however, Plate </w:t>
      </w:r>
      <w:proofErr w:type="gramStart"/>
      <w:r w:rsidRPr="000C6857">
        <w:t>Reader  counts</w:t>
      </w:r>
      <w:proofErr w:type="gramEnd"/>
      <w:r w:rsidRPr="000C6857">
        <w:t xml:space="preserve"> matched NASA Standard Assay counts for all CFUs at 48 hours and at 72 hours. Therefore, the 3M Plate Reader Advanced, with proper operator training, is a possibility for use within the NASA Standard Assay during future flight missions, with at least 48 hours of plate count data to ensure accurate counts.</w:t>
      </w:r>
    </w:p>
    <w:p w14:paraId="0C9175EE" w14:textId="77777777" w:rsidR="00360A1F" w:rsidRDefault="00360A1F" w:rsidP="00360A1F">
      <w:pPr>
        <w:keepNext/>
      </w:pPr>
      <w:r>
        <w:rPr>
          <w:noProof/>
        </w:rPr>
        <w:lastRenderedPageBreak/>
        <w:drawing>
          <wp:inline distT="0" distB="0" distL="0" distR="0" wp14:anchorId="3887D371" wp14:editId="4DC77822">
            <wp:extent cx="5943600" cy="3325018"/>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325018"/>
                    </a:xfrm>
                    <a:prstGeom prst="rect">
                      <a:avLst/>
                    </a:prstGeom>
                    <a:noFill/>
                  </pic:spPr>
                </pic:pic>
              </a:graphicData>
            </a:graphic>
          </wp:inline>
        </w:drawing>
      </w:r>
    </w:p>
    <w:p w14:paraId="5010B233" w14:textId="4365EED2" w:rsidR="00913BFC" w:rsidRPr="000836B1" w:rsidRDefault="00360A1F" w:rsidP="00360A1F">
      <w:pPr>
        <w:pStyle w:val="Caption"/>
        <w:rPr>
          <w:i w:val="0"/>
        </w:rPr>
      </w:pPr>
      <w:r>
        <w:t>Figure S</w:t>
      </w:r>
      <w:r w:rsidR="00C52DD6">
        <w:fldChar w:fldCharType="begin"/>
      </w:r>
      <w:r w:rsidR="00C52DD6">
        <w:instrText xml:space="preserve"> SEQ Figure \* ARABIC </w:instrText>
      </w:r>
      <w:r w:rsidR="00C52DD6">
        <w:fldChar w:fldCharType="separate"/>
      </w:r>
      <w:r>
        <w:rPr>
          <w:noProof/>
        </w:rPr>
        <w:t>4</w:t>
      </w:r>
      <w:r w:rsidR="00C52DD6">
        <w:rPr>
          <w:noProof/>
        </w:rPr>
        <w:fldChar w:fldCharType="end"/>
      </w:r>
      <w:r>
        <w:rPr>
          <w:i w:val="0"/>
        </w:rPr>
        <w:t xml:space="preserve"> </w:t>
      </w:r>
      <w:r w:rsidRPr="00B44D64">
        <w:rPr>
          <w:i w:val="0"/>
        </w:rPr>
        <w:t xml:space="preserve">An illustration of </w:t>
      </w:r>
      <w:r w:rsidRPr="00B44D64">
        <w:t xml:space="preserve">B. </w:t>
      </w:r>
      <w:proofErr w:type="spellStart"/>
      <w:r w:rsidRPr="00B44D64">
        <w:t>atrophaeus</w:t>
      </w:r>
      <w:proofErr w:type="spellEnd"/>
      <w:r w:rsidRPr="00B44D64">
        <w:rPr>
          <w:i w:val="0"/>
        </w:rPr>
        <w:t xml:space="preserve"> plated and grown via the NASA Standard Assay. Then, the RAC plates are either counted manually (manual CFUs) or counted using the Plate Reader Advanced (Plate Reader CFUs). None of the datapoints were statistically significant save for the 200 CFU count at 24 hours. Therefore, the Plate Reader Advanced, with proper operator training, is a possibility for use within the NASA Standard Assay during future flight missions, with at least 48 hours of plate count data to ensure accurate counts (The error bars are standard error. NS, not significant; *, P &lt; 0.05.)</w:t>
      </w:r>
    </w:p>
    <w:p w14:paraId="5A9C7770" w14:textId="77777777" w:rsidR="00530BDB" w:rsidRDefault="00530BDB" w:rsidP="004B27E4">
      <w:pPr>
        <w:pStyle w:val="IJABSubheadingStyle"/>
        <w:ind w:left="0"/>
      </w:pPr>
    </w:p>
    <w:p w14:paraId="4850BF49" w14:textId="5296AFE7" w:rsidR="004B27E4" w:rsidRDefault="00C462B1" w:rsidP="00F11B72">
      <w:pPr>
        <w:pStyle w:val="IJABSubheadingStyle"/>
        <w:ind w:left="0"/>
      </w:pPr>
      <w:r>
        <w:t>References</w:t>
      </w:r>
    </w:p>
    <w:p w14:paraId="79E70ECD" w14:textId="77777777" w:rsidR="00F11B72" w:rsidRPr="007959F4" w:rsidRDefault="00F11B72" w:rsidP="00F11B72">
      <w:pPr>
        <w:pStyle w:val="IJABSubheadingStyle"/>
        <w:ind w:left="0"/>
      </w:pPr>
    </w:p>
    <w:p w14:paraId="14B1BE6F" w14:textId="08F82826" w:rsidR="005253A2" w:rsidRPr="005253A2" w:rsidRDefault="00824A5E" w:rsidP="005253A2">
      <w:pPr>
        <w:widowControl w:val="0"/>
        <w:autoSpaceDE w:val="0"/>
        <w:autoSpaceDN w:val="0"/>
        <w:adjustRightInd w:val="0"/>
        <w:spacing w:line="240" w:lineRule="auto"/>
        <w:rPr>
          <w:rFonts w:ascii="Calibri" w:hAnsi="Calibri" w:cs="Calibri"/>
          <w:noProof/>
          <w:szCs w:val="24"/>
        </w:rPr>
      </w:pPr>
      <w:r>
        <w:fldChar w:fldCharType="begin" w:fldLock="1"/>
      </w:r>
      <w:r>
        <w:instrText xml:space="preserve">ADDIN Mendeley Bibliography CSL_BIBLIOGRAPHY </w:instrText>
      </w:r>
      <w:r>
        <w:fldChar w:fldCharType="separate"/>
      </w:r>
      <w:r w:rsidR="005253A2" w:rsidRPr="005253A2">
        <w:rPr>
          <w:rFonts w:ascii="Calibri" w:hAnsi="Calibri" w:cs="Calibri"/>
          <w:noProof/>
          <w:szCs w:val="24"/>
        </w:rPr>
        <w:t xml:space="preserve">Benardini, J. N. </w:t>
      </w:r>
      <w:r w:rsidR="005253A2" w:rsidRPr="005253A2">
        <w:rPr>
          <w:rFonts w:ascii="Calibri" w:hAnsi="Calibri" w:cs="Calibri"/>
          <w:i/>
          <w:iCs/>
          <w:noProof/>
          <w:szCs w:val="24"/>
        </w:rPr>
        <w:t>et al.</w:t>
      </w:r>
      <w:r w:rsidR="005253A2" w:rsidRPr="005253A2">
        <w:rPr>
          <w:rFonts w:ascii="Calibri" w:hAnsi="Calibri" w:cs="Calibri"/>
          <w:noProof/>
          <w:szCs w:val="24"/>
        </w:rPr>
        <w:t xml:space="preserve"> (2014) ‘Implementing planetary protection measures on the mars science laboratory’, </w:t>
      </w:r>
      <w:r w:rsidR="005253A2" w:rsidRPr="005253A2">
        <w:rPr>
          <w:rFonts w:ascii="Calibri" w:hAnsi="Calibri" w:cs="Calibri"/>
          <w:i/>
          <w:iCs/>
          <w:noProof/>
          <w:szCs w:val="24"/>
        </w:rPr>
        <w:t>Astrobiology</w:t>
      </w:r>
      <w:r w:rsidR="005253A2" w:rsidRPr="005253A2">
        <w:rPr>
          <w:rFonts w:ascii="Calibri" w:hAnsi="Calibri" w:cs="Calibri"/>
          <w:noProof/>
          <w:szCs w:val="24"/>
        </w:rPr>
        <w:t>, 14(1), pp. 27–32. doi: 10.1089/ast.2013.0989.</w:t>
      </w:r>
    </w:p>
    <w:p w14:paraId="01E3531D" w14:textId="77777777" w:rsidR="005253A2" w:rsidRPr="005253A2" w:rsidRDefault="005253A2" w:rsidP="005253A2">
      <w:pPr>
        <w:widowControl w:val="0"/>
        <w:autoSpaceDE w:val="0"/>
        <w:autoSpaceDN w:val="0"/>
        <w:adjustRightInd w:val="0"/>
        <w:spacing w:line="240" w:lineRule="auto"/>
        <w:rPr>
          <w:rFonts w:ascii="Calibri" w:hAnsi="Calibri" w:cs="Calibri"/>
          <w:noProof/>
        </w:rPr>
      </w:pPr>
      <w:r w:rsidRPr="005253A2">
        <w:rPr>
          <w:rFonts w:ascii="Calibri" w:hAnsi="Calibri" w:cs="Calibri"/>
          <w:noProof/>
          <w:szCs w:val="24"/>
        </w:rPr>
        <w:t xml:space="preserve">Seuylemezian, A. </w:t>
      </w:r>
      <w:r w:rsidRPr="005253A2">
        <w:rPr>
          <w:rFonts w:ascii="Calibri" w:hAnsi="Calibri" w:cs="Calibri"/>
          <w:i/>
          <w:iCs/>
          <w:noProof/>
          <w:szCs w:val="24"/>
        </w:rPr>
        <w:t>et al.</w:t>
      </w:r>
      <w:r w:rsidRPr="005253A2">
        <w:rPr>
          <w:rFonts w:ascii="Calibri" w:hAnsi="Calibri" w:cs="Calibri"/>
          <w:noProof/>
          <w:szCs w:val="24"/>
        </w:rPr>
        <w:t xml:space="preserve"> (2018) ‘Development of a custom MALDI-TOF MS database for species-level identification of bacterial isolates collected from spacecraft and associated surfaces’, </w:t>
      </w:r>
      <w:r w:rsidRPr="005253A2">
        <w:rPr>
          <w:rFonts w:ascii="Calibri" w:hAnsi="Calibri" w:cs="Calibri"/>
          <w:i/>
          <w:iCs/>
          <w:noProof/>
          <w:szCs w:val="24"/>
        </w:rPr>
        <w:t>Frontiers in Microbiology</w:t>
      </w:r>
      <w:r w:rsidRPr="005253A2">
        <w:rPr>
          <w:rFonts w:ascii="Calibri" w:hAnsi="Calibri" w:cs="Calibri"/>
          <w:noProof/>
          <w:szCs w:val="24"/>
        </w:rPr>
        <w:t>, 9(MAY), pp. 1–8. doi: 10.3389/fmicb.2018.00780.</w:t>
      </w:r>
    </w:p>
    <w:p w14:paraId="04B01250" w14:textId="04359B2D" w:rsidR="00883B1A" w:rsidRPr="00143590" w:rsidRDefault="00824A5E" w:rsidP="00F11B72">
      <w:r>
        <w:fldChar w:fldCharType="end"/>
      </w:r>
    </w:p>
    <w:sectPr w:rsidR="00883B1A" w:rsidRPr="00143590">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E2BD33" w16cex:dateUtc="2022-03-21T14:00:00Z"/>
  <w16cex:commentExtensible w16cex:durableId="25E2BD39" w16cex:dateUtc="2022-03-21T14:00:00Z"/>
  <w16cex:commentExtensible w16cex:durableId="25E2CB03" w16cex:dateUtc="2022-03-21T14:5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D5450C" w14:textId="77777777" w:rsidR="00C52DD6" w:rsidRDefault="00C52DD6" w:rsidP="00EC2038">
      <w:pPr>
        <w:spacing w:after="0" w:line="240" w:lineRule="auto"/>
      </w:pPr>
      <w:r>
        <w:separator/>
      </w:r>
    </w:p>
  </w:endnote>
  <w:endnote w:type="continuationSeparator" w:id="0">
    <w:p w14:paraId="3F727F1C" w14:textId="77777777" w:rsidR="00C52DD6" w:rsidRDefault="00C52DD6" w:rsidP="00EC20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563614" w14:textId="77777777" w:rsidR="00C52DD6" w:rsidRDefault="00C52DD6" w:rsidP="00EC2038">
      <w:pPr>
        <w:spacing w:after="0" w:line="240" w:lineRule="auto"/>
      </w:pPr>
      <w:r>
        <w:separator/>
      </w:r>
    </w:p>
  </w:footnote>
  <w:footnote w:type="continuationSeparator" w:id="0">
    <w:p w14:paraId="18D1186D" w14:textId="77777777" w:rsidR="00C52DD6" w:rsidRDefault="00C52DD6" w:rsidP="00EC20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70964A0"/>
    <w:multiLevelType w:val="hybridMultilevel"/>
    <w:tmpl w:val="9BC8B0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C15"/>
    <w:rsid w:val="00000167"/>
    <w:rsid w:val="00006CA9"/>
    <w:rsid w:val="000076B1"/>
    <w:rsid w:val="00011EF0"/>
    <w:rsid w:val="00013F35"/>
    <w:rsid w:val="000158ED"/>
    <w:rsid w:val="000159E5"/>
    <w:rsid w:val="00015CF3"/>
    <w:rsid w:val="000701E2"/>
    <w:rsid w:val="000836B1"/>
    <w:rsid w:val="0009013D"/>
    <w:rsid w:val="00096BD3"/>
    <w:rsid w:val="000A4D1D"/>
    <w:rsid w:val="000B5AE7"/>
    <w:rsid w:val="000C6857"/>
    <w:rsid w:val="000E0FD4"/>
    <w:rsid w:val="000E185A"/>
    <w:rsid w:val="000E38A5"/>
    <w:rsid w:val="000F4DFA"/>
    <w:rsid w:val="000F5D98"/>
    <w:rsid w:val="001032EB"/>
    <w:rsid w:val="00103C24"/>
    <w:rsid w:val="001139B3"/>
    <w:rsid w:val="00123207"/>
    <w:rsid w:val="001235FB"/>
    <w:rsid w:val="00134996"/>
    <w:rsid w:val="00137F6D"/>
    <w:rsid w:val="00143590"/>
    <w:rsid w:val="00147ACA"/>
    <w:rsid w:val="00154828"/>
    <w:rsid w:val="00173DCF"/>
    <w:rsid w:val="00186CF6"/>
    <w:rsid w:val="001A7984"/>
    <w:rsid w:val="001A7B90"/>
    <w:rsid w:val="001B76F7"/>
    <w:rsid w:val="001C6751"/>
    <w:rsid w:val="001C6E68"/>
    <w:rsid w:val="001D151D"/>
    <w:rsid w:val="001D1A57"/>
    <w:rsid w:val="001E4604"/>
    <w:rsid w:val="001E72E7"/>
    <w:rsid w:val="001F104B"/>
    <w:rsid w:val="00213131"/>
    <w:rsid w:val="0022103B"/>
    <w:rsid w:val="002234B8"/>
    <w:rsid w:val="002341BF"/>
    <w:rsid w:val="0025439A"/>
    <w:rsid w:val="00260239"/>
    <w:rsid w:val="0026133F"/>
    <w:rsid w:val="002632CB"/>
    <w:rsid w:val="002725B3"/>
    <w:rsid w:val="002778FE"/>
    <w:rsid w:val="00291564"/>
    <w:rsid w:val="002A2C7B"/>
    <w:rsid w:val="002A441C"/>
    <w:rsid w:val="002A554A"/>
    <w:rsid w:val="002B435B"/>
    <w:rsid w:val="002B5152"/>
    <w:rsid w:val="002B5DBC"/>
    <w:rsid w:val="002C31F8"/>
    <w:rsid w:val="002C44D0"/>
    <w:rsid w:val="002C4A99"/>
    <w:rsid w:val="002D0060"/>
    <w:rsid w:val="002E5708"/>
    <w:rsid w:val="002E5FBE"/>
    <w:rsid w:val="002E658F"/>
    <w:rsid w:val="002F16A2"/>
    <w:rsid w:val="002F2CC2"/>
    <w:rsid w:val="002F7702"/>
    <w:rsid w:val="00305B44"/>
    <w:rsid w:val="0031063C"/>
    <w:rsid w:val="003211F7"/>
    <w:rsid w:val="00340DDF"/>
    <w:rsid w:val="003427DB"/>
    <w:rsid w:val="003570C7"/>
    <w:rsid w:val="00360A1F"/>
    <w:rsid w:val="00372F8A"/>
    <w:rsid w:val="0038727F"/>
    <w:rsid w:val="00393378"/>
    <w:rsid w:val="00396086"/>
    <w:rsid w:val="003A230D"/>
    <w:rsid w:val="003C0D6A"/>
    <w:rsid w:val="003D1402"/>
    <w:rsid w:val="003D1F93"/>
    <w:rsid w:val="003D342E"/>
    <w:rsid w:val="003E050A"/>
    <w:rsid w:val="003E7F19"/>
    <w:rsid w:val="003F04BB"/>
    <w:rsid w:val="003F591F"/>
    <w:rsid w:val="003F69B0"/>
    <w:rsid w:val="00400DF3"/>
    <w:rsid w:val="00402703"/>
    <w:rsid w:val="0041699C"/>
    <w:rsid w:val="00416C3B"/>
    <w:rsid w:val="00424441"/>
    <w:rsid w:val="00430A29"/>
    <w:rsid w:val="00431B48"/>
    <w:rsid w:val="00435BFD"/>
    <w:rsid w:val="00443CA6"/>
    <w:rsid w:val="004528FC"/>
    <w:rsid w:val="0045517B"/>
    <w:rsid w:val="004662AD"/>
    <w:rsid w:val="0047249F"/>
    <w:rsid w:val="00474772"/>
    <w:rsid w:val="00483B82"/>
    <w:rsid w:val="00496E10"/>
    <w:rsid w:val="004A4576"/>
    <w:rsid w:val="004B2249"/>
    <w:rsid w:val="004B27E4"/>
    <w:rsid w:val="004B44A8"/>
    <w:rsid w:val="004C2928"/>
    <w:rsid w:val="004D2F76"/>
    <w:rsid w:val="004D48F6"/>
    <w:rsid w:val="004E1813"/>
    <w:rsid w:val="004F017B"/>
    <w:rsid w:val="004F03BF"/>
    <w:rsid w:val="00515DBC"/>
    <w:rsid w:val="00516F6C"/>
    <w:rsid w:val="00520DC4"/>
    <w:rsid w:val="005216A3"/>
    <w:rsid w:val="005253A2"/>
    <w:rsid w:val="0052663E"/>
    <w:rsid w:val="00530BDB"/>
    <w:rsid w:val="00545A31"/>
    <w:rsid w:val="00577728"/>
    <w:rsid w:val="00581360"/>
    <w:rsid w:val="00582F17"/>
    <w:rsid w:val="00583FB1"/>
    <w:rsid w:val="00590261"/>
    <w:rsid w:val="0059235A"/>
    <w:rsid w:val="005971AC"/>
    <w:rsid w:val="005A4A14"/>
    <w:rsid w:val="005B1E31"/>
    <w:rsid w:val="005C7580"/>
    <w:rsid w:val="005E0F00"/>
    <w:rsid w:val="005E3FF2"/>
    <w:rsid w:val="005F34D7"/>
    <w:rsid w:val="005F4528"/>
    <w:rsid w:val="00601444"/>
    <w:rsid w:val="006016B1"/>
    <w:rsid w:val="006173B2"/>
    <w:rsid w:val="00623AFF"/>
    <w:rsid w:val="00634D4E"/>
    <w:rsid w:val="00636497"/>
    <w:rsid w:val="006544A1"/>
    <w:rsid w:val="00663EF7"/>
    <w:rsid w:val="006677FC"/>
    <w:rsid w:val="006768FB"/>
    <w:rsid w:val="006769AE"/>
    <w:rsid w:val="00677256"/>
    <w:rsid w:val="00684C07"/>
    <w:rsid w:val="006928C8"/>
    <w:rsid w:val="006B4DA6"/>
    <w:rsid w:val="006B7246"/>
    <w:rsid w:val="006D15BD"/>
    <w:rsid w:val="006D55FD"/>
    <w:rsid w:val="006D59A8"/>
    <w:rsid w:val="006D7D93"/>
    <w:rsid w:val="006E0F4D"/>
    <w:rsid w:val="006F0768"/>
    <w:rsid w:val="006F77B5"/>
    <w:rsid w:val="0071071B"/>
    <w:rsid w:val="00730B9F"/>
    <w:rsid w:val="007336F8"/>
    <w:rsid w:val="007407EF"/>
    <w:rsid w:val="007615DC"/>
    <w:rsid w:val="00775DCD"/>
    <w:rsid w:val="00794ECE"/>
    <w:rsid w:val="007959F4"/>
    <w:rsid w:val="007B2957"/>
    <w:rsid w:val="007B29CB"/>
    <w:rsid w:val="007D1720"/>
    <w:rsid w:val="007D35D7"/>
    <w:rsid w:val="007E24D3"/>
    <w:rsid w:val="007F3835"/>
    <w:rsid w:val="007F40FF"/>
    <w:rsid w:val="007F6916"/>
    <w:rsid w:val="00804107"/>
    <w:rsid w:val="00822C09"/>
    <w:rsid w:val="00824A5E"/>
    <w:rsid w:val="00836C61"/>
    <w:rsid w:val="008378AF"/>
    <w:rsid w:val="00846918"/>
    <w:rsid w:val="00857157"/>
    <w:rsid w:val="00864D3D"/>
    <w:rsid w:val="00883B1A"/>
    <w:rsid w:val="00884802"/>
    <w:rsid w:val="00886DC1"/>
    <w:rsid w:val="0089197E"/>
    <w:rsid w:val="00891CFC"/>
    <w:rsid w:val="00897706"/>
    <w:rsid w:val="008B242D"/>
    <w:rsid w:val="008C1F6E"/>
    <w:rsid w:val="008C3A86"/>
    <w:rsid w:val="008C3BB7"/>
    <w:rsid w:val="008F00F8"/>
    <w:rsid w:val="008F2600"/>
    <w:rsid w:val="008F44EE"/>
    <w:rsid w:val="008F7C7A"/>
    <w:rsid w:val="00901B92"/>
    <w:rsid w:val="00902F4D"/>
    <w:rsid w:val="0090481F"/>
    <w:rsid w:val="0091313B"/>
    <w:rsid w:val="00913BFC"/>
    <w:rsid w:val="00915F47"/>
    <w:rsid w:val="009168E9"/>
    <w:rsid w:val="0092592A"/>
    <w:rsid w:val="009317A7"/>
    <w:rsid w:val="00935E5D"/>
    <w:rsid w:val="00955B64"/>
    <w:rsid w:val="0095714A"/>
    <w:rsid w:val="00957A15"/>
    <w:rsid w:val="009712E8"/>
    <w:rsid w:val="00972EA7"/>
    <w:rsid w:val="00974BDA"/>
    <w:rsid w:val="00976003"/>
    <w:rsid w:val="00984FB2"/>
    <w:rsid w:val="009C5DD8"/>
    <w:rsid w:val="009C7CEA"/>
    <w:rsid w:val="009D1CAF"/>
    <w:rsid w:val="009D2A2C"/>
    <w:rsid w:val="009E07E2"/>
    <w:rsid w:val="00A10B32"/>
    <w:rsid w:val="00A17675"/>
    <w:rsid w:val="00A25383"/>
    <w:rsid w:val="00A343A4"/>
    <w:rsid w:val="00A36E03"/>
    <w:rsid w:val="00A41E08"/>
    <w:rsid w:val="00A67351"/>
    <w:rsid w:val="00A709BC"/>
    <w:rsid w:val="00A83178"/>
    <w:rsid w:val="00A90110"/>
    <w:rsid w:val="00A964BF"/>
    <w:rsid w:val="00A96903"/>
    <w:rsid w:val="00AA2653"/>
    <w:rsid w:val="00AA5E90"/>
    <w:rsid w:val="00AB1AB2"/>
    <w:rsid w:val="00AC6070"/>
    <w:rsid w:val="00AC7D72"/>
    <w:rsid w:val="00AD5340"/>
    <w:rsid w:val="00AE0975"/>
    <w:rsid w:val="00AF05F8"/>
    <w:rsid w:val="00AF75E9"/>
    <w:rsid w:val="00B0155F"/>
    <w:rsid w:val="00B165A2"/>
    <w:rsid w:val="00B44D64"/>
    <w:rsid w:val="00B56795"/>
    <w:rsid w:val="00B64A2A"/>
    <w:rsid w:val="00B6548E"/>
    <w:rsid w:val="00B823F4"/>
    <w:rsid w:val="00B84076"/>
    <w:rsid w:val="00B84E43"/>
    <w:rsid w:val="00B86DFA"/>
    <w:rsid w:val="00B96257"/>
    <w:rsid w:val="00BA5606"/>
    <w:rsid w:val="00BB599B"/>
    <w:rsid w:val="00BB7036"/>
    <w:rsid w:val="00BC3A02"/>
    <w:rsid w:val="00BC6BF3"/>
    <w:rsid w:val="00BE268C"/>
    <w:rsid w:val="00BF2E67"/>
    <w:rsid w:val="00BF3B21"/>
    <w:rsid w:val="00C23631"/>
    <w:rsid w:val="00C24570"/>
    <w:rsid w:val="00C27E21"/>
    <w:rsid w:val="00C35BCC"/>
    <w:rsid w:val="00C40DB5"/>
    <w:rsid w:val="00C44D7D"/>
    <w:rsid w:val="00C462B1"/>
    <w:rsid w:val="00C52DD6"/>
    <w:rsid w:val="00C55E22"/>
    <w:rsid w:val="00C62D50"/>
    <w:rsid w:val="00C771FF"/>
    <w:rsid w:val="00C926BF"/>
    <w:rsid w:val="00CA0BFA"/>
    <w:rsid w:val="00CA110C"/>
    <w:rsid w:val="00CA188D"/>
    <w:rsid w:val="00CA2E76"/>
    <w:rsid w:val="00CC119F"/>
    <w:rsid w:val="00CC3239"/>
    <w:rsid w:val="00CC39E1"/>
    <w:rsid w:val="00CC656A"/>
    <w:rsid w:val="00CD0FEC"/>
    <w:rsid w:val="00CD2287"/>
    <w:rsid w:val="00CE25C1"/>
    <w:rsid w:val="00CE3B65"/>
    <w:rsid w:val="00CF4612"/>
    <w:rsid w:val="00D03209"/>
    <w:rsid w:val="00D05998"/>
    <w:rsid w:val="00D059F2"/>
    <w:rsid w:val="00D12121"/>
    <w:rsid w:val="00D36E7C"/>
    <w:rsid w:val="00D46101"/>
    <w:rsid w:val="00D529F1"/>
    <w:rsid w:val="00D52E69"/>
    <w:rsid w:val="00D5349F"/>
    <w:rsid w:val="00D73858"/>
    <w:rsid w:val="00D84F00"/>
    <w:rsid w:val="00DB546C"/>
    <w:rsid w:val="00DC288E"/>
    <w:rsid w:val="00DC2892"/>
    <w:rsid w:val="00DD4227"/>
    <w:rsid w:val="00DE206A"/>
    <w:rsid w:val="00DE2081"/>
    <w:rsid w:val="00DF244C"/>
    <w:rsid w:val="00E205C3"/>
    <w:rsid w:val="00E31B0E"/>
    <w:rsid w:val="00E36E97"/>
    <w:rsid w:val="00E447F7"/>
    <w:rsid w:val="00E71165"/>
    <w:rsid w:val="00E81CD9"/>
    <w:rsid w:val="00EC2038"/>
    <w:rsid w:val="00EC5253"/>
    <w:rsid w:val="00ED1D43"/>
    <w:rsid w:val="00EE0DC6"/>
    <w:rsid w:val="00EF3555"/>
    <w:rsid w:val="00EF6103"/>
    <w:rsid w:val="00EF61F4"/>
    <w:rsid w:val="00EF7AB1"/>
    <w:rsid w:val="00F05A0E"/>
    <w:rsid w:val="00F1037F"/>
    <w:rsid w:val="00F11B72"/>
    <w:rsid w:val="00F26194"/>
    <w:rsid w:val="00F27EE2"/>
    <w:rsid w:val="00F730C8"/>
    <w:rsid w:val="00F7701C"/>
    <w:rsid w:val="00F8040D"/>
    <w:rsid w:val="00F909BE"/>
    <w:rsid w:val="00F926C6"/>
    <w:rsid w:val="00F96366"/>
    <w:rsid w:val="00FA01DB"/>
    <w:rsid w:val="00FA4C15"/>
    <w:rsid w:val="00FB6133"/>
    <w:rsid w:val="00FB6A26"/>
    <w:rsid w:val="00FC66BE"/>
    <w:rsid w:val="00FD2218"/>
    <w:rsid w:val="00FD3831"/>
    <w:rsid w:val="00FF52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19797E"/>
  <w15:chartTrackingRefBased/>
  <w15:docId w15:val="{87071A1A-09B5-4FCA-888A-8FE6553A5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7116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E71165"/>
    <w:rPr>
      <w:sz w:val="16"/>
      <w:szCs w:val="16"/>
    </w:rPr>
  </w:style>
  <w:style w:type="paragraph" w:styleId="CommentText">
    <w:name w:val="annotation text"/>
    <w:basedOn w:val="Normal"/>
    <w:link w:val="CommentTextChar"/>
    <w:uiPriority w:val="99"/>
    <w:unhideWhenUsed/>
    <w:rsid w:val="00E71165"/>
    <w:pPr>
      <w:spacing w:after="0" w:line="240" w:lineRule="auto"/>
      <w:ind w:left="835"/>
    </w:pPr>
    <w:rPr>
      <w:rFonts w:ascii="Arial" w:eastAsia="Times New Roman" w:hAnsi="Arial" w:cs="Times New Roman"/>
      <w:spacing w:val="-5"/>
      <w:sz w:val="20"/>
      <w:szCs w:val="20"/>
    </w:rPr>
  </w:style>
  <w:style w:type="character" w:customStyle="1" w:styleId="CommentTextChar">
    <w:name w:val="Comment Text Char"/>
    <w:basedOn w:val="DefaultParagraphFont"/>
    <w:link w:val="CommentText"/>
    <w:uiPriority w:val="99"/>
    <w:rsid w:val="00E71165"/>
    <w:rPr>
      <w:rFonts w:ascii="Arial" w:eastAsia="Times New Roman" w:hAnsi="Arial" w:cs="Times New Roman"/>
      <w:spacing w:val="-5"/>
      <w:sz w:val="20"/>
      <w:szCs w:val="20"/>
    </w:rPr>
  </w:style>
  <w:style w:type="paragraph" w:styleId="Caption">
    <w:name w:val="caption"/>
    <w:basedOn w:val="Normal"/>
    <w:next w:val="Normal"/>
    <w:uiPriority w:val="35"/>
    <w:unhideWhenUsed/>
    <w:qFormat/>
    <w:rsid w:val="00E71165"/>
    <w:pPr>
      <w:spacing w:after="200" w:line="240" w:lineRule="auto"/>
    </w:pPr>
    <w:rPr>
      <w:rFonts w:ascii="Times New Roman" w:eastAsia="Times New Roman" w:hAnsi="Times New Roman" w:cs="Times New Roman"/>
      <w:i/>
      <w:iCs/>
      <w:color w:val="1F497D"/>
      <w:sz w:val="18"/>
      <w:szCs w:val="18"/>
    </w:rPr>
  </w:style>
  <w:style w:type="paragraph" w:customStyle="1" w:styleId="IJABSubheadingStyle">
    <w:name w:val="IJAB Subheading Style"/>
    <w:basedOn w:val="Heading1"/>
    <w:link w:val="IJABSubheadingStyleChar"/>
    <w:uiPriority w:val="1"/>
    <w:qFormat/>
    <w:rsid w:val="00E71165"/>
    <w:pPr>
      <w:keepNext w:val="0"/>
      <w:keepLines w:val="0"/>
      <w:spacing w:before="0" w:line="240" w:lineRule="auto"/>
      <w:ind w:left="360"/>
    </w:pPr>
    <w:rPr>
      <w:rFonts w:ascii="Times New Roman" w:eastAsia="Times New Roman" w:hAnsi="Times New Roman" w:cs="Times New Roman"/>
      <w:i/>
      <w:color w:val="auto"/>
      <w:sz w:val="28"/>
      <w:szCs w:val="24"/>
    </w:rPr>
  </w:style>
  <w:style w:type="character" w:customStyle="1" w:styleId="IJABSubheadingStyleChar">
    <w:name w:val="IJAB Subheading Style Char"/>
    <w:link w:val="IJABSubheadingStyle"/>
    <w:uiPriority w:val="1"/>
    <w:rsid w:val="00E71165"/>
    <w:rPr>
      <w:rFonts w:ascii="Times New Roman" w:eastAsia="Times New Roman" w:hAnsi="Times New Roman" w:cs="Times New Roman"/>
      <w:i/>
      <w:sz w:val="28"/>
      <w:szCs w:val="24"/>
    </w:rPr>
  </w:style>
  <w:style w:type="character" w:customStyle="1" w:styleId="Heading1Char">
    <w:name w:val="Heading 1 Char"/>
    <w:basedOn w:val="DefaultParagraphFont"/>
    <w:link w:val="Heading1"/>
    <w:uiPriority w:val="9"/>
    <w:rsid w:val="00E71165"/>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E711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165"/>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C44D7D"/>
    <w:pPr>
      <w:spacing w:after="160"/>
      <w:ind w:left="0"/>
    </w:pPr>
    <w:rPr>
      <w:rFonts w:asciiTheme="minorHAnsi" w:eastAsiaTheme="minorHAnsi" w:hAnsiTheme="minorHAnsi" w:cstheme="minorBidi"/>
      <w:b/>
      <w:bCs/>
      <w:spacing w:val="0"/>
    </w:rPr>
  </w:style>
  <w:style w:type="character" w:customStyle="1" w:styleId="CommentSubjectChar">
    <w:name w:val="Comment Subject Char"/>
    <w:basedOn w:val="CommentTextChar"/>
    <w:link w:val="CommentSubject"/>
    <w:uiPriority w:val="99"/>
    <w:semiHidden/>
    <w:rsid w:val="00C44D7D"/>
    <w:rPr>
      <w:rFonts w:ascii="Arial" w:eastAsia="Times New Roman" w:hAnsi="Arial" w:cs="Times New Roman"/>
      <w:b/>
      <w:bCs/>
      <w:spacing w:val="-5"/>
      <w:sz w:val="20"/>
      <w:szCs w:val="20"/>
    </w:rPr>
  </w:style>
  <w:style w:type="character" w:styleId="Hyperlink">
    <w:name w:val="Hyperlink"/>
    <w:basedOn w:val="DefaultParagraphFont"/>
    <w:uiPriority w:val="99"/>
    <w:unhideWhenUsed/>
    <w:rsid w:val="00BB599B"/>
    <w:rPr>
      <w:color w:val="0563C1" w:themeColor="hyperlink"/>
      <w:u w:val="single"/>
    </w:rPr>
  </w:style>
  <w:style w:type="character" w:styleId="UnresolvedMention">
    <w:name w:val="Unresolved Mention"/>
    <w:basedOn w:val="DefaultParagraphFont"/>
    <w:uiPriority w:val="99"/>
    <w:semiHidden/>
    <w:unhideWhenUsed/>
    <w:rsid w:val="00BB59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0575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chart" Target="charts/chart1.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multimedia.3m.com/mws/media/1359805O/3m-petrifilm-sustainability-calculator-pdf.pdf"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charts/_rels/chart1.xml.rels><?xml version="1.0" encoding="UTF-8" standalone="yes"?>
<Relationships xmlns="http://schemas.openxmlformats.org/package/2006/relationships"><Relationship Id="rId3" Type="http://schemas.openxmlformats.org/officeDocument/2006/relationships/oleObject" Target="file:///C:\Users\zdean\Desktop\Grant%20Application%20Folder\CIF%20Year%202%20200927\International%20Journal%20of%20Astrobiology%20Manuscript\Plate%20Count%20Time%20Calculations%2022112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Sheet1!$A$3</c:f>
              <c:strCache>
                <c:ptCount val="1"/>
                <c:pt idx="0">
                  <c:v>AVG</c:v>
                </c:pt>
              </c:strCache>
            </c:strRef>
          </c:tx>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2-A0D4-4914-9D07-535DE579941F}"/>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1-A0D4-4914-9D07-535DE579941F}"/>
              </c:ext>
            </c:extLst>
          </c:dPt>
          <c:errBars>
            <c:errBarType val="both"/>
            <c:errValType val="cust"/>
            <c:noEndCap val="0"/>
            <c:plus>
              <c:numRef>
                <c:f>Sheet1!$B$4:$E$4</c:f>
                <c:numCache>
                  <c:formatCode>General</c:formatCode>
                  <c:ptCount val="4"/>
                  <c:pt idx="0">
                    <c:v>0.26161889160464769</c:v>
                  </c:pt>
                  <c:pt idx="1">
                    <c:v>0.20936411663256271</c:v>
                  </c:pt>
                  <c:pt idx="2">
                    <c:v>4.485518674331634</c:v>
                  </c:pt>
                  <c:pt idx="3">
                    <c:v>0.12999999999999995</c:v>
                  </c:pt>
                </c:numCache>
              </c:numRef>
            </c:plus>
            <c:minus>
              <c:numRef>
                <c:f>Sheet1!$B$4:$E$4</c:f>
                <c:numCache>
                  <c:formatCode>General</c:formatCode>
                  <c:ptCount val="4"/>
                  <c:pt idx="0">
                    <c:v>0.26161889160464769</c:v>
                  </c:pt>
                  <c:pt idx="1">
                    <c:v>0.20936411663256271</c:v>
                  </c:pt>
                  <c:pt idx="2">
                    <c:v>4.485518674331634</c:v>
                  </c:pt>
                  <c:pt idx="3">
                    <c:v>0.12999999999999995</c:v>
                  </c:pt>
                </c:numCache>
              </c:numRef>
            </c:minus>
            <c:spPr>
              <a:noFill/>
              <a:ln w="19050" cap="flat" cmpd="sng" algn="ctr">
                <a:solidFill>
                  <a:schemeClr val="tx1">
                    <a:lumMod val="65000"/>
                    <a:lumOff val="35000"/>
                  </a:schemeClr>
                </a:solidFill>
                <a:round/>
              </a:ln>
              <a:effectLst/>
            </c:spPr>
          </c:errBars>
          <c:cat>
            <c:multiLvlStrRef>
              <c:f>Sheet1!$B$1:$E$2</c:f>
              <c:multiLvlStrCache>
                <c:ptCount val="4"/>
                <c:lvl>
                  <c:pt idx="0">
                    <c:v>Manual Count (s)</c:v>
                  </c:pt>
                  <c:pt idx="1">
                    <c:v>Plate Reader Count (s)</c:v>
                  </c:pt>
                  <c:pt idx="2">
                    <c:v>Manual Count (s)</c:v>
                  </c:pt>
                  <c:pt idx="3">
                    <c:v>Plate Reader Count (s)</c:v>
                  </c:pt>
                </c:lvl>
                <c:lvl>
                  <c:pt idx="0">
                    <c:v>10 CFU</c:v>
                  </c:pt>
                  <c:pt idx="2">
                    <c:v>250 CFU</c:v>
                  </c:pt>
                </c:lvl>
              </c:multiLvlStrCache>
            </c:multiLvlStrRef>
          </c:cat>
          <c:val>
            <c:numRef>
              <c:f>Sheet1!$B$3:$E$3</c:f>
              <c:numCache>
                <c:formatCode>0.00</c:formatCode>
                <c:ptCount val="4"/>
                <c:pt idx="0">
                  <c:v>4.5999999999999996</c:v>
                </c:pt>
                <c:pt idx="1">
                  <c:v>6.75</c:v>
                </c:pt>
                <c:pt idx="2">
                  <c:v>88.509999999999991</c:v>
                </c:pt>
                <c:pt idx="3">
                  <c:v>6.2700000000000005</c:v>
                </c:pt>
              </c:numCache>
            </c:numRef>
          </c:val>
          <c:extLst>
            <c:ext xmlns:c16="http://schemas.microsoft.com/office/drawing/2014/chart" uri="{C3380CC4-5D6E-409C-BE32-E72D297353CC}">
              <c16:uniqueId val="{00000000-A0D4-4914-9D07-535DE579941F}"/>
            </c:ext>
          </c:extLst>
        </c:ser>
        <c:dLbls>
          <c:showLegendKey val="0"/>
          <c:showVal val="0"/>
          <c:showCatName val="0"/>
          <c:showSerName val="0"/>
          <c:showPercent val="0"/>
          <c:showBubbleSize val="0"/>
        </c:dLbls>
        <c:gapWidth val="219"/>
        <c:overlap val="-27"/>
        <c:axId val="1429493840"/>
        <c:axId val="1433353424"/>
      </c:barChart>
      <c:catAx>
        <c:axId val="1429493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3353424"/>
        <c:crosses val="autoZero"/>
        <c:auto val="1"/>
        <c:lblAlgn val="ctr"/>
        <c:lblOffset val="100"/>
        <c:noMultiLvlLbl val="0"/>
      </c:catAx>
      <c:valAx>
        <c:axId val="1433353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Taken to Count a Plate (s)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94938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73C1A9-FFE7-4BCA-8705-35604F2A9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2491</Words>
  <Characters>14199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Dean, Zachary S (352N)</dc:creator>
  <cp:keywords/>
  <dc:description/>
  <cp:lastModifiedBy>Dean, Zach (US 353N)</cp:lastModifiedBy>
  <cp:revision>2</cp:revision>
  <dcterms:created xsi:type="dcterms:W3CDTF">2023-06-05T22:21:00Z</dcterms:created>
  <dcterms:modified xsi:type="dcterms:W3CDTF">2023-06-05T22:21:00Z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http://www.zotero.org/styles/r-and-d-management</vt:lpwstr>
  </property>
  <property fmtid="{D5CDD505-2E9C-101B-9397-08002B2CF9AE}" pid="21" name="Mendeley Recent Style Name 9_1">
    <vt:lpwstr>R&amp;D Management</vt:lpwstr>
  </property>
  <property fmtid="{D5CDD505-2E9C-101B-9397-08002B2CF9AE}" pid="22" name="Mendeley Document_1">
    <vt:lpwstr>True</vt:lpwstr>
  </property>
  <property fmtid="{D5CDD505-2E9C-101B-9397-08002B2CF9AE}" pid="23" name="Mendeley Unique User Id_1">
    <vt:lpwstr>85fb133b-b888-3df3-adab-e6074d16de13</vt:lpwstr>
  </property>
  <property fmtid="{D5CDD505-2E9C-101B-9397-08002B2CF9AE}" pid="24" name="Mendeley Citation Style_1">
    <vt:lpwstr>http://www.zotero.org/styles/harvard1</vt:lpwstr>
  </property>
</Properties>
</file>