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5C" w:rsidRPr="005A3177" w:rsidRDefault="0042455C" w:rsidP="0042455C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42455C" w:rsidRPr="005A3177" w:rsidRDefault="0042455C" w:rsidP="0042455C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 w:rsidRPr="005A3177">
        <w:rPr>
          <w:rFonts w:ascii="Times New Roman" w:hAnsi="Times New Roman"/>
          <w:b/>
          <w:color w:val="000000"/>
          <w:szCs w:val="24"/>
          <w:shd w:val="clear" w:color="auto" w:fill="FFFFFF"/>
        </w:rPr>
        <w:t>Appendix 1. Cohen’s Kappa</w:t>
      </w:r>
    </w:p>
    <w:p w:rsidR="0042455C" w:rsidRPr="005A3177" w:rsidRDefault="0042455C" w:rsidP="0042455C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</w:p>
    <w:p w:rsidR="0042455C" w:rsidRPr="005A3177" w:rsidRDefault="0042455C" w:rsidP="0042455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A3177">
        <w:rPr>
          <w:rFonts w:ascii="Times New Roman" w:hAnsi="Times New Roman"/>
          <w:color w:val="000000"/>
          <w:szCs w:val="24"/>
          <w:shd w:val="clear" w:color="auto" w:fill="FFFFFF"/>
        </w:rPr>
        <w:t>Cohen's Kappa for 2 Raters (Weights: unweighted)</w:t>
      </w:r>
    </w:p>
    <w:p w:rsidR="0042455C" w:rsidRPr="005A3177" w:rsidRDefault="0042455C" w:rsidP="0042455C">
      <w:p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42455C" w:rsidRPr="005A3177" w:rsidRDefault="0042455C" w:rsidP="0042455C">
      <w:p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A3177">
        <w:rPr>
          <w:rFonts w:ascii="Times New Roman" w:hAnsi="Times New Roman"/>
          <w:color w:val="000000"/>
          <w:szCs w:val="24"/>
          <w:shd w:val="clear" w:color="auto" w:fill="FFFFFF"/>
        </w:rPr>
        <w:t xml:space="preserve"> Subjects = 12192 </w:t>
      </w:r>
    </w:p>
    <w:p w:rsidR="0042455C" w:rsidRPr="005A3177" w:rsidRDefault="0042455C" w:rsidP="0042455C">
      <w:p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A3177">
        <w:rPr>
          <w:rFonts w:ascii="Times New Roman" w:hAnsi="Times New Roman"/>
          <w:color w:val="000000"/>
          <w:szCs w:val="24"/>
          <w:shd w:val="clear" w:color="auto" w:fill="FFFFFF"/>
        </w:rPr>
        <w:t xml:space="preserve"> Raters = 2 </w:t>
      </w:r>
    </w:p>
    <w:p w:rsidR="0042455C" w:rsidRPr="005A3177" w:rsidRDefault="0042455C" w:rsidP="0042455C">
      <w:p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 w:rsidRPr="005A3177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 Kappa = 0.881 </w:t>
      </w:r>
    </w:p>
    <w:p w:rsidR="0042455C" w:rsidRPr="005A3177" w:rsidRDefault="0042455C" w:rsidP="0042455C">
      <w:p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A3177">
        <w:rPr>
          <w:rFonts w:ascii="Times New Roman" w:hAnsi="Times New Roman"/>
          <w:color w:val="000000"/>
          <w:szCs w:val="24"/>
          <w:shd w:val="clear" w:color="auto" w:fill="FFFFFF"/>
        </w:rPr>
        <w:t xml:space="preserve"> z = 97.3 </w:t>
      </w:r>
    </w:p>
    <w:p w:rsidR="0042455C" w:rsidRPr="005A3177" w:rsidRDefault="0042455C" w:rsidP="0042455C">
      <w:pPr>
        <w:autoSpaceDE w:val="0"/>
        <w:autoSpaceDN w:val="0"/>
        <w:adjustRightInd w:val="0"/>
        <w:ind w:left="1134" w:hanging="567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A3177">
        <w:rPr>
          <w:rFonts w:ascii="Times New Roman" w:hAnsi="Times New Roman"/>
          <w:color w:val="000000"/>
          <w:szCs w:val="24"/>
          <w:shd w:val="clear" w:color="auto" w:fill="FFFFFF"/>
        </w:rPr>
        <w:t xml:space="preserve"> p-value = 0</w:t>
      </w:r>
    </w:p>
    <w:p w:rsidR="0042455C" w:rsidRPr="005A3177" w:rsidRDefault="0042455C" w:rsidP="0042455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42455C" w:rsidRPr="005A3177" w:rsidRDefault="0042455C" w:rsidP="0042455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  <w:r w:rsidRPr="005A3177">
        <w:rPr>
          <w:rFonts w:ascii="Times New Roman" w:hAnsi="Times New Roman"/>
          <w:b/>
          <w:color w:val="000000"/>
          <w:szCs w:val="24"/>
          <w:shd w:val="clear" w:color="auto" w:fill="FFFFFF"/>
        </w:rPr>
        <w:t xml:space="preserve">Appendix 2. Calculation of sub-indices </w:t>
      </w:r>
    </w:p>
    <w:p w:rsidR="0042455C" w:rsidRPr="005A3177" w:rsidRDefault="0042455C" w:rsidP="0042455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768"/>
      </w:tblGrid>
      <w:tr w:rsidR="0042455C" w:rsidRPr="005A3177" w:rsidTr="004F2C9D">
        <w:trPr>
          <w:trHeight w:val="841"/>
        </w:trPr>
        <w:tc>
          <w:tcPr>
            <w:tcW w:w="1242" w:type="dxa"/>
            <w:shd w:val="clear" w:color="auto" w:fill="auto"/>
            <w:hideMark/>
          </w:tcPr>
          <w:p w:rsidR="0042455C" w:rsidRPr="005A3177" w:rsidRDefault="0042455C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Patent Sub-index</w:t>
            </w:r>
          </w:p>
        </w:tc>
        <w:tc>
          <w:tcPr>
            <w:tcW w:w="7768" w:type="dxa"/>
            <w:shd w:val="clear" w:color="auto" w:fill="auto"/>
            <w:hideMark/>
          </w:tcPr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Sub-index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for all TRIPs-plus variables on </w:t>
            </w:r>
            <w:r w:rsidRPr="005A31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patents, double weighed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by number of variables and importance to index overall.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Patent variables on scope (2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3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), duration (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29)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rights conferred (3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3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bookmarkStart w:id="0" w:name="_GoBack"/>
            <w:bookmarkEnd w:id="0"/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3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and exhaustion for patents (I_38), weighed by number of variables coded and subjective weight according to overall importance.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Scope: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Duration: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Rights Conferred: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Exhaustion: </w:t>
            </w:r>
            <w:r w:rsidR="004F2C9D"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1/4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Formula: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= (variable2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+2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+2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+3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)/4*0.25+variable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*0.25+(variable3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+3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+3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)/</w:t>
            </w:r>
            <w:r w:rsidR="007A77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*0.25+I_38*0.25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Variables: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Scope of coverage: plants. This variable codes the nature of the inventions that can be patentable.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Scope of coverage: animals. This variable codes the nature of the inventions that can be patentable.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Permitted double patenting (selection/second use): second-use patents. This variable codes for the availability of selection patents (i.e. a patent that claims to be a subclass of a previously patented genus for a particular feature, not included in the initial patent) or second-use patents (i.e. a patent that claims a new use that differs from an existing patent).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Patent term extensions: this variable codes whether an extension is given to patent term when regulation requirements have unduly delayed market entry.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(3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Compulsory licenses are restricted/limited to specific scenarios or on specific grounds.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(3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Novelty/disclosure grace period. This variable codes the length of the grace period in which a patentee may disclose the invention, without their disclosure being considered as prior art to invalidate the patent based on novelty.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(3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Burden of proof: this variable codes whether, when examining an invention, the burden of proof lies on the patent office or on the applicant to demonstrate non-patentability/patentability.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(3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Restriction of revocation rights for patents. In the case of fraud and misrepresentation, this limits the flexibility granted under TRIPs.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(I_38) "Sum of TRIPs-plus provisions on exhaustion for patents, weighed by number of exhaustion variables for patents and stringency of exhaustion regime: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National Exhaustion: 2/3 (strongest exhaustion mean)</w:t>
            </w:r>
          </w:p>
          <w:p w:rsidR="0042455C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Regional Exhaustion: 1/3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2455C" w:rsidRPr="005A3177" w:rsidTr="004F2C9D">
        <w:trPr>
          <w:trHeight w:val="1692"/>
        </w:trPr>
        <w:tc>
          <w:tcPr>
            <w:tcW w:w="1242" w:type="dxa"/>
            <w:shd w:val="clear" w:color="auto" w:fill="auto"/>
            <w:hideMark/>
          </w:tcPr>
          <w:p w:rsidR="0042455C" w:rsidRPr="005A3177" w:rsidRDefault="0042455C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Copyright Sub-index</w:t>
            </w:r>
          </w:p>
        </w:tc>
        <w:tc>
          <w:tcPr>
            <w:tcW w:w="7768" w:type="dxa"/>
            <w:shd w:val="clear" w:color="auto" w:fill="auto"/>
            <w:hideMark/>
          </w:tcPr>
          <w:p w:rsidR="0042455C" w:rsidRPr="005A3177" w:rsidRDefault="0042455C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Sub-index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for all TRIPs-plus variables on </w:t>
            </w:r>
            <w:r w:rsidRPr="005A31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copyrights, double weighed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by number of variables and importance to index overall.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Copyright variables on scope (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), duration (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mutually exclusive), rights conferred (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4F2C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6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and exhaustion for copyrights (I_40), weighed by number of variables coded and subjective weight according to overall importance.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Scope: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Duration: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Rights Conferred: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Exhaustion: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Formula: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=(variable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)/*0.25+(variable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+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)/2*0.25+SUM(variable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)/3*0.25+I_40*0.25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Variables: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Duration 70 years: this variable codes the duration of protection of literary work in years of copyright beyond the death of the author(s).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Duration 90 years: this variable codes the duration of protection of literary work in years of copyright beyond the death of the author(s).</w:t>
            </w:r>
          </w:p>
          <w:p w:rsidR="0042455C" w:rsidRPr="005A3177" w:rsidRDefault="0042455C" w:rsidP="004436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443609" w:rsidRP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cope includes videograms: This variables codes if the scope for copyright protection includes videograms.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Private use exceptions: this variable codes the extent to which a private use exception exists in copyright.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43609" w:rsidRP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Article 6bis of th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 Berne Convention is</w:t>
            </w:r>
            <w:r w:rsidR="00443609" w:rsidRP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included in the copyright section.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Anti-circumvention of technology protection measures: this variable codes whether actions to circumvent TPMs (region lock, DRM, etc.) can be considered as copyright infringement.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(I_40) Sum of TRIPs-plus provisions on exhaustion for copyrights, weighed by number of exhaustion variables for copyrights and stringency of exhaustion regime: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National Exhaustion: 2/3 (strongest exhaustion mean)</w:t>
            </w:r>
          </w:p>
          <w:p w:rsidR="0042455C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Regional Exhaustion: 1/3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2455C" w:rsidRPr="005A3177" w:rsidTr="004F2C9D">
        <w:trPr>
          <w:trHeight w:val="4800"/>
        </w:trPr>
        <w:tc>
          <w:tcPr>
            <w:tcW w:w="1242" w:type="dxa"/>
            <w:shd w:val="clear" w:color="auto" w:fill="auto"/>
            <w:hideMark/>
          </w:tcPr>
          <w:p w:rsidR="0042455C" w:rsidRPr="005A3177" w:rsidRDefault="0042455C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Trademark Sub-index</w:t>
            </w:r>
          </w:p>
        </w:tc>
        <w:tc>
          <w:tcPr>
            <w:tcW w:w="7768" w:type="dxa"/>
            <w:shd w:val="clear" w:color="auto" w:fill="auto"/>
            <w:hideMark/>
          </w:tcPr>
          <w:p w:rsidR="0042455C" w:rsidRPr="005A3177" w:rsidRDefault="0042455C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Sub-index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for all TRIPs-plus variables on </w:t>
            </w:r>
            <w:r w:rsidRPr="005A31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trademarks, double weighed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by number of variables and importance to index overall.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Trademark variables on scope 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), duration (1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), rights conferred (1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and exhaustion for trademarks (I_42), weighed by number of variables coded and subjective weight according to overall importance.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Scope: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Duration: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Rights Conferred: 1/4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Exhaustion: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43609"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1/4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Formula: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=sum(variable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)/6*0.25+variable1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*0.25)+(variable1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+1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)/2*0.25+I_42*0.25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Variables: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Scope of protection: 3-D marks. This variable codes the type of marks that may be registered under trademark legislation.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Scope of protection: sounds. This variable codes the type of marks that may be registered under trademark legislation.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Scope of protection: holograms. This variable codes the type of marks that may be registered under trademark legislation.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Scope of protection: scents/smells. This variable codes the type of marks that may be registered under trademark legislation.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) Scope of protection: movements. This variable codes the type of marks that may be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registered under trademark legislation.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Scope of protection: colors. This variable codes the type of marks that may be registered under trademark legislation.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Term of initial trademark protection. Code if term of initial registration and each renewal of registration is more than 7 years (not non-use).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Duration of protection without use: more than 3 years. This variable codes for the number of years a trademark holder can refrain from using the mark without that mark being subject to expungement (losing protection for trademark).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(1</w:t>
            </w:r>
            <w:r w:rsidR="004436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Electronic registration system for trademarks.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(I_42) Sum of TRIPs-plus provisions on exhaustion for trademark, weighed by number of exhaustion variables for trademark and stringency of exhaustion regime: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National Exhaustion: 2/3 (strongest exhaustion mean)</w:t>
            </w:r>
          </w:p>
          <w:p w:rsidR="0042455C" w:rsidRPr="005A3177" w:rsidRDefault="0042455C" w:rsidP="004F2C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1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Regional Exhaustion: 1/3</w:t>
            </w:r>
          </w:p>
        </w:tc>
      </w:tr>
    </w:tbl>
    <w:p w:rsidR="00A10DB1" w:rsidRDefault="00A10DB1" w:rsidP="00A10DB1">
      <w:pPr>
        <w:spacing w:after="160" w:line="259" w:lineRule="auto"/>
        <w:contextualSpacing w:val="0"/>
        <w:rPr>
          <w:rFonts w:ascii="Times New Roman" w:hAnsi="Times New Roman"/>
          <w:b/>
          <w:color w:val="000000"/>
          <w:szCs w:val="24"/>
        </w:rPr>
      </w:pPr>
    </w:p>
    <w:p w:rsidR="00A10DB1" w:rsidRPr="00A10DB1" w:rsidRDefault="00A10DB1" w:rsidP="00A10DB1">
      <w:pPr>
        <w:spacing w:after="160" w:line="259" w:lineRule="auto"/>
        <w:contextualSpacing w:val="0"/>
        <w:rPr>
          <w:rFonts w:ascii="Times New Roman" w:hAnsi="Times New Roman"/>
          <w:b/>
          <w:color w:val="000000"/>
          <w:szCs w:val="24"/>
        </w:rPr>
      </w:pPr>
      <w:r w:rsidRPr="00A10DB1">
        <w:rPr>
          <w:rFonts w:ascii="Times New Roman" w:hAnsi="Times New Roman"/>
          <w:b/>
          <w:color w:val="000000"/>
          <w:szCs w:val="24"/>
        </w:rPr>
        <w:t>Appendix 3: GI protection</w:t>
      </w:r>
    </w:p>
    <w:p w:rsidR="00A10DB1" w:rsidRPr="00A10DB1" w:rsidRDefault="00A10DB1" w:rsidP="00A10DB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A10DB1">
        <w:rPr>
          <w:rFonts w:ascii="Times New Roman" w:hAnsi="Times New Roman"/>
          <w:color w:val="000000"/>
          <w:szCs w:val="24"/>
          <w:shd w:val="clear" w:color="auto" w:fill="FFFFFF"/>
        </w:rPr>
        <w:t>The following table shows the average protection in our dataset overall all PTAs per selected entity:</w:t>
      </w:r>
    </w:p>
    <w:p w:rsidR="00A10DB1" w:rsidRPr="00A10DB1" w:rsidRDefault="00A10DB1" w:rsidP="00A10DB1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2"/>
        <w:gridCol w:w="921"/>
        <w:gridCol w:w="921"/>
        <w:gridCol w:w="921"/>
        <w:gridCol w:w="922"/>
      </w:tblGrid>
      <w:tr w:rsidR="00A10DB1" w:rsidRPr="00A10DB1" w:rsidTr="004F2C9D">
        <w:trPr>
          <w:trHeight w:val="300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GI TRIPs-plus Variables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US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JP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EU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EFTA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Sum TRIPs-plus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31.3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9.1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7.7</w:t>
            </w:r>
          </w:p>
        </w:tc>
        <w:tc>
          <w:tcPr>
            <w:tcW w:w="92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6.6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Sum TRIPs-plus GIs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0.8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1.5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Sum TRIPs-plus Gis/ Sum TRIPs-plus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0.2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GI scope agricultural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0.7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GI scope non agricultural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0.7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GI registered names generic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GI extent delocalizers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GI extent translations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GI extent homonymous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GI country name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0.2</w:t>
            </w:r>
          </w:p>
        </w:tc>
      </w:tr>
      <w:tr w:rsidR="00A10DB1" w:rsidRPr="00A10DB1" w:rsidTr="004F2C9D">
        <w:trPr>
          <w:trHeight w:val="300"/>
        </w:trPr>
        <w:tc>
          <w:tcPr>
            <w:tcW w:w="428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GI list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0.3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A10DB1" w:rsidRPr="00A10DB1" w:rsidRDefault="00A10DB1" w:rsidP="004F2C9D">
            <w:pPr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10D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0.0</w:t>
            </w:r>
          </w:p>
        </w:tc>
      </w:tr>
    </w:tbl>
    <w:p w:rsidR="00A10DB1" w:rsidRPr="00A10DB1" w:rsidRDefault="00A10DB1" w:rsidP="00A10DB1">
      <w:pPr>
        <w:rPr>
          <w:rFonts w:ascii="Times New Roman" w:hAnsi="Times New Roman"/>
          <w:szCs w:val="24"/>
        </w:rPr>
      </w:pPr>
    </w:p>
    <w:p w:rsidR="0042455C" w:rsidRPr="005A3177" w:rsidRDefault="0042455C" w:rsidP="0042455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sectPr w:rsidR="0042455C" w:rsidRPr="005A3177" w:rsidSect="007242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33" w:rsidRDefault="006F7133">
      <w:r>
        <w:separator/>
      </w:r>
    </w:p>
  </w:endnote>
  <w:endnote w:type="continuationSeparator" w:id="0">
    <w:p w:rsidR="006F7133" w:rsidRDefault="006F7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33" w:rsidRDefault="006F7133">
      <w:r>
        <w:separator/>
      </w:r>
    </w:p>
  </w:footnote>
  <w:footnote w:type="continuationSeparator" w:id="0">
    <w:p w:rsidR="006F7133" w:rsidRDefault="006F713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FM">
    <w15:presenceInfo w15:providerId="None" w15:userId="JF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55C"/>
    <w:rsid w:val="0042455C"/>
    <w:rsid w:val="00443609"/>
    <w:rsid w:val="004F2C9D"/>
    <w:rsid w:val="00682CB4"/>
    <w:rsid w:val="006F7133"/>
    <w:rsid w:val="00724286"/>
    <w:rsid w:val="007A7725"/>
    <w:rsid w:val="00981A4E"/>
    <w:rsid w:val="00A10DB1"/>
    <w:rsid w:val="00BE3803"/>
    <w:rsid w:val="00D70E77"/>
    <w:rsid w:val="00E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5C"/>
    <w:pPr>
      <w:spacing w:after="0" w:line="240" w:lineRule="auto"/>
      <w:contextualSpacing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55C"/>
    <w:rPr>
      <w:rFonts w:ascii="Calibri" w:eastAsia="Calibri" w:hAnsi="Calibri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55C"/>
    <w:rPr>
      <w:rFonts w:ascii="Calibri" w:eastAsia="Calibri" w:hAnsi="Calibri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25"/>
    <w:rPr>
      <w:rFonts w:ascii="Lucida Grande" w:eastAsia="Calibri" w:hAnsi="Lucida Grande" w:cs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5C"/>
    <w:pPr>
      <w:spacing w:after="0" w:line="240" w:lineRule="auto"/>
      <w:contextualSpacing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55C"/>
    <w:rPr>
      <w:rFonts w:ascii="Calibri" w:eastAsia="Calibri" w:hAnsi="Calibri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55C"/>
    <w:rPr>
      <w:rFonts w:ascii="Calibri" w:eastAsia="Calibri" w:hAnsi="Calibri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25"/>
    <w:rPr>
      <w:rFonts w:ascii="Lucida Grande" w:eastAsia="Calibri" w:hAnsi="Lucida Grande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1/relationships/people" Target="peop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JFM</dc:creator>
  <cp:lastModifiedBy>Laptop2</cp:lastModifiedBy>
  <cp:revision>2</cp:revision>
  <dcterms:created xsi:type="dcterms:W3CDTF">2018-12-29T23:24:00Z</dcterms:created>
  <dcterms:modified xsi:type="dcterms:W3CDTF">2018-12-29T23:24:00Z</dcterms:modified>
</cp:coreProperties>
</file>