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510C2" w14:textId="77777777" w:rsidR="00DF1C37" w:rsidRPr="00B76D3B" w:rsidRDefault="00DF1C37" w:rsidP="00DF1C37">
      <w:pPr>
        <w:rPr>
          <w:b/>
          <w:bCs/>
        </w:rPr>
      </w:pPr>
      <w:bookmarkStart w:id="0" w:name="_GoBack"/>
      <w:bookmarkEnd w:id="0"/>
      <w:r w:rsidRPr="00B76D3B">
        <w:rPr>
          <w:b/>
          <w:bCs/>
        </w:rPr>
        <w:t>Table A1 Structure of cooperative public finance</w:t>
      </w:r>
    </w:p>
    <w:p w14:paraId="6B10A3D0" w14:textId="7A7B849E" w:rsidR="00E756D7" w:rsidRDefault="00472C23">
      <w:r>
        <w:rPr>
          <w:noProof/>
          <w:lang w:eastAsia="en-GB"/>
        </w:rPr>
        <w:drawing>
          <wp:inline distT="0" distB="0" distL="0" distR="0" wp14:anchorId="571B0F5F" wp14:editId="325433FF">
            <wp:extent cx="9264770" cy="33653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4551" cy="3368915"/>
                    </a:xfrm>
                    <a:prstGeom prst="rect">
                      <a:avLst/>
                    </a:prstGeom>
                    <a:noFill/>
                  </pic:spPr>
                </pic:pic>
              </a:graphicData>
            </a:graphic>
          </wp:inline>
        </w:drawing>
      </w:r>
    </w:p>
    <w:p w14:paraId="0638D401" w14:textId="0DC8FA57" w:rsidR="00DF1C37" w:rsidRPr="00DF1C37" w:rsidRDefault="00DF1C37" w:rsidP="00DF1C37">
      <w:r w:rsidRPr="00DF1C37">
        <w:rPr>
          <w:b/>
          <w:bCs/>
        </w:rPr>
        <w:t xml:space="preserve">Globalisation 1 (G1) covers the first phase of contemporary globalisation from mid 1970s till around 2000, whereas Globalisation 2 (G2) covers the period </w:t>
      </w:r>
      <w:r w:rsidR="00472C23">
        <w:rPr>
          <w:b/>
          <w:bCs/>
        </w:rPr>
        <w:t>t</w:t>
      </w:r>
      <w:r w:rsidRPr="00DF1C37">
        <w:rPr>
          <w:b/>
          <w:bCs/>
        </w:rPr>
        <w:t xml:space="preserve">hereafter. </w:t>
      </w:r>
      <w:r w:rsidRPr="00DF1C37">
        <w:t xml:space="preserve">The scores are used to better visually represent and compare the slowly changing structure of public finance, and the relative position of countries in inter-temporal terms. </w:t>
      </w:r>
    </w:p>
    <w:p w14:paraId="4D29EB8D" w14:textId="77777777" w:rsidR="00DF1C37" w:rsidRPr="00DF1C37" w:rsidRDefault="00DF1C37" w:rsidP="00DF1C37">
      <w:r w:rsidRPr="00DF1C37">
        <w:rPr>
          <w:b/>
          <w:bCs/>
          <w:lang w:val="en-US"/>
        </w:rPr>
        <w:t xml:space="preserve">Column 5: </w:t>
      </w:r>
      <w:r w:rsidRPr="00DF1C37">
        <w:rPr>
          <w:b/>
          <w:bCs/>
        </w:rPr>
        <w:t>Total Tax Revenue as % of GDP, earlier year as 100.</w:t>
      </w:r>
      <w:r w:rsidRPr="00DF1C37">
        <w:rPr>
          <w:b/>
          <w:bCs/>
          <w:lang w:val="en-US"/>
        </w:rPr>
        <w:t xml:space="preserve"> Column 6-8: a: Top marginal tax rate, b: Multiple of average wage where sets in. </w:t>
      </w:r>
    </w:p>
    <w:p w14:paraId="5C3E5B1C" w14:textId="77777777" w:rsidR="00DF1C37" w:rsidRPr="00DF1C37" w:rsidRDefault="00DF1C37" w:rsidP="00DF1C37">
      <w:r w:rsidRPr="00DF1C37">
        <w:rPr>
          <w:b/>
          <w:bCs/>
          <w:lang w:val="en-US"/>
        </w:rPr>
        <w:t xml:space="preserve">Column 9: Top marginal tax rates 2000-2015, 2000 as 100.   Column 10:  a: </w:t>
      </w:r>
      <w:r w:rsidRPr="00DF1C37">
        <w:rPr>
          <w:b/>
          <w:bCs/>
          <w:lang w:val="pt-BR"/>
        </w:rPr>
        <w:t>(4*3)+(5b)+(8a*3)+(9)</w:t>
      </w:r>
      <w:r w:rsidRPr="00DF1C37">
        <w:rPr>
          <w:b/>
          <w:bCs/>
          <w:lang w:val="en-US"/>
        </w:rPr>
        <w:t xml:space="preserve">, b: </w:t>
      </w:r>
      <w:r w:rsidRPr="00DF1C37">
        <w:rPr>
          <w:b/>
          <w:bCs/>
          <w:lang w:val="pt-BR"/>
        </w:rPr>
        <w:t xml:space="preserve">(4*3)+(5b)+(8a*3)-(8b*3)+(9). </w:t>
      </w:r>
    </w:p>
    <w:p w14:paraId="5F3A27AC" w14:textId="77777777" w:rsidR="00DF1C37" w:rsidRPr="00DF1C37" w:rsidRDefault="00DF1C37" w:rsidP="00DF1C37">
      <w:r w:rsidRPr="00DF1C37">
        <w:rPr>
          <w:b/>
          <w:bCs/>
          <w:lang w:val="pt-BR"/>
        </w:rPr>
        <w:t xml:space="preserve">Column 11: </w:t>
      </w:r>
      <w:r w:rsidRPr="00DF1C37">
        <w:rPr>
          <w:b/>
          <w:bCs/>
        </w:rPr>
        <w:t>Corporate Income Tax on Distributed Profits</w:t>
      </w:r>
      <w:r w:rsidRPr="00DF1C37">
        <w:rPr>
          <w:b/>
          <w:bCs/>
          <w:lang w:val="pt-BR"/>
        </w:rPr>
        <w:t xml:space="preserve">. Column 12: </w:t>
      </w:r>
      <w:r w:rsidRPr="00DF1C37">
        <w:rPr>
          <w:b/>
          <w:bCs/>
        </w:rPr>
        <w:t xml:space="preserve">Net Statutory Tax Rates on Dividend  Income (Shareholder).  </w:t>
      </w:r>
    </w:p>
    <w:p w14:paraId="5510DDE8" w14:textId="537BBC2A" w:rsidR="00DF1C37" w:rsidRPr="00DF1C37" w:rsidRDefault="00DF1C37" w:rsidP="00371461">
      <w:r w:rsidRPr="00DF1C37">
        <w:rPr>
          <w:b/>
          <w:bCs/>
        </w:rPr>
        <w:t xml:space="preserve">Column 13: Overall Personal Income Tax and Corporate Income </w:t>
      </w:r>
      <w:r w:rsidR="00371461">
        <w:rPr>
          <w:b/>
          <w:bCs/>
        </w:rPr>
        <w:t>Tax</w:t>
      </w:r>
      <w:r w:rsidR="00371461" w:rsidRPr="00DF1C37">
        <w:rPr>
          <w:b/>
          <w:bCs/>
        </w:rPr>
        <w:t xml:space="preserve"> </w:t>
      </w:r>
      <w:r w:rsidRPr="00DF1C37">
        <w:rPr>
          <w:b/>
          <w:bCs/>
        </w:rPr>
        <w:t xml:space="preserve">Rates on Dividend Income. Column 16: Corporate Tax Rev as % of GDP </w:t>
      </w:r>
    </w:p>
    <w:p w14:paraId="49B0BE82" w14:textId="77777777" w:rsidR="000D49FB" w:rsidRPr="000D49FB" w:rsidRDefault="000D49FB" w:rsidP="0096401B">
      <w:r w:rsidRPr="000D49FB">
        <w:rPr>
          <w:b/>
          <w:bCs/>
        </w:rPr>
        <w:lastRenderedPageBreak/>
        <w:t>Index calculations and Sources for Table A1</w:t>
      </w:r>
    </w:p>
    <w:p w14:paraId="1C896CFA" w14:textId="77777777" w:rsidR="000D49FB" w:rsidRPr="001C0A91" w:rsidRDefault="000D49FB" w:rsidP="000D49FB">
      <w:r w:rsidRPr="001C0A91">
        <w:rPr>
          <w:bCs/>
        </w:rPr>
        <w:t xml:space="preserve">Public revenue index score (column 17): </w:t>
      </w:r>
    </w:p>
    <w:p w14:paraId="5F266DF0" w14:textId="77777777" w:rsidR="000D49FB" w:rsidRPr="001C0A91" w:rsidRDefault="000D49FB" w:rsidP="000D49FB">
      <w:r w:rsidRPr="001C0A91">
        <w:rPr>
          <w:bCs/>
        </w:rPr>
        <w:t>Globalisation 1 (G1): (2(*4)) + (5a/10) + (</w:t>
      </w:r>
      <w:proofErr w:type="gramStart"/>
      <w:r w:rsidRPr="001C0A91">
        <w:rPr>
          <w:bCs/>
        </w:rPr>
        <w:t>6a(</w:t>
      </w:r>
      <w:proofErr w:type="gramEnd"/>
      <w:r w:rsidRPr="001C0A91">
        <w:rPr>
          <w:bCs/>
        </w:rPr>
        <w:t xml:space="preserve">*2)) -  (6b*10)) + (13a*2) + (14c) + (15d*2) + (16a/20). </w:t>
      </w:r>
    </w:p>
    <w:p w14:paraId="3301CF88" w14:textId="703C50A3" w:rsidR="00537565" w:rsidRPr="001C0A91" w:rsidRDefault="000D49FB">
      <w:r w:rsidRPr="001C0A91">
        <w:rPr>
          <w:bCs/>
        </w:rPr>
        <w:t>Globalisation 2 (G2):  (4(*4)) + (5b/10) + (</w:t>
      </w:r>
      <w:proofErr w:type="gramStart"/>
      <w:r w:rsidRPr="001C0A91">
        <w:rPr>
          <w:bCs/>
        </w:rPr>
        <w:t>8a(</w:t>
      </w:r>
      <w:proofErr w:type="gramEnd"/>
      <w:r w:rsidRPr="001C0A91">
        <w:rPr>
          <w:bCs/>
        </w:rPr>
        <w:t>*2)) -  (8b*10)) + (13c*2) + (14f) + (15f*2) + (16b/20).</w:t>
      </w:r>
      <w:r w:rsidR="00472C23" w:rsidRPr="001C0A91">
        <w:t xml:space="preserve"> </w:t>
      </w:r>
    </w:p>
    <w:tbl>
      <w:tblPr>
        <w:tblW w:w="14700" w:type="dxa"/>
        <w:tblCellMar>
          <w:left w:w="0" w:type="dxa"/>
          <w:right w:w="0" w:type="dxa"/>
        </w:tblCellMar>
        <w:tblLook w:val="0600" w:firstRow="0" w:lastRow="0" w:firstColumn="0" w:lastColumn="0" w:noHBand="1" w:noVBand="1"/>
      </w:tblPr>
      <w:tblGrid>
        <w:gridCol w:w="1119"/>
        <w:gridCol w:w="13581"/>
      </w:tblGrid>
      <w:tr w:rsidR="00472C23" w:rsidRPr="00472C23" w14:paraId="6B6F9854" w14:textId="77777777" w:rsidTr="00472C23">
        <w:trPr>
          <w:trHeight w:val="1927"/>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013BDC19" w14:textId="77777777" w:rsidR="00D94236" w:rsidRPr="00472C23" w:rsidRDefault="00472C23" w:rsidP="00472C23">
            <w:r w:rsidRPr="00472C23">
              <w:t>Columns 1-4</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707758A3" w14:textId="1BEB87D6" w:rsidR="00472C23" w:rsidRPr="00472C23" w:rsidRDefault="00472C23" w:rsidP="00472C23">
            <w:r w:rsidRPr="00472C23">
              <w:t xml:space="preserve">OECD </w:t>
            </w:r>
            <w:r w:rsidR="000D2113">
              <w:t xml:space="preserve">(2016c) </w:t>
            </w:r>
            <w:r w:rsidRPr="00472C23">
              <w:t xml:space="preserve">Tax Revenue Statistics, Comparative Table of OECD Countries (Total Tax Revenue as a percentage of GDP) (Accessed 2017) https://stats.oecd.org/Index.aspx?DataSetCode=REV </w:t>
            </w:r>
          </w:p>
          <w:p w14:paraId="2D904FD7" w14:textId="74080BA5" w:rsidR="00D94236" w:rsidRPr="00472C23" w:rsidRDefault="008D34FC" w:rsidP="00472C23">
            <w:pPr>
              <w:numPr>
                <w:ilvl w:val="0"/>
                <w:numId w:val="3"/>
              </w:numPr>
            </w:pPr>
            <w:r w:rsidRPr="00472C23">
              <w:t>The figures for Eastern European countries, which only became market-governed economies after the end of the Cold War in the late 1980s, are based on the 1991 figure for Hungary and Poland, and 1993 for the Czech Republic, and 1995 for the Slovak Republic. The earliest available figure for Mexico is 1980.</w:t>
            </w:r>
          </w:p>
          <w:p w14:paraId="1453BC68" w14:textId="73B3B731" w:rsidR="00D94236" w:rsidRPr="00472C23" w:rsidRDefault="008D34FC" w:rsidP="00472C23">
            <w:pPr>
              <w:numPr>
                <w:ilvl w:val="0"/>
                <w:numId w:val="3"/>
              </w:numPr>
            </w:pPr>
            <w:r w:rsidRPr="00472C23">
              <w:t>For Poland, Japan and Australia the 2015 figure is really 2014 because 2015 not available. For Mexico (16) I use the trend from 2010-2015, as previous figures are not available</w:t>
            </w:r>
          </w:p>
        </w:tc>
      </w:tr>
      <w:tr w:rsidR="00472C23" w:rsidRPr="00472C23" w14:paraId="40986E13" w14:textId="77777777" w:rsidTr="00472C23">
        <w:trPr>
          <w:trHeight w:val="427"/>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3333B159" w14:textId="77777777" w:rsidR="00472C23" w:rsidRPr="00472C23" w:rsidRDefault="00472C23" w:rsidP="00472C23"/>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61276D49" w14:textId="77777777" w:rsidR="00D94236" w:rsidRPr="00472C23" w:rsidRDefault="00472C23" w:rsidP="00472C23">
            <w:r w:rsidRPr="00472C23">
              <w:t>*Poland, Australia &amp; Japan scores as 2014</w:t>
            </w:r>
          </w:p>
        </w:tc>
      </w:tr>
      <w:tr w:rsidR="00472C23" w:rsidRPr="00472C23" w14:paraId="333BD965" w14:textId="77777777" w:rsidTr="00472C23">
        <w:trPr>
          <w:trHeight w:val="570"/>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32C39F9A" w14:textId="77777777" w:rsidR="00D94236" w:rsidRPr="00472C23" w:rsidRDefault="00472C23" w:rsidP="00472C23">
            <w:r w:rsidRPr="00472C23">
              <w:t>Columns 6-8</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15CEA27A" w14:textId="73F082CA" w:rsidR="00D94236" w:rsidRPr="00472C23" w:rsidRDefault="00472C23" w:rsidP="00472C23">
            <w:proofErr w:type="gramStart"/>
            <w:r w:rsidRPr="00472C23">
              <w:t xml:space="preserve">OECD </w:t>
            </w:r>
            <w:r w:rsidR="000D2113">
              <w:t xml:space="preserve"> (</w:t>
            </w:r>
            <w:proofErr w:type="gramEnd"/>
            <w:r w:rsidR="000D2113">
              <w:t xml:space="preserve">2016c) </w:t>
            </w:r>
            <w:r w:rsidRPr="00472C23">
              <w:t>Table I.7. Top Statutory Personal Income Tax Rate and Top Marginal Tax Rates for Employees, http://stats.oecd.org/index.aspx?DataSetCode=TABLE_I7</w:t>
            </w:r>
          </w:p>
        </w:tc>
      </w:tr>
      <w:tr w:rsidR="00472C23" w:rsidRPr="00472C23" w14:paraId="7AD2D250" w14:textId="77777777" w:rsidTr="00472C23">
        <w:trPr>
          <w:trHeight w:val="427"/>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1A0FBE94" w14:textId="77777777" w:rsidR="00472C23" w:rsidRPr="00472C23" w:rsidRDefault="00472C23" w:rsidP="00472C23"/>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690EE0CC" w14:textId="77777777" w:rsidR="00D94236" w:rsidRPr="00472C23" w:rsidRDefault="00472C23" w:rsidP="00472C23">
            <w:r w:rsidRPr="00472C23">
              <w:t>a) Personal Income Tax &amp; Employee Social Security Contributions (All-In Rate),</w:t>
            </w:r>
          </w:p>
        </w:tc>
      </w:tr>
      <w:tr w:rsidR="00472C23" w:rsidRPr="00472C23" w14:paraId="01439075" w14:textId="77777777" w:rsidTr="00472C23">
        <w:trPr>
          <w:trHeight w:val="427"/>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04DB4FF6" w14:textId="77777777" w:rsidR="00472C23" w:rsidRPr="00472C23" w:rsidRDefault="00472C23" w:rsidP="00472C23"/>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6C973E72" w14:textId="77777777" w:rsidR="00D94236" w:rsidRPr="00472C23" w:rsidRDefault="00472C23" w:rsidP="00472C23">
            <w:r w:rsidRPr="00472C23">
              <w:t>b) Threshold (expressed as a multiple of the average wage) (Accessed 2016).</w:t>
            </w:r>
          </w:p>
        </w:tc>
      </w:tr>
      <w:tr w:rsidR="00472C23" w:rsidRPr="00472C23" w14:paraId="4A6EE6C2" w14:textId="77777777" w:rsidTr="00472C23">
        <w:trPr>
          <w:trHeight w:val="995"/>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1809817E" w14:textId="77777777" w:rsidR="00D94236" w:rsidRPr="00472C23" w:rsidRDefault="00472C23" w:rsidP="00472C23">
            <w:r w:rsidRPr="00472C23">
              <w:t>Column 11</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3FB97FF6" w14:textId="2F9FD4FB" w:rsidR="00D94236" w:rsidRPr="00472C23" w:rsidRDefault="00472C23" w:rsidP="00472C23">
            <w:r w:rsidRPr="00472C23">
              <w:t xml:space="preserve">OECD </w:t>
            </w:r>
            <w:r w:rsidR="000D2113">
              <w:t xml:space="preserve">(2016c) </w:t>
            </w:r>
            <w:r w:rsidRPr="00472C23">
              <w:t xml:space="preserve">Table II.4. Overall Statutory Tax Rates on Dividend Income (CIT Rate on Distributed Profit, expressed as a percentage) (2016) https://stats.oecd.org/Index.aspx?DataSetCode=TABLE_II4 </w:t>
            </w:r>
          </w:p>
        </w:tc>
      </w:tr>
      <w:tr w:rsidR="00472C23" w:rsidRPr="00472C23" w14:paraId="5A11958B" w14:textId="77777777" w:rsidTr="00472C23">
        <w:trPr>
          <w:trHeight w:val="812"/>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1B976F4E" w14:textId="77777777" w:rsidR="00D94236" w:rsidRPr="00472C23" w:rsidRDefault="00472C23" w:rsidP="00472C23">
            <w:r w:rsidRPr="00472C23">
              <w:lastRenderedPageBreak/>
              <w:t>Column 12</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1B95BA1C" w14:textId="18F451FA" w:rsidR="00D94236" w:rsidRPr="00472C23" w:rsidRDefault="00472C23" w:rsidP="00472C23">
            <w:r w:rsidRPr="00472C23">
              <w:t xml:space="preserve">OECD </w:t>
            </w:r>
            <w:r w:rsidR="000D2113">
              <w:t xml:space="preserve">(2016c) </w:t>
            </w:r>
            <w:r w:rsidRPr="00472C23">
              <w:t xml:space="preserve">Table II.4. Overall Statutory Tax Rates on Dividend Income (Net Personal Tax - the net top statutory rate to be paid at the shareholder level, taking account of all types of reliefs and gross-up provisions at the shareholder level -, expressed as a percentage) (2016) https://stats.oecd.org/Index.aspx?DataSetCode=TABLE_II4 </w:t>
            </w:r>
          </w:p>
        </w:tc>
      </w:tr>
      <w:tr w:rsidR="00472C23" w:rsidRPr="00472C23" w14:paraId="47C142BF" w14:textId="77777777" w:rsidTr="00472C23">
        <w:trPr>
          <w:trHeight w:val="851"/>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6FA2D95F" w14:textId="77777777" w:rsidR="00D94236" w:rsidRPr="00472C23" w:rsidRDefault="00472C23" w:rsidP="00472C23">
            <w:r w:rsidRPr="00472C23">
              <w:t>Column 13</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557A1695" w14:textId="618AFBC7" w:rsidR="00D94236" w:rsidRPr="00472C23" w:rsidRDefault="00472C23" w:rsidP="00472C23">
            <w:r w:rsidRPr="00472C23">
              <w:t>OECD</w:t>
            </w:r>
            <w:r w:rsidR="000D2113">
              <w:t xml:space="preserve"> (2016c)</w:t>
            </w:r>
            <w:r w:rsidRPr="00472C23">
              <w:t xml:space="preserve"> Table II.4. Overall Statutory Tax Rates on Dividend Income (Overall PIT + CIT Rate, expressed as a percentage) (2016) https://stats.oecd.org/Index.aspx?DataSetCode=TABLE_II4 </w:t>
            </w:r>
          </w:p>
        </w:tc>
      </w:tr>
      <w:tr w:rsidR="00472C23" w:rsidRPr="00472C23" w14:paraId="6F541515" w14:textId="77777777" w:rsidTr="00472C23">
        <w:trPr>
          <w:trHeight w:val="570"/>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5C2A7373" w14:textId="77777777" w:rsidR="00D94236" w:rsidRPr="00472C23" w:rsidRDefault="00472C23" w:rsidP="00472C23">
            <w:r w:rsidRPr="00472C23">
              <w:t>Column 14</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639BE95A" w14:textId="25A276EB" w:rsidR="00D94236" w:rsidRPr="00472C23" w:rsidRDefault="00472C23" w:rsidP="00472C23">
            <w:r w:rsidRPr="00472C23">
              <w:t>OECD</w:t>
            </w:r>
            <w:r w:rsidR="000D2113">
              <w:t xml:space="preserve"> (2016c)</w:t>
            </w:r>
            <w:r w:rsidRPr="00472C23">
              <w:t xml:space="preserve"> Table II.1. Corporate Income Tax Rate (2016) https://stats.oecd.org/Index.aspx?DataSetCode=TABLE_II1 </w:t>
            </w:r>
          </w:p>
        </w:tc>
      </w:tr>
      <w:tr w:rsidR="00472C23" w:rsidRPr="00472C23" w14:paraId="41E8E24A" w14:textId="77777777" w:rsidTr="00472C23">
        <w:trPr>
          <w:trHeight w:val="1414"/>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07B9BC58" w14:textId="77777777" w:rsidR="00D94236" w:rsidRPr="00472C23" w:rsidRDefault="00472C23" w:rsidP="00472C23">
            <w:r w:rsidRPr="00472C23">
              <w:t>Column 15</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7B7B3D3A" w14:textId="390D49B2" w:rsidR="00D94236" w:rsidRPr="00472C23" w:rsidRDefault="00472C23" w:rsidP="00472C23">
            <w:r w:rsidRPr="00472C23">
              <w:t xml:space="preserve">OECD </w:t>
            </w:r>
            <w:r w:rsidR="000D2113">
              <w:t xml:space="preserve">(2016c) </w:t>
            </w:r>
            <w:r w:rsidRPr="00472C23">
              <w:t xml:space="preserve">Tax Revenue Statistics, Comparative Table of OECD Countries (Tax Revenue as a percentage of GDP on the taxes on income, profits &amp; capital gains of corporates) (2015) (Accessed 2017)  https://stats.oecd.org/Index.aspx?DataSetCode=REV </w:t>
            </w:r>
            <w:r w:rsidRPr="00472C23">
              <w:br/>
              <w:t>(15) The figures for Eastern European countries, which only became market-governed economies after the end of the Cold War in the late 1980s, are based on the 1991 figure for Hungary and Poland, and 1993 for the Czech Republic, and 1995 for the Slovak Republic. The earliest available figure for Mexico is 2002 and is reproduce here. * Poland as 2014</w:t>
            </w:r>
          </w:p>
        </w:tc>
      </w:tr>
      <w:tr w:rsidR="00472C23" w:rsidRPr="00472C23" w14:paraId="77648871" w14:textId="77777777" w:rsidTr="00472C23">
        <w:trPr>
          <w:trHeight w:val="427"/>
        </w:trPr>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1E3E136A" w14:textId="77777777" w:rsidR="00D94236" w:rsidRPr="00472C23" w:rsidRDefault="00472C23" w:rsidP="00472C23">
            <w:r w:rsidRPr="00472C23">
              <w:t>Column 16</w:t>
            </w:r>
          </w:p>
        </w:tc>
        <w:tc>
          <w:tcPr>
            <w:tcW w:w="13600" w:type="dxa"/>
            <w:tcBorders>
              <w:top w:val="single" w:sz="8" w:space="0" w:color="FFFFFF"/>
              <w:left w:val="single" w:sz="8" w:space="0" w:color="FFFFFF"/>
              <w:bottom w:val="single" w:sz="8" w:space="0" w:color="FFFFFF"/>
              <w:right w:val="single" w:sz="8" w:space="0" w:color="FFFFFF"/>
            </w:tcBorders>
            <w:shd w:val="clear" w:color="auto" w:fill="E9EDF4"/>
            <w:tcMar>
              <w:top w:w="8" w:type="dxa"/>
              <w:left w:w="8" w:type="dxa"/>
              <w:bottom w:w="0" w:type="dxa"/>
              <w:right w:w="8" w:type="dxa"/>
            </w:tcMar>
            <w:vAlign w:val="bottom"/>
            <w:hideMark/>
          </w:tcPr>
          <w:p w14:paraId="4E7B9DE0" w14:textId="77777777" w:rsidR="00D94236" w:rsidRPr="00472C23" w:rsidRDefault="00472C23" w:rsidP="00472C23">
            <w:r w:rsidRPr="00472C23">
              <w:t>* Trend adjusted to 1995 as data too sparse for earlier years</w:t>
            </w:r>
          </w:p>
        </w:tc>
      </w:tr>
    </w:tbl>
    <w:p w14:paraId="678362A1" w14:textId="66D350BB" w:rsidR="00537565" w:rsidRDefault="00472C23">
      <w:r w:rsidRPr="00472C23">
        <w:t xml:space="preserve"> </w:t>
      </w:r>
      <w:r w:rsidR="00537565">
        <w:br w:type="page"/>
      </w:r>
    </w:p>
    <w:p w14:paraId="366BAC9B" w14:textId="77777777" w:rsidR="00537565" w:rsidRPr="00537565" w:rsidRDefault="00537565" w:rsidP="00537565">
      <w:r>
        <w:rPr>
          <w:b/>
          <w:bCs/>
        </w:rPr>
        <w:t>Table A2</w:t>
      </w:r>
      <w:r w:rsidRPr="00537565">
        <w:rPr>
          <w:b/>
          <w:bCs/>
        </w:rPr>
        <w:t xml:space="preserve"> Public spending on human development</w:t>
      </w:r>
    </w:p>
    <w:p w14:paraId="5BC98249" w14:textId="210F3728" w:rsidR="000D49FB" w:rsidRDefault="000C2D40">
      <w:r>
        <w:rPr>
          <w:noProof/>
          <w:lang w:eastAsia="en-GB"/>
        </w:rPr>
        <w:drawing>
          <wp:inline distT="0" distB="0" distL="0" distR="0" wp14:anchorId="154F7559" wp14:editId="1DBAF3F6">
            <wp:extent cx="9431079" cy="382470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0646" cy="3828589"/>
                    </a:xfrm>
                    <a:prstGeom prst="rect">
                      <a:avLst/>
                    </a:prstGeom>
                    <a:noFill/>
                  </pic:spPr>
                </pic:pic>
              </a:graphicData>
            </a:graphic>
          </wp:inline>
        </w:drawing>
      </w:r>
    </w:p>
    <w:p w14:paraId="5C980B67" w14:textId="77777777" w:rsidR="00537565" w:rsidRPr="00537565" w:rsidRDefault="00537565" w:rsidP="00537565">
      <w:r w:rsidRPr="00537565">
        <w:rPr>
          <w:b/>
          <w:bCs/>
        </w:rPr>
        <w:t>Globalisation 1 covers the first phase of contemporary globalisation from mid 1970s till around 2000, whereas Globalisation 2 covers the period thereafter</w:t>
      </w:r>
      <w:r w:rsidRPr="00537565">
        <w:t xml:space="preserve">. </w:t>
      </w:r>
    </w:p>
    <w:p w14:paraId="05E01B8D" w14:textId="77777777" w:rsidR="000C2D40" w:rsidRDefault="000C2D40">
      <w:pPr>
        <w:rPr>
          <w:b/>
          <w:bCs/>
        </w:rPr>
      </w:pPr>
      <w:r>
        <w:rPr>
          <w:b/>
          <w:bCs/>
        </w:rPr>
        <w:br w:type="page"/>
      </w:r>
    </w:p>
    <w:p w14:paraId="7DABFA29" w14:textId="282DF36B" w:rsidR="00383811" w:rsidRPr="00383811" w:rsidRDefault="00383811" w:rsidP="00383811">
      <w:pPr>
        <w:rPr>
          <w:b/>
          <w:bCs/>
        </w:rPr>
      </w:pPr>
      <w:r w:rsidRPr="00383811">
        <w:rPr>
          <w:b/>
          <w:bCs/>
        </w:rPr>
        <w:t>Index calculations and Sources for Table A2</w:t>
      </w:r>
    </w:p>
    <w:p w14:paraId="49A8F466" w14:textId="77777777" w:rsidR="00383811" w:rsidRPr="00383811" w:rsidRDefault="00383811" w:rsidP="00383811">
      <w:pPr>
        <w:rPr>
          <w:bCs/>
        </w:rPr>
      </w:pPr>
      <w:r w:rsidRPr="00383811">
        <w:rPr>
          <w:bCs/>
        </w:rPr>
        <w:t xml:space="preserve">1S score General public and social expenditure: </w:t>
      </w:r>
    </w:p>
    <w:p w14:paraId="71B4D07B" w14:textId="77777777" w:rsidR="00383811" w:rsidRPr="00383811" w:rsidRDefault="00383811" w:rsidP="00383811">
      <w:pPr>
        <w:rPr>
          <w:bCs/>
        </w:rPr>
      </w:pPr>
      <w:proofErr w:type="gramStart"/>
      <w:r w:rsidRPr="00383811">
        <w:rPr>
          <w:bCs/>
        </w:rPr>
        <w:t>Globalisation  1</w:t>
      </w:r>
      <w:proofErr w:type="gramEnd"/>
      <w:r w:rsidRPr="00383811">
        <w:rPr>
          <w:bCs/>
        </w:rPr>
        <w:t xml:space="preserve"> (G1): (Ad*4)+(Ah/10)+(Bb*2)+(</w:t>
      </w:r>
      <w:proofErr w:type="spellStart"/>
      <w:r w:rsidRPr="00383811">
        <w:rPr>
          <w:bCs/>
        </w:rPr>
        <w:t>Bd</w:t>
      </w:r>
      <w:proofErr w:type="spellEnd"/>
      <w:r w:rsidRPr="00383811">
        <w:rPr>
          <w:bCs/>
        </w:rPr>
        <w:t xml:space="preserve">/10), </w:t>
      </w:r>
    </w:p>
    <w:p w14:paraId="049F93E6" w14:textId="77777777" w:rsidR="000C2D40" w:rsidRDefault="00383811" w:rsidP="000C2D40">
      <w:pPr>
        <w:rPr>
          <w:bCs/>
        </w:rPr>
      </w:pPr>
      <w:proofErr w:type="gramStart"/>
      <w:r w:rsidRPr="00383811">
        <w:rPr>
          <w:bCs/>
        </w:rPr>
        <w:t>Globalisation  2</w:t>
      </w:r>
      <w:proofErr w:type="gramEnd"/>
      <w:r w:rsidRPr="00383811">
        <w:rPr>
          <w:bCs/>
        </w:rPr>
        <w:t xml:space="preserve">  (G2): (Ag*4)+(Ah/10)+(</w:t>
      </w:r>
      <w:proofErr w:type="spellStart"/>
      <w:r w:rsidRPr="00383811">
        <w:rPr>
          <w:bCs/>
        </w:rPr>
        <w:t>Bc</w:t>
      </w:r>
      <w:proofErr w:type="spellEnd"/>
      <w:r w:rsidRPr="00383811">
        <w:rPr>
          <w:bCs/>
        </w:rPr>
        <w:t>*2)+(</w:t>
      </w:r>
      <w:proofErr w:type="spellStart"/>
      <w:r w:rsidRPr="00383811">
        <w:rPr>
          <w:bCs/>
        </w:rPr>
        <w:t>Bd</w:t>
      </w:r>
      <w:proofErr w:type="spellEnd"/>
      <w:r w:rsidRPr="00383811">
        <w:rPr>
          <w:bCs/>
        </w:rPr>
        <w:t>/10)</w:t>
      </w:r>
    </w:p>
    <w:tbl>
      <w:tblPr>
        <w:tblW w:w="14600" w:type="dxa"/>
        <w:tblCellMar>
          <w:left w:w="0" w:type="dxa"/>
          <w:right w:w="0" w:type="dxa"/>
        </w:tblCellMar>
        <w:tblLook w:val="0600" w:firstRow="0" w:lastRow="0" w:firstColumn="0" w:lastColumn="0" w:noHBand="1" w:noVBand="1"/>
      </w:tblPr>
      <w:tblGrid>
        <w:gridCol w:w="14600"/>
      </w:tblGrid>
      <w:tr w:rsidR="000C2D40" w:rsidRPr="000C2D40" w14:paraId="68B84AC9" w14:textId="77777777" w:rsidTr="00EF6DC4">
        <w:trPr>
          <w:trHeight w:val="397"/>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5F2A5C5C" w14:textId="77777777" w:rsidR="000C2D40" w:rsidRPr="000C2D40" w:rsidRDefault="000C2D40" w:rsidP="000C2D40">
            <w:r w:rsidRPr="000C2D40">
              <w:t xml:space="preserve">Globalisation 1 covers the first phase of contemporary globalisation from mid 1970s till around 2000, whereas Globalisation 2 covers the period thereafter. Both include the same figure for long term trend in social expenditure since 1990-2014, and in general public expenditure from 2000-2015. The main difference in the two scores in therefore between the 2000 and 2015 figure for general public expenditure in GDP, and the 1990 and 2014 figure in  public social expenditure in GDP.  I used the 2000 data for general public expenditure because it is more complete. Had I used the 1990 figure for </w:t>
            </w:r>
            <w:r w:rsidRPr="000D2113">
              <w:t xml:space="preserve">Graph </w:t>
            </w:r>
            <w:r w:rsidRPr="00EF6DC4">
              <w:rPr>
                <w:bCs/>
              </w:rPr>
              <w:t>2 the trend evidenced in Table A.B.2 of growing divergence would have been even greater. Countries like Japan, France, Denmark and Japan see very large increases in public spending between 1970 and 1990. Anglo-liberal countries see less change over the whole period. Public social spending counties to grow but more so in countries with historically higher levels</w:t>
            </w:r>
          </w:p>
          <w:p w14:paraId="77262D27" w14:textId="77777777" w:rsidR="000C2D40" w:rsidRPr="000C2D40" w:rsidRDefault="000C2D40" w:rsidP="000C2D40">
            <w:r w:rsidRPr="000C2D40">
              <w:t xml:space="preserve">The scores are used to better visually represent and compare the slowly changing structure of public finance, and the relative position of countries in inter-temporal terms. </w:t>
            </w:r>
          </w:p>
          <w:p w14:paraId="0E9F3B6A" w14:textId="77777777" w:rsidR="000C2D40" w:rsidRPr="000C2D40" w:rsidRDefault="000C2D40" w:rsidP="000C2D40">
            <w:r w:rsidRPr="000C2D40">
              <w:rPr>
                <w:b/>
                <w:bCs/>
              </w:rPr>
              <w:t>2S score Education expenditure in GDP and public expenditure</w:t>
            </w:r>
            <w:r w:rsidRPr="000C2D40">
              <w:t>: Globalisation 1 (</w:t>
            </w:r>
            <w:r w:rsidRPr="000C2D40">
              <w:rPr>
                <w:b/>
                <w:bCs/>
              </w:rPr>
              <w:t>Aa*10)+(Ad/20)+(Ba)+(</w:t>
            </w:r>
            <w:proofErr w:type="spellStart"/>
            <w:r w:rsidRPr="000C2D40">
              <w:rPr>
                <w:b/>
                <w:bCs/>
              </w:rPr>
              <w:t>Bd</w:t>
            </w:r>
            <w:proofErr w:type="spellEnd"/>
            <w:r w:rsidRPr="000C2D40">
              <w:rPr>
                <w:b/>
                <w:bCs/>
              </w:rPr>
              <w:t xml:space="preserve">/20), </w:t>
            </w:r>
            <w:r w:rsidRPr="000C2D40">
              <w:t>Globalisation 2 (</w:t>
            </w:r>
            <w:r w:rsidRPr="000C2D40">
              <w:rPr>
                <w:b/>
                <w:bCs/>
              </w:rPr>
              <w:t>Ac*10)+(Ad/20)+(</w:t>
            </w:r>
            <w:proofErr w:type="spellStart"/>
            <w:r w:rsidRPr="000C2D40">
              <w:rPr>
                <w:b/>
                <w:bCs/>
              </w:rPr>
              <w:t>Bc</w:t>
            </w:r>
            <w:proofErr w:type="spellEnd"/>
            <w:r w:rsidRPr="000C2D40">
              <w:rPr>
                <w:b/>
                <w:bCs/>
              </w:rPr>
              <w:t>)+(</w:t>
            </w:r>
            <w:proofErr w:type="spellStart"/>
            <w:r w:rsidRPr="000C2D40">
              <w:rPr>
                <w:b/>
                <w:bCs/>
              </w:rPr>
              <w:t>Bd</w:t>
            </w:r>
            <w:proofErr w:type="spellEnd"/>
            <w:r w:rsidRPr="000C2D40">
              <w:rPr>
                <w:b/>
                <w:bCs/>
              </w:rPr>
              <w:t xml:space="preserve">/20) </w:t>
            </w:r>
          </w:p>
          <w:p w14:paraId="0DB709EF" w14:textId="77777777" w:rsidR="000C2D40" w:rsidRPr="000C2D40" w:rsidRDefault="000C2D40" w:rsidP="000C2D40">
            <w:r w:rsidRPr="000C2D40">
              <w:t>On this score globalisation 1 is indicated by 1995, and globalisation 2 by 2011. Both scores include the same indicator for trend so the main difference is between the level of public expenditure in GDP, and the share of education in public expenditure in the two periods</w:t>
            </w:r>
          </w:p>
          <w:p w14:paraId="4204C0AF" w14:textId="77777777" w:rsidR="000C2D40" w:rsidRPr="000C2D40" w:rsidRDefault="000C2D40" w:rsidP="000C2D40">
            <w:r w:rsidRPr="000C2D40">
              <w:rPr>
                <w:b/>
                <w:bCs/>
              </w:rPr>
              <w:t xml:space="preserve">3S </w:t>
            </w:r>
            <w:proofErr w:type="gramStart"/>
            <w:r w:rsidRPr="000C2D40">
              <w:rPr>
                <w:b/>
                <w:bCs/>
              </w:rPr>
              <w:t>Score :</w:t>
            </w:r>
            <w:proofErr w:type="gramEnd"/>
            <w:r w:rsidRPr="000C2D40">
              <w:rPr>
                <w:b/>
                <w:bCs/>
              </w:rPr>
              <w:t xml:space="preserve"> Globalisation 1 (</w:t>
            </w:r>
            <w:proofErr w:type="spellStart"/>
            <w:r w:rsidRPr="000C2D40">
              <w:rPr>
                <w:b/>
                <w:bCs/>
              </w:rPr>
              <w:t>i</w:t>
            </w:r>
            <w:proofErr w:type="spellEnd"/>
            <w:r w:rsidRPr="000C2D40">
              <w:rPr>
                <w:b/>
                <w:bCs/>
              </w:rPr>
              <w:t xml:space="preserve">*200) + (iii/10), Globalisation 2 (ii*200)+(iii/10). </w:t>
            </w:r>
            <w:r w:rsidRPr="000C2D40">
              <w:t xml:space="preserve">The </w:t>
            </w:r>
            <w:proofErr w:type="spellStart"/>
            <w:r w:rsidRPr="000C2D40">
              <w:t>i</w:t>
            </w:r>
            <w:proofErr w:type="spellEnd"/>
            <w:r w:rsidRPr="000C2D40">
              <w:t xml:space="preserve"> figure for the Slovak Rep., Poland, the </w:t>
            </w:r>
            <w:proofErr w:type="spellStart"/>
            <w:r w:rsidRPr="000C2D40">
              <w:t>Czeck</w:t>
            </w:r>
            <w:proofErr w:type="spellEnd"/>
            <w:r w:rsidRPr="000C2D40">
              <w:t xml:space="preserve"> Rep. are from 2002. and Hungary 2004, the other countries from 1995/6</w:t>
            </w:r>
          </w:p>
          <w:p w14:paraId="4B60CF84" w14:textId="75CF5720" w:rsidR="000C2D40" w:rsidRDefault="000C2D40" w:rsidP="000C2D40">
            <w:pPr>
              <w:rPr>
                <w:b/>
                <w:bCs/>
              </w:rPr>
            </w:pPr>
            <w:r w:rsidRPr="000C2D40">
              <w:rPr>
                <w:b/>
                <w:bCs/>
              </w:rPr>
              <w:t>4S Score: Globalisation 1 (</w:t>
            </w:r>
            <w:proofErr w:type="spellStart"/>
            <w:r w:rsidRPr="000C2D40">
              <w:rPr>
                <w:b/>
                <w:bCs/>
              </w:rPr>
              <w:t>i</w:t>
            </w:r>
            <w:proofErr w:type="spellEnd"/>
            <w:r w:rsidRPr="000C2D40">
              <w:rPr>
                <w:b/>
                <w:bCs/>
              </w:rPr>
              <w:t>*150)+(</w:t>
            </w:r>
            <w:proofErr w:type="spellStart"/>
            <w:r w:rsidRPr="000C2D40">
              <w:rPr>
                <w:b/>
                <w:bCs/>
              </w:rPr>
              <w:t>iva</w:t>
            </w:r>
            <w:proofErr w:type="spellEnd"/>
            <w:r w:rsidRPr="000C2D40">
              <w:rPr>
                <w:b/>
                <w:bCs/>
              </w:rPr>
              <w:t>/20), Globalisation 2 (iii*150)+(</w:t>
            </w:r>
            <w:proofErr w:type="spellStart"/>
            <w:r w:rsidRPr="000C2D40">
              <w:rPr>
                <w:b/>
                <w:bCs/>
              </w:rPr>
              <w:t>ivb</w:t>
            </w:r>
            <w:proofErr w:type="spellEnd"/>
            <w:r w:rsidRPr="000C2D40">
              <w:rPr>
                <w:b/>
                <w:bCs/>
              </w:rPr>
              <w:t>/20)</w:t>
            </w:r>
          </w:p>
          <w:p w14:paraId="2E4E69AD" w14:textId="08AA18FF" w:rsidR="0091427E" w:rsidRPr="0091427E" w:rsidRDefault="0091427E" w:rsidP="000C2D40">
            <w:r w:rsidRPr="00EF6DC4">
              <w:rPr>
                <w:bCs/>
              </w:rPr>
              <w:t>Column 1</w:t>
            </w:r>
          </w:p>
          <w:p w14:paraId="5C05E1E7" w14:textId="4312F55E" w:rsidR="00D94236" w:rsidRPr="000C2D40" w:rsidRDefault="000C2D40" w:rsidP="000C2D40">
            <w:r w:rsidRPr="000C2D40">
              <w:t>OECD</w:t>
            </w:r>
            <w:r w:rsidR="000D2113">
              <w:t xml:space="preserve"> (2016b)</w:t>
            </w:r>
            <w:r w:rsidRPr="000C2D40">
              <w:t xml:space="preserve"> National Accounts at a Glance (6 - Government), Total Expenditure of General Government (as % of GDP) (2015) https://stats.oecd.org/Index.aspx?DataSetCode=NAAG </w:t>
            </w:r>
          </w:p>
        </w:tc>
      </w:tr>
      <w:tr w:rsidR="000C2D40" w:rsidRPr="000C2D40" w14:paraId="5904CF0C" w14:textId="77777777" w:rsidTr="000C2D40">
        <w:trPr>
          <w:trHeight w:val="323"/>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0119E221" w14:textId="77777777" w:rsidR="00D94236" w:rsidRPr="000C2D40" w:rsidRDefault="000C2D40" w:rsidP="000C2D40">
            <w:r w:rsidRPr="000C2D40">
              <w:t>*Switzerland, Austria, USA, Australia, New Zealand and Japan as 2014, Mexico as 2013</w:t>
            </w:r>
          </w:p>
        </w:tc>
      </w:tr>
      <w:tr w:rsidR="000C2D40" w:rsidRPr="000C2D40" w14:paraId="01E8D109" w14:textId="77777777" w:rsidTr="000C2D40">
        <w:trPr>
          <w:trHeight w:val="323"/>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2887EF01" w14:textId="77777777" w:rsidR="00D94236" w:rsidRPr="000C2D40" w:rsidRDefault="000C2D40" w:rsidP="000C2D40">
            <w:r w:rsidRPr="000C2D40">
              <w:t xml:space="preserve">OECD Social Expenditure Aggregated Data (public, as a % of GDP) (2014) http://stats.oecd.org/Index.aspx?datasetcode=SOCX_AGG </w:t>
            </w:r>
          </w:p>
        </w:tc>
      </w:tr>
      <w:tr w:rsidR="000C2D40" w:rsidRPr="000C2D40" w14:paraId="5361C5E0" w14:textId="77777777" w:rsidTr="000C2D40">
        <w:trPr>
          <w:trHeight w:val="401"/>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5BA7E750" w14:textId="77777777" w:rsidR="00D94236" w:rsidRPr="000C2D40" w:rsidRDefault="000C2D40" w:rsidP="000C2D40">
            <w:r w:rsidRPr="000C2D40">
              <w:t>*New Zealand as 2013, Mexico as 2012, Japan as 2011</w:t>
            </w:r>
          </w:p>
        </w:tc>
      </w:tr>
      <w:tr w:rsidR="000C2D40" w:rsidRPr="000C2D40" w14:paraId="001CBAC0" w14:textId="77777777" w:rsidTr="000C2D40">
        <w:trPr>
          <w:trHeight w:val="323"/>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68F0FCBD" w14:textId="5087D58D" w:rsidR="00D94236" w:rsidRPr="000C2D40" w:rsidRDefault="0091427E" w:rsidP="000C2D40">
            <w:r>
              <w:t>Column 2</w:t>
            </w:r>
          </w:p>
        </w:tc>
      </w:tr>
      <w:tr w:rsidR="000C2D40" w:rsidRPr="000C2D40" w14:paraId="34585219" w14:textId="77777777" w:rsidTr="000C2D40">
        <w:trPr>
          <w:trHeight w:val="327"/>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522107CF" w14:textId="12AAE4E5" w:rsidR="000D2113" w:rsidRDefault="000C2D40" w:rsidP="000C2D40">
            <w:r w:rsidRPr="000C2D40">
              <w:t xml:space="preserve">OECD </w:t>
            </w:r>
            <w:r w:rsidR="000D2113">
              <w:t xml:space="preserve">(2014a) </w:t>
            </w:r>
            <w:r w:rsidRPr="000C2D40">
              <w:t>Education at a glance 2014 (p.257)</w:t>
            </w:r>
            <w:r w:rsidR="000D2113">
              <w:t>,</w:t>
            </w:r>
            <w:r w:rsidR="000D2113">
              <w:rPr>
                <w:rFonts w:ascii="Arial" w:hAnsi="Arial"/>
              </w:rPr>
              <w:t xml:space="preserve"> </w:t>
            </w:r>
            <w:hyperlink r:id="rId10" w:history="1">
              <w:r w:rsidR="000D2113" w:rsidRPr="008B401C">
                <w:rPr>
                  <w:rStyle w:val="Hyperlink"/>
                  <w:rFonts w:ascii="Arial" w:hAnsi="Arial"/>
                </w:rPr>
                <w:t>http://dx.doi.org/10.1787/eag-2014-en</w:t>
              </w:r>
            </w:hyperlink>
            <w:r w:rsidR="000D2113" w:rsidRPr="008B401C">
              <w:rPr>
                <w:rFonts w:ascii="Arial" w:hAnsi="Arial"/>
              </w:rPr>
              <w:t>.</w:t>
            </w:r>
          </w:p>
          <w:p w14:paraId="6935144A" w14:textId="48F08A5F" w:rsidR="00D94236" w:rsidRPr="00EF6DC4" w:rsidRDefault="000D2113" w:rsidP="00EF6DC4">
            <w:pPr>
              <w:pStyle w:val="CommentText"/>
              <w:spacing w:line="480" w:lineRule="auto"/>
              <w:ind w:left="709" w:hanging="709"/>
              <w:rPr>
                <w:rFonts w:ascii="Arial" w:hAnsi="Arial"/>
              </w:rPr>
            </w:pPr>
            <w:r>
              <w:t xml:space="preserve"> OECD (2011) Education at a Glance, </w:t>
            </w:r>
            <w:hyperlink r:id="rId11" w:history="1">
              <w:r w:rsidRPr="005321DD">
                <w:rPr>
                  <w:rStyle w:val="Hyperlink"/>
                  <w:rFonts w:ascii="Arial" w:hAnsi="Arial"/>
                  <w:sz w:val="22"/>
                  <w:szCs w:val="22"/>
                </w:rPr>
                <w:t>https://www.oecd.org/education/skills-beyond-school/48631582.pd</w:t>
              </w:r>
            </w:hyperlink>
            <w:r>
              <w:rPr>
                <w:rFonts w:ascii="Arial" w:hAnsi="Arial"/>
                <w:sz w:val="22"/>
                <w:szCs w:val="22"/>
              </w:rPr>
              <w:t>f</w:t>
            </w:r>
          </w:p>
        </w:tc>
      </w:tr>
      <w:tr w:rsidR="000C2D40" w:rsidRPr="000C2D40" w14:paraId="5F039370" w14:textId="77777777" w:rsidTr="000C2D40">
        <w:trPr>
          <w:trHeight w:val="337"/>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3B524A92" w14:textId="25987F95" w:rsidR="00D94236" w:rsidRPr="000C2D40" w:rsidRDefault="000C2D40" w:rsidP="00BE2849">
            <w:r w:rsidRPr="000C2D40">
              <w:t>OECD</w:t>
            </w:r>
            <w:r w:rsidR="00EF6DC4">
              <w:t xml:space="preserve"> </w:t>
            </w:r>
            <w:r w:rsidR="000D2113">
              <w:t xml:space="preserve">(2010) </w:t>
            </w:r>
            <w:r w:rsidRPr="000C2D40">
              <w:t xml:space="preserve">Employment Outlook 2010. </w:t>
            </w:r>
            <w:r w:rsidR="000D2113">
              <w:t xml:space="preserve"> </w:t>
            </w:r>
            <w:hyperlink r:id="rId12" w:history="1">
              <w:r w:rsidR="000D2113" w:rsidRPr="008B401C">
                <w:rPr>
                  <w:rStyle w:val="Hyperlink"/>
                  <w:rFonts w:ascii="Arial" w:hAnsi="Arial"/>
                </w:rPr>
                <w:t>https://doi.org/10.1787/empl_outlook-2010-en</w:t>
              </w:r>
            </w:hyperlink>
            <w:r w:rsidR="000D2113" w:rsidRPr="008B401C">
              <w:rPr>
                <w:rFonts w:ascii="Arial" w:hAnsi="Arial"/>
              </w:rPr>
              <w:t>.</w:t>
            </w:r>
            <w:r w:rsidRPr="000C2D40">
              <w:t>*There was no figure for 2008/9 for Mexico, so the 2006 figure was re-entered</w:t>
            </w:r>
          </w:p>
        </w:tc>
      </w:tr>
      <w:tr w:rsidR="000C2D40" w:rsidRPr="000C2D40" w14:paraId="44B3B84F" w14:textId="77777777" w:rsidTr="000C2D40">
        <w:trPr>
          <w:trHeight w:val="635"/>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273C05B5" w14:textId="3A99545D" w:rsidR="00D94236" w:rsidRPr="000C2D40" w:rsidRDefault="000C2D40" w:rsidP="000C2D40">
            <w:r w:rsidRPr="000C2D40">
              <w:t xml:space="preserve">OECD </w:t>
            </w:r>
            <w:r w:rsidR="000D2113">
              <w:t xml:space="preserve">(2015) </w:t>
            </w:r>
            <w:r w:rsidRPr="000C2D40">
              <w:t xml:space="preserve">Employment Outlook 2015, </w:t>
            </w:r>
            <w:hyperlink r:id="rId13" w:history="1">
              <w:r w:rsidR="000D2113" w:rsidRPr="008B401C">
                <w:rPr>
                  <w:rStyle w:val="Hyperlink"/>
                  <w:rFonts w:ascii="Arial" w:hAnsi="Arial"/>
                </w:rPr>
                <w:t>https://doi.org/10.1787/empl_outlook-2015-en</w:t>
              </w:r>
            </w:hyperlink>
            <w:r w:rsidR="000D2113" w:rsidRPr="008B401C">
              <w:rPr>
                <w:rFonts w:ascii="Arial" w:hAnsi="Arial"/>
              </w:rPr>
              <w:t>.</w:t>
            </w:r>
            <w:r w:rsidRPr="000C2D40">
              <w:t xml:space="preserve">Table Q. ‘Public Expenditure and Participant Stocks in Labour Market Programmes in OECD Countries, 2012 and 2013 http://www.oecd.org/els/emp/employment-outlook-statistical-annex.htm </w:t>
            </w:r>
          </w:p>
        </w:tc>
      </w:tr>
      <w:tr w:rsidR="000C2D40" w:rsidRPr="000C2D40" w14:paraId="07DBE8E6" w14:textId="77777777" w:rsidTr="000C2D40">
        <w:trPr>
          <w:trHeight w:val="323"/>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50A03394" w14:textId="77777777" w:rsidR="00D94236" w:rsidRDefault="000C2D40" w:rsidP="000C2D40">
            <w:r w:rsidRPr="000C2D40">
              <w:t>*France, Spain, New Zealand, South Korea &amp; Poland data for 2013 unavailable so 2012 data used. UK Data unavailable so 2008/2009 data left in.</w:t>
            </w:r>
          </w:p>
          <w:p w14:paraId="70C18D29" w14:textId="77777777" w:rsidR="0091427E" w:rsidRDefault="0091427E" w:rsidP="000C2D40">
            <w:r>
              <w:t>Column 3</w:t>
            </w:r>
          </w:p>
          <w:p w14:paraId="1B9034DB" w14:textId="77777777" w:rsidR="0091427E" w:rsidRDefault="0091427E" w:rsidP="0091427E">
            <w:r>
              <w:t>OECD Employment Outlook, various years</w:t>
            </w:r>
          </w:p>
          <w:p w14:paraId="3DB29A72" w14:textId="4BFF9400" w:rsidR="0091427E" w:rsidRPr="000C2D40" w:rsidRDefault="0091427E" w:rsidP="0091427E">
            <w:r>
              <w:t>Column 4</w:t>
            </w:r>
          </w:p>
        </w:tc>
      </w:tr>
      <w:tr w:rsidR="000C2D40" w:rsidRPr="000C2D40" w14:paraId="1B5296C2" w14:textId="77777777" w:rsidTr="000C2D40">
        <w:trPr>
          <w:trHeight w:val="323"/>
        </w:trPr>
        <w:tc>
          <w:tcPr>
            <w:tcW w:w="14600" w:type="dxa"/>
            <w:tcBorders>
              <w:top w:val="single" w:sz="8" w:space="0" w:color="FFFFFF"/>
              <w:left w:val="single" w:sz="8" w:space="0" w:color="FFFFFF"/>
              <w:bottom w:val="single" w:sz="8" w:space="0" w:color="FFFFFF"/>
              <w:right w:val="single" w:sz="8" w:space="0" w:color="FFFFFF"/>
            </w:tcBorders>
            <w:shd w:val="clear" w:color="auto" w:fill="E9EDF4"/>
            <w:tcMar>
              <w:top w:w="9" w:type="dxa"/>
              <w:left w:w="9" w:type="dxa"/>
              <w:bottom w:w="0" w:type="dxa"/>
              <w:right w:w="9" w:type="dxa"/>
            </w:tcMar>
            <w:vAlign w:val="bottom"/>
            <w:hideMark/>
          </w:tcPr>
          <w:p w14:paraId="64146AE7" w14:textId="77777777" w:rsidR="00D94236" w:rsidRDefault="000C2D40" w:rsidP="000C2D40">
            <w:r w:rsidRPr="000C2D40">
              <w:t xml:space="preserve">OECD </w:t>
            </w:r>
            <w:r w:rsidR="0091427E">
              <w:t xml:space="preserve">(2014b) </w:t>
            </w:r>
            <w:r w:rsidRPr="000C2D40">
              <w:t xml:space="preserve">Family Database, PF3.1 Public Spending on Childcare and Early Education (2014) http://www.oecd.org/els/family/database.htm </w:t>
            </w:r>
          </w:p>
          <w:p w14:paraId="1A827F19" w14:textId="73460FED" w:rsidR="0091427E" w:rsidRPr="000C2D40" w:rsidRDefault="0091427E" w:rsidP="000C2D40">
            <w:r w:rsidRPr="000C2D40">
              <w:t>*Data for Switzerland unavailable, so 2005 data left in.</w:t>
            </w:r>
          </w:p>
        </w:tc>
      </w:tr>
    </w:tbl>
    <w:p w14:paraId="0F54A495" w14:textId="15FC81B1" w:rsidR="00537565" w:rsidRDefault="00537565" w:rsidP="001553D7"/>
    <w:sectPr w:rsidR="00537565" w:rsidSect="00DF1C37">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DDA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2480D" w14:textId="77777777" w:rsidR="008D31F6" w:rsidRDefault="008D31F6" w:rsidP="00DF1C37">
      <w:pPr>
        <w:spacing w:after="0" w:line="240" w:lineRule="auto"/>
      </w:pPr>
      <w:r>
        <w:separator/>
      </w:r>
    </w:p>
  </w:endnote>
  <w:endnote w:type="continuationSeparator" w:id="0">
    <w:p w14:paraId="46ADD73B" w14:textId="77777777" w:rsidR="008D31F6" w:rsidRDefault="008D31F6" w:rsidP="00DF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CFD0" w14:textId="77777777" w:rsidR="00BA5059" w:rsidRDefault="00BA5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42FD" w14:textId="77777777" w:rsidR="00BA5059" w:rsidRDefault="00BA5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122AD" w14:textId="77777777" w:rsidR="00BA5059" w:rsidRDefault="00BA5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D669F" w14:textId="77777777" w:rsidR="008D31F6" w:rsidRDefault="008D31F6" w:rsidP="00DF1C37">
      <w:pPr>
        <w:spacing w:after="0" w:line="240" w:lineRule="auto"/>
      </w:pPr>
      <w:r>
        <w:separator/>
      </w:r>
    </w:p>
  </w:footnote>
  <w:footnote w:type="continuationSeparator" w:id="0">
    <w:p w14:paraId="23B6BAD4" w14:textId="77777777" w:rsidR="008D31F6" w:rsidRDefault="008D31F6" w:rsidP="00DF1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B8062" w14:textId="77777777" w:rsidR="00BA5059" w:rsidRDefault="00BA5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1A61" w14:textId="4367B401" w:rsidR="00DF1C37" w:rsidRDefault="00DF1C37" w:rsidP="00DF1C37">
    <w:pPr>
      <w:pStyle w:val="Header"/>
    </w:pPr>
    <w:r>
      <w:ptab w:relativeTo="margin" w:alignment="center" w:leader="none"/>
    </w:r>
    <w:r>
      <w:t xml:space="preserve">Haagh </w:t>
    </w:r>
    <w:r w:rsidR="00D53B47">
      <w:t>– Supplementary Material</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4BEB" w14:textId="77777777" w:rsidR="00BA5059" w:rsidRDefault="00BA5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C6A10"/>
    <w:multiLevelType w:val="hybridMultilevel"/>
    <w:tmpl w:val="65747344"/>
    <w:lvl w:ilvl="0" w:tplc="7486B34C">
      <w:start w:val="1"/>
      <w:numFmt w:val="decimal"/>
      <w:lvlText w:val="(%1)"/>
      <w:lvlJc w:val="left"/>
      <w:pPr>
        <w:tabs>
          <w:tab w:val="num" w:pos="720"/>
        </w:tabs>
        <w:ind w:left="720" w:hanging="360"/>
      </w:pPr>
    </w:lvl>
    <w:lvl w:ilvl="1" w:tplc="EC6A558E" w:tentative="1">
      <w:start w:val="1"/>
      <w:numFmt w:val="decimal"/>
      <w:lvlText w:val="(%2)"/>
      <w:lvlJc w:val="left"/>
      <w:pPr>
        <w:tabs>
          <w:tab w:val="num" w:pos="1440"/>
        </w:tabs>
        <w:ind w:left="1440" w:hanging="360"/>
      </w:pPr>
    </w:lvl>
    <w:lvl w:ilvl="2" w:tplc="BA2A86A0" w:tentative="1">
      <w:start w:val="1"/>
      <w:numFmt w:val="decimal"/>
      <w:lvlText w:val="(%3)"/>
      <w:lvlJc w:val="left"/>
      <w:pPr>
        <w:tabs>
          <w:tab w:val="num" w:pos="2160"/>
        </w:tabs>
        <w:ind w:left="2160" w:hanging="360"/>
      </w:pPr>
    </w:lvl>
    <w:lvl w:ilvl="3" w:tplc="45147392" w:tentative="1">
      <w:start w:val="1"/>
      <w:numFmt w:val="decimal"/>
      <w:lvlText w:val="(%4)"/>
      <w:lvlJc w:val="left"/>
      <w:pPr>
        <w:tabs>
          <w:tab w:val="num" w:pos="2880"/>
        </w:tabs>
        <w:ind w:left="2880" w:hanging="360"/>
      </w:pPr>
    </w:lvl>
    <w:lvl w:ilvl="4" w:tplc="0D861BCC" w:tentative="1">
      <w:start w:val="1"/>
      <w:numFmt w:val="decimal"/>
      <w:lvlText w:val="(%5)"/>
      <w:lvlJc w:val="left"/>
      <w:pPr>
        <w:tabs>
          <w:tab w:val="num" w:pos="3600"/>
        </w:tabs>
        <w:ind w:left="3600" w:hanging="360"/>
      </w:pPr>
    </w:lvl>
    <w:lvl w:ilvl="5" w:tplc="B6BCE596" w:tentative="1">
      <w:start w:val="1"/>
      <w:numFmt w:val="decimal"/>
      <w:lvlText w:val="(%6)"/>
      <w:lvlJc w:val="left"/>
      <w:pPr>
        <w:tabs>
          <w:tab w:val="num" w:pos="4320"/>
        </w:tabs>
        <w:ind w:left="4320" w:hanging="360"/>
      </w:pPr>
    </w:lvl>
    <w:lvl w:ilvl="6" w:tplc="3D4E2904" w:tentative="1">
      <w:start w:val="1"/>
      <w:numFmt w:val="decimal"/>
      <w:lvlText w:val="(%7)"/>
      <w:lvlJc w:val="left"/>
      <w:pPr>
        <w:tabs>
          <w:tab w:val="num" w:pos="5040"/>
        </w:tabs>
        <w:ind w:left="5040" w:hanging="360"/>
      </w:pPr>
    </w:lvl>
    <w:lvl w:ilvl="7" w:tplc="E0F23680" w:tentative="1">
      <w:start w:val="1"/>
      <w:numFmt w:val="decimal"/>
      <w:lvlText w:val="(%8)"/>
      <w:lvlJc w:val="left"/>
      <w:pPr>
        <w:tabs>
          <w:tab w:val="num" w:pos="5760"/>
        </w:tabs>
        <w:ind w:left="5760" w:hanging="360"/>
      </w:pPr>
    </w:lvl>
    <w:lvl w:ilvl="8" w:tplc="2CF2A25A" w:tentative="1">
      <w:start w:val="1"/>
      <w:numFmt w:val="decimal"/>
      <w:lvlText w:val="(%9)"/>
      <w:lvlJc w:val="left"/>
      <w:pPr>
        <w:tabs>
          <w:tab w:val="num" w:pos="6480"/>
        </w:tabs>
        <w:ind w:left="6480" w:hanging="360"/>
      </w:pPr>
    </w:lvl>
  </w:abstractNum>
  <w:abstractNum w:abstractNumId="1">
    <w:nsid w:val="6AAE6E84"/>
    <w:multiLevelType w:val="hybridMultilevel"/>
    <w:tmpl w:val="F64A0266"/>
    <w:lvl w:ilvl="0" w:tplc="51E2C5E2">
      <w:start w:val="1"/>
      <w:numFmt w:val="decimal"/>
      <w:lvlText w:val="(%1)"/>
      <w:lvlJc w:val="left"/>
      <w:pPr>
        <w:tabs>
          <w:tab w:val="num" w:pos="720"/>
        </w:tabs>
        <w:ind w:left="720" w:hanging="360"/>
      </w:pPr>
    </w:lvl>
    <w:lvl w:ilvl="1" w:tplc="E202F81E" w:tentative="1">
      <w:start w:val="1"/>
      <w:numFmt w:val="decimal"/>
      <w:lvlText w:val="(%2)"/>
      <w:lvlJc w:val="left"/>
      <w:pPr>
        <w:tabs>
          <w:tab w:val="num" w:pos="1440"/>
        </w:tabs>
        <w:ind w:left="1440" w:hanging="360"/>
      </w:pPr>
    </w:lvl>
    <w:lvl w:ilvl="2" w:tplc="4F70EF06" w:tentative="1">
      <w:start w:val="1"/>
      <w:numFmt w:val="decimal"/>
      <w:lvlText w:val="(%3)"/>
      <w:lvlJc w:val="left"/>
      <w:pPr>
        <w:tabs>
          <w:tab w:val="num" w:pos="2160"/>
        </w:tabs>
        <w:ind w:left="2160" w:hanging="360"/>
      </w:pPr>
    </w:lvl>
    <w:lvl w:ilvl="3" w:tplc="63B8F134" w:tentative="1">
      <w:start w:val="1"/>
      <w:numFmt w:val="decimal"/>
      <w:lvlText w:val="(%4)"/>
      <w:lvlJc w:val="left"/>
      <w:pPr>
        <w:tabs>
          <w:tab w:val="num" w:pos="2880"/>
        </w:tabs>
        <w:ind w:left="2880" w:hanging="360"/>
      </w:pPr>
    </w:lvl>
    <w:lvl w:ilvl="4" w:tplc="1F74FD00" w:tentative="1">
      <w:start w:val="1"/>
      <w:numFmt w:val="decimal"/>
      <w:lvlText w:val="(%5)"/>
      <w:lvlJc w:val="left"/>
      <w:pPr>
        <w:tabs>
          <w:tab w:val="num" w:pos="3600"/>
        </w:tabs>
        <w:ind w:left="3600" w:hanging="360"/>
      </w:pPr>
    </w:lvl>
    <w:lvl w:ilvl="5" w:tplc="9F62DE80" w:tentative="1">
      <w:start w:val="1"/>
      <w:numFmt w:val="decimal"/>
      <w:lvlText w:val="(%6)"/>
      <w:lvlJc w:val="left"/>
      <w:pPr>
        <w:tabs>
          <w:tab w:val="num" w:pos="4320"/>
        </w:tabs>
        <w:ind w:left="4320" w:hanging="360"/>
      </w:pPr>
    </w:lvl>
    <w:lvl w:ilvl="6" w:tplc="6584F152" w:tentative="1">
      <w:start w:val="1"/>
      <w:numFmt w:val="decimal"/>
      <w:lvlText w:val="(%7)"/>
      <w:lvlJc w:val="left"/>
      <w:pPr>
        <w:tabs>
          <w:tab w:val="num" w:pos="5040"/>
        </w:tabs>
        <w:ind w:left="5040" w:hanging="360"/>
      </w:pPr>
    </w:lvl>
    <w:lvl w:ilvl="7" w:tplc="9A0EB7B4" w:tentative="1">
      <w:start w:val="1"/>
      <w:numFmt w:val="decimal"/>
      <w:lvlText w:val="(%8)"/>
      <w:lvlJc w:val="left"/>
      <w:pPr>
        <w:tabs>
          <w:tab w:val="num" w:pos="5760"/>
        </w:tabs>
        <w:ind w:left="5760" w:hanging="360"/>
      </w:pPr>
    </w:lvl>
    <w:lvl w:ilvl="8" w:tplc="2264DE42" w:tentative="1">
      <w:start w:val="1"/>
      <w:numFmt w:val="decimal"/>
      <w:lvlText w:val="(%9)"/>
      <w:lvlJc w:val="left"/>
      <w:pPr>
        <w:tabs>
          <w:tab w:val="num" w:pos="6480"/>
        </w:tabs>
        <w:ind w:left="6480" w:hanging="360"/>
      </w:pPr>
    </w:lvl>
  </w:abstractNum>
  <w:abstractNum w:abstractNumId="2">
    <w:nsid w:val="79E81329"/>
    <w:multiLevelType w:val="hybridMultilevel"/>
    <w:tmpl w:val="A9CC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k">
    <w15:presenceInfo w15:providerId="None" w15:userId="Kirk"/>
  </w15:person>
  <w15:person w15:author="Louise Haagh">
    <w15:presenceInfo w15:providerId="None" w15:userId="Louise Ha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37"/>
    <w:rsid w:val="000C2D40"/>
    <w:rsid w:val="000D2113"/>
    <w:rsid w:val="000D49FB"/>
    <w:rsid w:val="000E0489"/>
    <w:rsid w:val="001553D7"/>
    <w:rsid w:val="001C0A91"/>
    <w:rsid w:val="002160D2"/>
    <w:rsid w:val="00282871"/>
    <w:rsid w:val="00342CE1"/>
    <w:rsid w:val="00371461"/>
    <w:rsid w:val="0037662B"/>
    <w:rsid w:val="00383811"/>
    <w:rsid w:val="003E534D"/>
    <w:rsid w:val="00472C23"/>
    <w:rsid w:val="00537565"/>
    <w:rsid w:val="00595AD1"/>
    <w:rsid w:val="00644044"/>
    <w:rsid w:val="008324F8"/>
    <w:rsid w:val="008D31F6"/>
    <w:rsid w:val="008D34FC"/>
    <w:rsid w:val="0091427E"/>
    <w:rsid w:val="00950B36"/>
    <w:rsid w:val="0096401B"/>
    <w:rsid w:val="00AA7DF6"/>
    <w:rsid w:val="00B76D3B"/>
    <w:rsid w:val="00BA5059"/>
    <w:rsid w:val="00BE2849"/>
    <w:rsid w:val="00C50659"/>
    <w:rsid w:val="00C51C24"/>
    <w:rsid w:val="00CF1EF4"/>
    <w:rsid w:val="00D37FC1"/>
    <w:rsid w:val="00D53B47"/>
    <w:rsid w:val="00D94236"/>
    <w:rsid w:val="00DF1C37"/>
    <w:rsid w:val="00E756D7"/>
    <w:rsid w:val="00EE4397"/>
    <w:rsid w:val="00EF6D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37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C37"/>
  </w:style>
  <w:style w:type="paragraph" w:styleId="Footer">
    <w:name w:val="footer"/>
    <w:basedOn w:val="Normal"/>
    <w:link w:val="FooterChar"/>
    <w:uiPriority w:val="99"/>
    <w:unhideWhenUsed/>
    <w:rsid w:val="00DF1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C37"/>
  </w:style>
  <w:style w:type="paragraph" w:styleId="BalloonText">
    <w:name w:val="Balloon Text"/>
    <w:basedOn w:val="Normal"/>
    <w:link w:val="BalloonTextChar"/>
    <w:uiPriority w:val="99"/>
    <w:semiHidden/>
    <w:unhideWhenUsed/>
    <w:rsid w:val="000D4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9FB"/>
    <w:rPr>
      <w:rFonts w:ascii="Segoe UI" w:hAnsi="Segoe UI" w:cs="Segoe UI"/>
      <w:sz w:val="18"/>
      <w:szCs w:val="18"/>
    </w:rPr>
  </w:style>
  <w:style w:type="character" w:styleId="CommentReference">
    <w:name w:val="annotation reference"/>
    <w:basedOn w:val="DefaultParagraphFont"/>
    <w:uiPriority w:val="99"/>
    <w:semiHidden/>
    <w:unhideWhenUsed/>
    <w:rsid w:val="008324F8"/>
    <w:rPr>
      <w:sz w:val="16"/>
      <w:szCs w:val="16"/>
    </w:rPr>
  </w:style>
  <w:style w:type="paragraph" w:styleId="CommentText">
    <w:name w:val="annotation text"/>
    <w:basedOn w:val="Normal"/>
    <w:link w:val="CommentTextChar"/>
    <w:uiPriority w:val="99"/>
    <w:unhideWhenUsed/>
    <w:rsid w:val="008324F8"/>
    <w:pPr>
      <w:spacing w:line="240" w:lineRule="auto"/>
    </w:pPr>
    <w:rPr>
      <w:sz w:val="20"/>
      <w:szCs w:val="20"/>
    </w:rPr>
  </w:style>
  <w:style w:type="character" w:customStyle="1" w:styleId="CommentTextChar">
    <w:name w:val="Comment Text Char"/>
    <w:basedOn w:val="DefaultParagraphFont"/>
    <w:link w:val="CommentText"/>
    <w:uiPriority w:val="99"/>
    <w:rsid w:val="008324F8"/>
    <w:rPr>
      <w:sz w:val="20"/>
      <w:szCs w:val="20"/>
    </w:rPr>
  </w:style>
  <w:style w:type="paragraph" w:styleId="CommentSubject">
    <w:name w:val="annotation subject"/>
    <w:basedOn w:val="CommentText"/>
    <w:next w:val="CommentText"/>
    <w:link w:val="CommentSubjectChar"/>
    <w:uiPriority w:val="99"/>
    <w:semiHidden/>
    <w:unhideWhenUsed/>
    <w:rsid w:val="008324F8"/>
    <w:rPr>
      <w:b/>
      <w:bCs/>
    </w:rPr>
  </w:style>
  <w:style w:type="character" w:customStyle="1" w:styleId="CommentSubjectChar">
    <w:name w:val="Comment Subject Char"/>
    <w:basedOn w:val="CommentTextChar"/>
    <w:link w:val="CommentSubject"/>
    <w:uiPriority w:val="99"/>
    <w:semiHidden/>
    <w:rsid w:val="008324F8"/>
    <w:rPr>
      <w:b/>
      <w:bCs/>
      <w:sz w:val="20"/>
      <w:szCs w:val="20"/>
    </w:rPr>
  </w:style>
  <w:style w:type="character" w:styleId="Hyperlink">
    <w:name w:val="Hyperlink"/>
    <w:uiPriority w:val="99"/>
    <w:unhideWhenUsed/>
    <w:rsid w:val="000D21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C37"/>
  </w:style>
  <w:style w:type="paragraph" w:styleId="Footer">
    <w:name w:val="footer"/>
    <w:basedOn w:val="Normal"/>
    <w:link w:val="FooterChar"/>
    <w:uiPriority w:val="99"/>
    <w:unhideWhenUsed/>
    <w:rsid w:val="00DF1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C37"/>
  </w:style>
  <w:style w:type="paragraph" w:styleId="BalloonText">
    <w:name w:val="Balloon Text"/>
    <w:basedOn w:val="Normal"/>
    <w:link w:val="BalloonTextChar"/>
    <w:uiPriority w:val="99"/>
    <w:semiHidden/>
    <w:unhideWhenUsed/>
    <w:rsid w:val="000D4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9FB"/>
    <w:rPr>
      <w:rFonts w:ascii="Segoe UI" w:hAnsi="Segoe UI" w:cs="Segoe UI"/>
      <w:sz w:val="18"/>
      <w:szCs w:val="18"/>
    </w:rPr>
  </w:style>
  <w:style w:type="character" w:styleId="CommentReference">
    <w:name w:val="annotation reference"/>
    <w:basedOn w:val="DefaultParagraphFont"/>
    <w:uiPriority w:val="99"/>
    <w:semiHidden/>
    <w:unhideWhenUsed/>
    <w:rsid w:val="008324F8"/>
    <w:rPr>
      <w:sz w:val="16"/>
      <w:szCs w:val="16"/>
    </w:rPr>
  </w:style>
  <w:style w:type="paragraph" w:styleId="CommentText">
    <w:name w:val="annotation text"/>
    <w:basedOn w:val="Normal"/>
    <w:link w:val="CommentTextChar"/>
    <w:uiPriority w:val="99"/>
    <w:unhideWhenUsed/>
    <w:rsid w:val="008324F8"/>
    <w:pPr>
      <w:spacing w:line="240" w:lineRule="auto"/>
    </w:pPr>
    <w:rPr>
      <w:sz w:val="20"/>
      <w:szCs w:val="20"/>
    </w:rPr>
  </w:style>
  <w:style w:type="character" w:customStyle="1" w:styleId="CommentTextChar">
    <w:name w:val="Comment Text Char"/>
    <w:basedOn w:val="DefaultParagraphFont"/>
    <w:link w:val="CommentText"/>
    <w:uiPriority w:val="99"/>
    <w:rsid w:val="008324F8"/>
    <w:rPr>
      <w:sz w:val="20"/>
      <w:szCs w:val="20"/>
    </w:rPr>
  </w:style>
  <w:style w:type="paragraph" w:styleId="CommentSubject">
    <w:name w:val="annotation subject"/>
    <w:basedOn w:val="CommentText"/>
    <w:next w:val="CommentText"/>
    <w:link w:val="CommentSubjectChar"/>
    <w:uiPriority w:val="99"/>
    <w:semiHidden/>
    <w:unhideWhenUsed/>
    <w:rsid w:val="008324F8"/>
    <w:rPr>
      <w:b/>
      <w:bCs/>
    </w:rPr>
  </w:style>
  <w:style w:type="character" w:customStyle="1" w:styleId="CommentSubjectChar">
    <w:name w:val="Comment Subject Char"/>
    <w:basedOn w:val="CommentTextChar"/>
    <w:link w:val="CommentSubject"/>
    <w:uiPriority w:val="99"/>
    <w:semiHidden/>
    <w:rsid w:val="008324F8"/>
    <w:rPr>
      <w:b/>
      <w:bCs/>
      <w:sz w:val="20"/>
      <w:szCs w:val="20"/>
    </w:rPr>
  </w:style>
  <w:style w:type="character" w:styleId="Hyperlink">
    <w:name w:val="Hyperlink"/>
    <w:uiPriority w:val="99"/>
    <w:unhideWhenUsed/>
    <w:rsid w:val="000D2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0937">
      <w:bodyDiv w:val="1"/>
      <w:marLeft w:val="0"/>
      <w:marRight w:val="0"/>
      <w:marTop w:val="0"/>
      <w:marBottom w:val="0"/>
      <w:divBdr>
        <w:top w:val="none" w:sz="0" w:space="0" w:color="auto"/>
        <w:left w:val="none" w:sz="0" w:space="0" w:color="auto"/>
        <w:bottom w:val="none" w:sz="0" w:space="0" w:color="auto"/>
        <w:right w:val="none" w:sz="0" w:space="0" w:color="auto"/>
      </w:divBdr>
    </w:div>
    <w:div w:id="123426407">
      <w:bodyDiv w:val="1"/>
      <w:marLeft w:val="0"/>
      <w:marRight w:val="0"/>
      <w:marTop w:val="0"/>
      <w:marBottom w:val="0"/>
      <w:divBdr>
        <w:top w:val="none" w:sz="0" w:space="0" w:color="auto"/>
        <w:left w:val="none" w:sz="0" w:space="0" w:color="auto"/>
        <w:bottom w:val="none" w:sz="0" w:space="0" w:color="auto"/>
        <w:right w:val="none" w:sz="0" w:space="0" w:color="auto"/>
      </w:divBdr>
    </w:div>
    <w:div w:id="332687225">
      <w:bodyDiv w:val="1"/>
      <w:marLeft w:val="0"/>
      <w:marRight w:val="0"/>
      <w:marTop w:val="0"/>
      <w:marBottom w:val="0"/>
      <w:divBdr>
        <w:top w:val="none" w:sz="0" w:space="0" w:color="auto"/>
        <w:left w:val="none" w:sz="0" w:space="0" w:color="auto"/>
        <w:bottom w:val="none" w:sz="0" w:space="0" w:color="auto"/>
        <w:right w:val="none" w:sz="0" w:space="0" w:color="auto"/>
      </w:divBdr>
    </w:div>
    <w:div w:id="395130493">
      <w:bodyDiv w:val="1"/>
      <w:marLeft w:val="0"/>
      <w:marRight w:val="0"/>
      <w:marTop w:val="0"/>
      <w:marBottom w:val="0"/>
      <w:divBdr>
        <w:top w:val="none" w:sz="0" w:space="0" w:color="auto"/>
        <w:left w:val="none" w:sz="0" w:space="0" w:color="auto"/>
        <w:bottom w:val="none" w:sz="0" w:space="0" w:color="auto"/>
        <w:right w:val="none" w:sz="0" w:space="0" w:color="auto"/>
      </w:divBdr>
      <w:divsChild>
        <w:div w:id="701323862">
          <w:marLeft w:val="360"/>
          <w:marRight w:val="0"/>
          <w:marTop w:val="0"/>
          <w:marBottom w:val="0"/>
          <w:divBdr>
            <w:top w:val="none" w:sz="0" w:space="0" w:color="auto"/>
            <w:left w:val="none" w:sz="0" w:space="0" w:color="auto"/>
            <w:bottom w:val="none" w:sz="0" w:space="0" w:color="auto"/>
            <w:right w:val="none" w:sz="0" w:space="0" w:color="auto"/>
          </w:divBdr>
        </w:div>
        <w:div w:id="2092116962">
          <w:marLeft w:val="360"/>
          <w:marRight w:val="0"/>
          <w:marTop w:val="0"/>
          <w:marBottom w:val="0"/>
          <w:divBdr>
            <w:top w:val="none" w:sz="0" w:space="0" w:color="auto"/>
            <w:left w:val="none" w:sz="0" w:space="0" w:color="auto"/>
            <w:bottom w:val="none" w:sz="0" w:space="0" w:color="auto"/>
            <w:right w:val="none" w:sz="0" w:space="0" w:color="auto"/>
          </w:divBdr>
        </w:div>
      </w:divsChild>
    </w:div>
    <w:div w:id="462776468">
      <w:bodyDiv w:val="1"/>
      <w:marLeft w:val="0"/>
      <w:marRight w:val="0"/>
      <w:marTop w:val="0"/>
      <w:marBottom w:val="0"/>
      <w:divBdr>
        <w:top w:val="none" w:sz="0" w:space="0" w:color="auto"/>
        <w:left w:val="none" w:sz="0" w:space="0" w:color="auto"/>
        <w:bottom w:val="none" w:sz="0" w:space="0" w:color="auto"/>
        <w:right w:val="none" w:sz="0" w:space="0" w:color="auto"/>
      </w:divBdr>
    </w:div>
    <w:div w:id="516387197">
      <w:bodyDiv w:val="1"/>
      <w:marLeft w:val="0"/>
      <w:marRight w:val="0"/>
      <w:marTop w:val="0"/>
      <w:marBottom w:val="0"/>
      <w:divBdr>
        <w:top w:val="none" w:sz="0" w:space="0" w:color="auto"/>
        <w:left w:val="none" w:sz="0" w:space="0" w:color="auto"/>
        <w:bottom w:val="none" w:sz="0" w:space="0" w:color="auto"/>
        <w:right w:val="none" w:sz="0" w:space="0" w:color="auto"/>
      </w:divBdr>
      <w:divsChild>
        <w:div w:id="1594389818">
          <w:marLeft w:val="360"/>
          <w:marRight w:val="0"/>
          <w:marTop w:val="0"/>
          <w:marBottom w:val="0"/>
          <w:divBdr>
            <w:top w:val="none" w:sz="0" w:space="0" w:color="auto"/>
            <w:left w:val="none" w:sz="0" w:space="0" w:color="auto"/>
            <w:bottom w:val="none" w:sz="0" w:space="0" w:color="auto"/>
            <w:right w:val="none" w:sz="0" w:space="0" w:color="auto"/>
          </w:divBdr>
        </w:div>
        <w:div w:id="1989049759">
          <w:marLeft w:val="360"/>
          <w:marRight w:val="0"/>
          <w:marTop w:val="0"/>
          <w:marBottom w:val="0"/>
          <w:divBdr>
            <w:top w:val="none" w:sz="0" w:space="0" w:color="auto"/>
            <w:left w:val="none" w:sz="0" w:space="0" w:color="auto"/>
            <w:bottom w:val="none" w:sz="0" w:space="0" w:color="auto"/>
            <w:right w:val="none" w:sz="0" w:space="0" w:color="auto"/>
          </w:divBdr>
        </w:div>
      </w:divsChild>
    </w:div>
    <w:div w:id="577599811">
      <w:bodyDiv w:val="1"/>
      <w:marLeft w:val="0"/>
      <w:marRight w:val="0"/>
      <w:marTop w:val="0"/>
      <w:marBottom w:val="0"/>
      <w:divBdr>
        <w:top w:val="none" w:sz="0" w:space="0" w:color="auto"/>
        <w:left w:val="none" w:sz="0" w:space="0" w:color="auto"/>
        <w:bottom w:val="none" w:sz="0" w:space="0" w:color="auto"/>
        <w:right w:val="none" w:sz="0" w:space="0" w:color="auto"/>
      </w:divBdr>
    </w:div>
    <w:div w:id="658001625">
      <w:bodyDiv w:val="1"/>
      <w:marLeft w:val="0"/>
      <w:marRight w:val="0"/>
      <w:marTop w:val="0"/>
      <w:marBottom w:val="0"/>
      <w:divBdr>
        <w:top w:val="none" w:sz="0" w:space="0" w:color="auto"/>
        <w:left w:val="none" w:sz="0" w:space="0" w:color="auto"/>
        <w:bottom w:val="none" w:sz="0" w:space="0" w:color="auto"/>
        <w:right w:val="none" w:sz="0" w:space="0" w:color="auto"/>
      </w:divBdr>
    </w:div>
    <w:div w:id="681736769">
      <w:bodyDiv w:val="1"/>
      <w:marLeft w:val="0"/>
      <w:marRight w:val="0"/>
      <w:marTop w:val="0"/>
      <w:marBottom w:val="0"/>
      <w:divBdr>
        <w:top w:val="none" w:sz="0" w:space="0" w:color="auto"/>
        <w:left w:val="none" w:sz="0" w:space="0" w:color="auto"/>
        <w:bottom w:val="none" w:sz="0" w:space="0" w:color="auto"/>
        <w:right w:val="none" w:sz="0" w:space="0" w:color="auto"/>
      </w:divBdr>
      <w:divsChild>
        <w:div w:id="22873641">
          <w:marLeft w:val="360"/>
          <w:marRight w:val="0"/>
          <w:marTop w:val="0"/>
          <w:marBottom w:val="0"/>
          <w:divBdr>
            <w:top w:val="none" w:sz="0" w:space="0" w:color="auto"/>
            <w:left w:val="none" w:sz="0" w:space="0" w:color="auto"/>
            <w:bottom w:val="none" w:sz="0" w:space="0" w:color="auto"/>
            <w:right w:val="none" w:sz="0" w:space="0" w:color="auto"/>
          </w:divBdr>
        </w:div>
        <w:div w:id="1286623494">
          <w:marLeft w:val="360"/>
          <w:marRight w:val="0"/>
          <w:marTop w:val="0"/>
          <w:marBottom w:val="0"/>
          <w:divBdr>
            <w:top w:val="none" w:sz="0" w:space="0" w:color="auto"/>
            <w:left w:val="none" w:sz="0" w:space="0" w:color="auto"/>
            <w:bottom w:val="none" w:sz="0" w:space="0" w:color="auto"/>
            <w:right w:val="none" w:sz="0" w:space="0" w:color="auto"/>
          </w:divBdr>
        </w:div>
      </w:divsChild>
    </w:div>
    <w:div w:id="699012100">
      <w:bodyDiv w:val="1"/>
      <w:marLeft w:val="0"/>
      <w:marRight w:val="0"/>
      <w:marTop w:val="0"/>
      <w:marBottom w:val="0"/>
      <w:divBdr>
        <w:top w:val="none" w:sz="0" w:space="0" w:color="auto"/>
        <w:left w:val="none" w:sz="0" w:space="0" w:color="auto"/>
        <w:bottom w:val="none" w:sz="0" w:space="0" w:color="auto"/>
        <w:right w:val="none" w:sz="0" w:space="0" w:color="auto"/>
      </w:divBdr>
    </w:div>
    <w:div w:id="723262213">
      <w:bodyDiv w:val="1"/>
      <w:marLeft w:val="0"/>
      <w:marRight w:val="0"/>
      <w:marTop w:val="0"/>
      <w:marBottom w:val="0"/>
      <w:divBdr>
        <w:top w:val="none" w:sz="0" w:space="0" w:color="auto"/>
        <w:left w:val="none" w:sz="0" w:space="0" w:color="auto"/>
        <w:bottom w:val="none" w:sz="0" w:space="0" w:color="auto"/>
        <w:right w:val="none" w:sz="0" w:space="0" w:color="auto"/>
      </w:divBdr>
    </w:div>
    <w:div w:id="781076446">
      <w:bodyDiv w:val="1"/>
      <w:marLeft w:val="0"/>
      <w:marRight w:val="0"/>
      <w:marTop w:val="0"/>
      <w:marBottom w:val="0"/>
      <w:divBdr>
        <w:top w:val="none" w:sz="0" w:space="0" w:color="auto"/>
        <w:left w:val="none" w:sz="0" w:space="0" w:color="auto"/>
        <w:bottom w:val="none" w:sz="0" w:space="0" w:color="auto"/>
        <w:right w:val="none" w:sz="0" w:space="0" w:color="auto"/>
      </w:divBdr>
    </w:div>
    <w:div w:id="879978710">
      <w:bodyDiv w:val="1"/>
      <w:marLeft w:val="0"/>
      <w:marRight w:val="0"/>
      <w:marTop w:val="0"/>
      <w:marBottom w:val="0"/>
      <w:divBdr>
        <w:top w:val="none" w:sz="0" w:space="0" w:color="auto"/>
        <w:left w:val="none" w:sz="0" w:space="0" w:color="auto"/>
        <w:bottom w:val="none" w:sz="0" w:space="0" w:color="auto"/>
        <w:right w:val="none" w:sz="0" w:space="0" w:color="auto"/>
      </w:divBdr>
      <w:divsChild>
        <w:div w:id="1648820419">
          <w:marLeft w:val="360"/>
          <w:marRight w:val="0"/>
          <w:marTop w:val="0"/>
          <w:marBottom w:val="0"/>
          <w:divBdr>
            <w:top w:val="none" w:sz="0" w:space="0" w:color="auto"/>
            <w:left w:val="none" w:sz="0" w:space="0" w:color="auto"/>
            <w:bottom w:val="none" w:sz="0" w:space="0" w:color="auto"/>
            <w:right w:val="none" w:sz="0" w:space="0" w:color="auto"/>
          </w:divBdr>
        </w:div>
        <w:div w:id="663438083">
          <w:marLeft w:val="360"/>
          <w:marRight w:val="0"/>
          <w:marTop w:val="0"/>
          <w:marBottom w:val="0"/>
          <w:divBdr>
            <w:top w:val="none" w:sz="0" w:space="0" w:color="auto"/>
            <w:left w:val="none" w:sz="0" w:space="0" w:color="auto"/>
            <w:bottom w:val="none" w:sz="0" w:space="0" w:color="auto"/>
            <w:right w:val="none" w:sz="0" w:space="0" w:color="auto"/>
          </w:divBdr>
        </w:div>
      </w:divsChild>
    </w:div>
    <w:div w:id="991373548">
      <w:bodyDiv w:val="1"/>
      <w:marLeft w:val="0"/>
      <w:marRight w:val="0"/>
      <w:marTop w:val="0"/>
      <w:marBottom w:val="0"/>
      <w:divBdr>
        <w:top w:val="none" w:sz="0" w:space="0" w:color="auto"/>
        <w:left w:val="none" w:sz="0" w:space="0" w:color="auto"/>
        <w:bottom w:val="none" w:sz="0" w:space="0" w:color="auto"/>
        <w:right w:val="none" w:sz="0" w:space="0" w:color="auto"/>
      </w:divBdr>
      <w:divsChild>
        <w:div w:id="859780895">
          <w:marLeft w:val="360"/>
          <w:marRight w:val="0"/>
          <w:marTop w:val="0"/>
          <w:marBottom w:val="0"/>
          <w:divBdr>
            <w:top w:val="none" w:sz="0" w:space="0" w:color="auto"/>
            <w:left w:val="none" w:sz="0" w:space="0" w:color="auto"/>
            <w:bottom w:val="none" w:sz="0" w:space="0" w:color="auto"/>
            <w:right w:val="none" w:sz="0" w:space="0" w:color="auto"/>
          </w:divBdr>
        </w:div>
        <w:div w:id="676804989">
          <w:marLeft w:val="360"/>
          <w:marRight w:val="0"/>
          <w:marTop w:val="0"/>
          <w:marBottom w:val="0"/>
          <w:divBdr>
            <w:top w:val="none" w:sz="0" w:space="0" w:color="auto"/>
            <w:left w:val="none" w:sz="0" w:space="0" w:color="auto"/>
            <w:bottom w:val="none" w:sz="0" w:space="0" w:color="auto"/>
            <w:right w:val="none" w:sz="0" w:space="0" w:color="auto"/>
          </w:divBdr>
        </w:div>
      </w:divsChild>
    </w:div>
    <w:div w:id="1141537722">
      <w:bodyDiv w:val="1"/>
      <w:marLeft w:val="0"/>
      <w:marRight w:val="0"/>
      <w:marTop w:val="0"/>
      <w:marBottom w:val="0"/>
      <w:divBdr>
        <w:top w:val="none" w:sz="0" w:space="0" w:color="auto"/>
        <w:left w:val="none" w:sz="0" w:space="0" w:color="auto"/>
        <w:bottom w:val="none" w:sz="0" w:space="0" w:color="auto"/>
        <w:right w:val="none" w:sz="0" w:space="0" w:color="auto"/>
      </w:divBdr>
    </w:div>
    <w:div w:id="1221090239">
      <w:bodyDiv w:val="1"/>
      <w:marLeft w:val="0"/>
      <w:marRight w:val="0"/>
      <w:marTop w:val="0"/>
      <w:marBottom w:val="0"/>
      <w:divBdr>
        <w:top w:val="none" w:sz="0" w:space="0" w:color="auto"/>
        <w:left w:val="none" w:sz="0" w:space="0" w:color="auto"/>
        <w:bottom w:val="none" w:sz="0" w:space="0" w:color="auto"/>
        <w:right w:val="none" w:sz="0" w:space="0" w:color="auto"/>
      </w:divBdr>
      <w:divsChild>
        <w:div w:id="1277059079">
          <w:marLeft w:val="360"/>
          <w:marRight w:val="0"/>
          <w:marTop w:val="0"/>
          <w:marBottom w:val="0"/>
          <w:divBdr>
            <w:top w:val="none" w:sz="0" w:space="0" w:color="auto"/>
            <w:left w:val="none" w:sz="0" w:space="0" w:color="auto"/>
            <w:bottom w:val="none" w:sz="0" w:space="0" w:color="auto"/>
            <w:right w:val="none" w:sz="0" w:space="0" w:color="auto"/>
          </w:divBdr>
        </w:div>
        <w:div w:id="761800883">
          <w:marLeft w:val="360"/>
          <w:marRight w:val="0"/>
          <w:marTop w:val="0"/>
          <w:marBottom w:val="0"/>
          <w:divBdr>
            <w:top w:val="none" w:sz="0" w:space="0" w:color="auto"/>
            <w:left w:val="none" w:sz="0" w:space="0" w:color="auto"/>
            <w:bottom w:val="none" w:sz="0" w:space="0" w:color="auto"/>
            <w:right w:val="none" w:sz="0" w:space="0" w:color="auto"/>
          </w:divBdr>
        </w:div>
      </w:divsChild>
    </w:div>
    <w:div w:id="1226919072">
      <w:bodyDiv w:val="1"/>
      <w:marLeft w:val="0"/>
      <w:marRight w:val="0"/>
      <w:marTop w:val="0"/>
      <w:marBottom w:val="0"/>
      <w:divBdr>
        <w:top w:val="none" w:sz="0" w:space="0" w:color="auto"/>
        <w:left w:val="none" w:sz="0" w:space="0" w:color="auto"/>
        <w:bottom w:val="none" w:sz="0" w:space="0" w:color="auto"/>
        <w:right w:val="none" w:sz="0" w:space="0" w:color="auto"/>
      </w:divBdr>
      <w:divsChild>
        <w:div w:id="517817998">
          <w:marLeft w:val="360"/>
          <w:marRight w:val="0"/>
          <w:marTop w:val="0"/>
          <w:marBottom w:val="0"/>
          <w:divBdr>
            <w:top w:val="none" w:sz="0" w:space="0" w:color="auto"/>
            <w:left w:val="none" w:sz="0" w:space="0" w:color="auto"/>
            <w:bottom w:val="none" w:sz="0" w:space="0" w:color="auto"/>
            <w:right w:val="none" w:sz="0" w:space="0" w:color="auto"/>
          </w:divBdr>
        </w:div>
      </w:divsChild>
    </w:div>
    <w:div w:id="1246459246">
      <w:bodyDiv w:val="1"/>
      <w:marLeft w:val="0"/>
      <w:marRight w:val="0"/>
      <w:marTop w:val="0"/>
      <w:marBottom w:val="0"/>
      <w:divBdr>
        <w:top w:val="none" w:sz="0" w:space="0" w:color="auto"/>
        <w:left w:val="none" w:sz="0" w:space="0" w:color="auto"/>
        <w:bottom w:val="none" w:sz="0" w:space="0" w:color="auto"/>
        <w:right w:val="none" w:sz="0" w:space="0" w:color="auto"/>
      </w:divBdr>
    </w:div>
    <w:div w:id="1313945922">
      <w:bodyDiv w:val="1"/>
      <w:marLeft w:val="0"/>
      <w:marRight w:val="0"/>
      <w:marTop w:val="0"/>
      <w:marBottom w:val="0"/>
      <w:divBdr>
        <w:top w:val="none" w:sz="0" w:space="0" w:color="auto"/>
        <w:left w:val="none" w:sz="0" w:space="0" w:color="auto"/>
        <w:bottom w:val="none" w:sz="0" w:space="0" w:color="auto"/>
        <w:right w:val="none" w:sz="0" w:space="0" w:color="auto"/>
      </w:divBdr>
      <w:divsChild>
        <w:div w:id="707993233">
          <w:marLeft w:val="360"/>
          <w:marRight w:val="0"/>
          <w:marTop w:val="0"/>
          <w:marBottom w:val="0"/>
          <w:divBdr>
            <w:top w:val="none" w:sz="0" w:space="0" w:color="auto"/>
            <w:left w:val="none" w:sz="0" w:space="0" w:color="auto"/>
            <w:bottom w:val="none" w:sz="0" w:space="0" w:color="auto"/>
            <w:right w:val="none" w:sz="0" w:space="0" w:color="auto"/>
          </w:divBdr>
        </w:div>
        <w:div w:id="1790660276">
          <w:marLeft w:val="360"/>
          <w:marRight w:val="0"/>
          <w:marTop w:val="0"/>
          <w:marBottom w:val="0"/>
          <w:divBdr>
            <w:top w:val="none" w:sz="0" w:space="0" w:color="auto"/>
            <w:left w:val="none" w:sz="0" w:space="0" w:color="auto"/>
            <w:bottom w:val="none" w:sz="0" w:space="0" w:color="auto"/>
            <w:right w:val="none" w:sz="0" w:space="0" w:color="auto"/>
          </w:divBdr>
        </w:div>
      </w:divsChild>
    </w:div>
    <w:div w:id="1334604964">
      <w:bodyDiv w:val="1"/>
      <w:marLeft w:val="0"/>
      <w:marRight w:val="0"/>
      <w:marTop w:val="0"/>
      <w:marBottom w:val="0"/>
      <w:divBdr>
        <w:top w:val="none" w:sz="0" w:space="0" w:color="auto"/>
        <w:left w:val="none" w:sz="0" w:space="0" w:color="auto"/>
        <w:bottom w:val="none" w:sz="0" w:space="0" w:color="auto"/>
        <w:right w:val="none" w:sz="0" w:space="0" w:color="auto"/>
      </w:divBdr>
    </w:div>
    <w:div w:id="1336028380">
      <w:bodyDiv w:val="1"/>
      <w:marLeft w:val="0"/>
      <w:marRight w:val="0"/>
      <w:marTop w:val="0"/>
      <w:marBottom w:val="0"/>
      <w:divBdr>
        <w:top w:val="none" w:sz="0" w:space="0" w:color="auto"/>
        <w:left w:val="none" w:sz="0" w:space="0" w:color="auto"/>
        <w:bottom w:val="none" w:sz="0" w:space="0" w:color="auto"/>
        <w:right w:val="none" w:sz="0" w:space="0" w:color="auto"/>
      </w:divBdr>
    </w:div>
    <w:div w:id="1560433138">
      <w:bodyDiv w:val="1"/>
      <w:marLeft w:val="0"/>
      <w:marRight w:val="0"/>
      <w:marTop w:val="0"/>
      <w:marBottom w:val="0"/>
      <w:divBdr>
        <w:top w:val="none" w:sz="0" w:space="0" w:color="auto"/>
        <w:left w:val="none" w:sz="0" w:space="0" w:color="auto"/>
        <w:bottom w:val="none" w:sz="0" w:space="0" w:color="auto"/>
        <w:right w:val="none" w:sz="0" w:space="0" w:color="auto"/>
      </w:divBdr>
    </w:div>
    <w:div w:id="1574310424">
      <w:bodyDiv w:val="1"/>
      <w:marLeft w:val="0"/>
      <w:marRight w:val="0"/>
      <w:marTop w:val="0"/>
      <w:marBottom w:val="0"/>
      <w:divBdr>
        <w:top w:val="none" w:sz="0" w:space="0" w:color="auto"/>
        <w:left w:val="none" w:sz="0" w:space="0" w:color="auto"/>
        <w:bottom w:val="none" w:sz="0" w:space="0" w:color="auto"/>
        <w:right w:val="none" w:sz="0" w:space="0" w:color="auto"/>
      </w:divBdr>
    </w:div>
    <w:div w:id="1617641942">
      <w:bodyDiv w:val="1"/>
      <w:marLeft w:val="0"/>
      <w:marRight w:val="0"/>
      <w:marTop w:val="0"/>
      <w:marBottom w:val="0"/>
      <w:divBdr>
        <w:top w:val="none" w:sz="0" w:space="0" w:color="auto"/>
        <w:left w:val="none" w:sz="0" w:space="0" w:color="auto"/>
        <w:bottom w:val="none" w:sz="0" w:space="0" w:color="auto"/>
        <w:right w:val="none" w:sz="0" w:space="0" w:color="auto"/>
      </w:divBdr>
      <w:divsChild>
        <w:div w:id="1459647672">
          <w:marLeft w:val="360"/>
          <w:marRight w:val="0"/>
          <w:marTop w:val="0"/>
          <w:marBottom w:val="0"/>
          <w:divBdr>
            <w:top w:val="none" w:sz="0" w:space="0" w:color="auto"/>
            <w:left w:val="none" w:sz="0" w:space="0" w:color="auto"/>
            <w:bottom w:val="none" w:sz="0" w:space="0" w:color="auto"/>
            <w:right w:val="none" w:sz="0" w:space="0" w:color="auto"/>
          </w:divBdr>
        </w:div>
      </w:divsChild>
    </w:div>
    <w:div w:id="1624380842">
      <w:bodyDiv w:val="1"/>
      <w:marLeft w:val="0"/>
      <w:marRight w:val="0"/>
      <w:marTop w:val="0"/>
      <w:marBottom w:val="0"/>
      <w:divBdr>
        <w:top w:val="none" w:sz="0" w:space="0" w:color="auto"/>
        <w:left w:val="none" w:sz="0" w:space="0" w:color="auto"/>
        <w:bottom w:val="none" w:sz="0" w:space="0" w:color="auto"/>
        <w:right w:val="none" w:sz="0" w:space="0" w:color="auto"/>
      </w:divBdr>
      <w:divsChild>
        <w:div w:id="52195659">
          <w:marLeft w:val="360"/>
          <w:marRight w:val="0"/>
          <w:marTop w:val="0"/>
          <w:marBottom w:val="0"/>
          <w:divBdr>
            <w:top w:val="none" w:sz="0" w:space="0" w:color="auto"/>
            <w:left w:val="none" w:sz="0" w:space="0" w:color="auto"/>
            <w:bottom w:val="none" w:sz="0" w:space="0" w:color="auto"/>
            <w:right w:val="none" w:sz="0" w:space="0" w:color="auto"/>
          </w:divBdr>
        </w:div>
        <w:div w:id="1594898676">
          <w:marLeft w:val="360"/>
          <w:marRight w:val="0"/>
          <w:marTop w:val="0"/>
          <w:marBottom w:val="0"/>
          <w:divBdr>
            <w:top w:val="none" w:sz="0" w:space="0" w:color="auto"/>
            <w:left w:val="none" w:sz="0" w:space="0" w:color="auto"/>
            <w:bottom w:val="none" w:sz="0" w:space="0" w:color="auto"/>
            <w:right w:val="none" w:sz="0" w:space="0" w:color="auto"/>
          </w:divBdr>
        </w:div>
      </w:divsChild>
    </w:div>
    <w:div w:id="1626621765">
      <w:bodyDiv w:val="1"/>
      <w:marLeft w:val="0"/>
      <w:marRight w:val="0"/>
      <w:marTop w:val="0"/>
      <w:marBottom w:val="0"/>
      <w:divBdr>
        <w:top w:val="none" w:sz="0" w:space="0" w:color="auto"/>
        <w:left w:val="none" w:sz="0" w:space="0" w:color="auto"/>
        <w:bottom w:val="none" w:sz="0" w:space="0" w:color="auto"/>
        <w:right w:val="none" w:sz="0" w:space="0" w:color="auto"/>
      </w:divBdr>
      <w:divsChild>
        <w:div w:id="190844094">
          <w:marLeft w:val="360"/>
          <w:marRight w:val="0"/>
          <w:marTop w:val="0"/>
          <w:marBottom w:val="0"/>
          <w:divBdr>
            <w:top w:val="none" w:sz="0" w:space="0" w:color="auto"/>
            <w:left w:val="none" w:sz="0" w:space="0" w:color="auto"/>
            <w:bottom w:val="none" w:sz="0" w:space="0" w:color="auto"/>
            <w:right w:val="none" w:sz="0" w:space="0" w:color="auto"/>
          </w:divBdr>
        </w:div>
      </w:divsChild>
    </w:div>
    <w:div w:id="1708337683">
      <w:bodyDiv w:val="1"/>
      <w:marLeft w:val="0"/>
      <w:marRight w:val="0"/>
      <w:marTop w:val="0"/>
      <w:marBottom w:val="0"/>
      <w:divBdr>
        <w:top w:val="none" w:sz="0" w:space="0" w:color="auto"/>
        <w:left w:val="none" w:sz="0" w:space="0" w:color="auto"/>
        <w:bottom w:val="none" w:sz="0" w:space="0" w:color="auto"/>
        <w:right w:val="none" w:sz="0" w:space="0" w:color="auto"/>
      </w:divBdr>
    </w:div>
    <w:div w:id="17246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787/empl_outlook-2015-e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787/empl_outlook-2010-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ecd.org/education/skills-beyond-school/48631582.pd"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http://dx.doi.org/10.1787/eag-2014-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2018-07-26T10:18:00Z</dcterms:created>
  <dcterms:modified xsi:type="dcterms:W3CDTF">2018-07-26T10:19:00Z</dcterms:modified>
</cp:coreProperties>
</file>