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86" w:rsidRPr="00732F0D" w:rsidRDefault="001B01BA">
      <w:pPr>
        <w:rPr>
          <w:b/>
          <w:sz w:val="24"/>
          <w:szCs w:val="24"/>
        </w:rPr>
      </w:pPr>
      <w:bookmarkStart w:id="0" w:name="_GoBack"/>
      <w:bookmarkEnd w:id="0"/>
      <w:r w:rsidRPr="00732F0D">
        <w:rPr>
          <w:b/>
          <w:sz w:val="24"/>
          <w:szCs w:val="24"/>
        </w:rPr>
        <w:t xml:space="preserve">Online </w:t>
      </w:r>
      <w:proofErr w:type="spellStart"/>
      <w:r w:rsidRPr="00732F0D">
        <w:rPr>
          <w:b/>
          <w:sz w:val="24"/>
          <w:szCs w:val="24"/>
        </w:rPr>
        <w:t>Appendix</w:t>
      </w:r>
      <w:proofErr w:type="spellEnd"/>
    </w:p>
    <w:p w:rsidR="001B01BA" w:rsidRDefault="001B01BA"/>
    <w:p w:rsidR="001B01BA" w:rsidRPr="004C0538" w:rsidRDefault="001B01BA" w:rsidP="001B01BA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C0538">
        <w:rPr>
          <w:rFonts w:ascii="Arial" w:hAnsi="Arial" w:cs="Arial"/>
          <w:b/>
          <w:sz w:val="20"/>
          <w:szCs w:val="20"/>
        </w:rPr>
        <w:t xml:space="preserve">Figure </w:t>
      </w:r>
      <w:r w:rsidR="00732F0D">
        <w:rPr>
          <w:rFonts w:ascii="Arial" w:hAnsi="Arial" w:cs="Arial"/>
          <w:b/>
          <w:sz w:val="20"/>
          <w:szCs w:val="20"/>
        </w:rPr>
        <w:t>A1</w:t>
      </w:r>
      <w:r w:rsidRPr="004C0538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4C0538">
        <w:rPr>
          <w:rFonts w:ascii="Arial" w:hAnsi="Arial" w:cs="Arial"/>
          <w:b/>
          <w:sz w:val="20"/>
          <w:szCs w:val="20"/>
        </w:rPr>
        <w:t>Decomposition</w:t>
      </w:r>
      <w:proofErr w:type="spellEnd"/>
      <w:r w:rsidRPr="004C0538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4C0538">
        <w:rPr>
          <w:rFonts w:ascii="Arial" w:hAnsi="Arial" w:cs="Arial"/>
          <w:b/>
          <w:sz w:val="20"/>
          <w:szCs w:val="20"/>
        </w:rPr>
        <w:t>gender</w:t>
      </w:r>
      <w:proofErr w:type="spellEnd"/>
      <w:r w:rsidRPr="004C0538">
        <w:rPr>
          <w:rFonts w:ascii="Arial" w:hAnsi="Arial" w:cs="Arial"/>
          <w:b/>
          <w:sz w:val="20"/>
          <w:szCs w:val="20"/>
        </w:rPr>
        <w:t xml:space="preserve"> pension gaps at </w:t>
      </w:r>
      <w:proofErr w:type="spellStart"/>
      <w:r w:rsidRPr="004C0538">
        <w:rPr>
          <w:rFonts w:ascii="Arial" w:hAnsi="Arial" w:cs="Arial"/>
          <w:b/>
          <w:sz w:val="20"/>
          <w:szCs w:val="20"/>
        </w:rPr>
        <w:t>different</w:t>
      </w:r>
      <w:proofErr w:type="spellEnd"/>
      <w:r w:rsidRPr="004C0538">
        <w:rPr>
          <w:rFonts w:ascii="Arial" w:hAnsi="Arial" w:cs="Arial"/>
          <w:b/>
          <w:sz w:val="20"/>
          <w:szCs w:val="20"/>
        </w:rPr>
        <w:t xml:space="preserve"> centiles, </w:t>
      </w:r>
      <w:proofErr w:type="spellStart"/>
      <w:r w:rsidRPr="004C0538">
        <w:rPr>
          <w:rFonts w:ascii="Arial" w:hAnsi="Arial" w:cs="Arial"/>
          <w:b/>
          <w:sz w:val="20"/>
          <w:szCs w:val="20"/>
        </w:rPr>
        <w:t>whole</w:t>
      </w:r>
      <w:proofErr w:type="spellEnd"/>
      <w:r w:rsidRPr="004C05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C0538">
        <w:rPr>
          <w:rFonts w:ascii="Arial" w:hAnsi="Arial" w:cs="Arial"/>
          <w:b/>
          <w:sz w:val="20"/>
          <w:szCs w:val="20"/>
        </w:rPr>
        <w:t>retired</w:t>
      </w:r>
      <w:proofErr w:type="spellEnd"/>
      <w:r w:rsidRPr="004C0538">
        <w:rPr>
          <w:rFonts w:ascii="Arial" w:hAnsi="Arial" w:cs="Arial"/>
          <w:b/>
          <w:sz w:val="20"/>
          <w:szCs w:val="20"/>
        </w:rPr>
        <w:t xml:space="preserve"> population </w:t>
      </w:r>
    </w:p>
    <w:p w:rsidR="001B01BA" w:rsidRPr="000C51ED" w:rsidRDefault="001B01BA" w:rsidP="00732F0D">
      <w:pPr>
        <w:spacing w:after="0"/>
        <w:jc w:val="both"/>
      </w:pPr>
      <w:r w:rsidRPr="000C51ED">
        <w:rPr>
          <w:noProof/>
          <w:lang w:eastAsia="fr-FR"/>
        </w:rPr>
        <w:drawing>
          <wp:inline distT="0" distB="0" distL="0" distR="0" wp14:anchorId="5440D787" wp14:editId="5699350D">
            <wp:extent cx="6148800" cy="450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omp_ens12_JoPEF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0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BA" w:rsidRPr="007755EF" w:rsidRDefault="001B01BA" w:rsidP="00732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55EF">
        <w:rPr>
          <w:rFonts w:ascii="Arial" w:hAnsi="Arial" w:cs="Arial"/>
          <w:sz w:val="20"/>
          <w:szCs w:val="20"/>
        </w:rPr>
        <w:t xml:space="preserve">Source: EIR 2012, </w:t>
      </w:r>
      <w:proofErr w:type="spellStart"/>
      <w:r w:rsidRPr="007755EF">
        <w:rPr>
          <w:rFonts w:ascii="Arial" w:hAnsi="Arial" w:cs="Arial"/>
          <w:sz w:val="20"/>
          <w:szCs w:val="20"/>
        </w:rPr>
        <w:t>Retirees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5EF">
        <w:rPr>
          <w:rFonts w:ascii="Arial" w:hAnsi="Arial" w:cs="Arial"/>
          <w:sz w:val="20"/>
          <w:szCs w:val="20"/>
        </w:rPr>
        <w:t>with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5EF">
        <w:rPr>
          <w:rFonts w:ascii="Arial" w:hAnsi="Arial" w:cs="Arial"/>
          <w:sz w:val="20"/>
          <w:szCs w:val="20"/>
        </w:rPr>
        <w:t>own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pensions, as of 31 </w:t>
      </w:r>
      <w:proofErr w:type="spellStart"/>
      <w:r w:rsidRPr="007755EF">
        <w:rPr>
          <w:rFonts w:ascii="Arial" w:hAnsi="Arial" w:cs="Arial"/>
          <w:sz w:val="20"/>
          <w:szCs w:val="20"/>
        </w:rPr>
        <w:t>December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2012</w:t>
      </w:r>
    </w:p>
    <w:p w:rsidR="001B01BA" w:rsidRDefault="001B01BA" w:rsidP="00732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55EF">
        <w:rPr>
          <w:rFonts w:ascii="Arial" w:hAnsi="Arial" w:cs="Arial"/>
          <w:sz w:val="20"/>
          <w:szCs w:val="20"/>
        </w:rPr>
        <w:t xml:space="preserve">Note: </w:t>
      </w:r>
      <w:proofErr w:type="spellStart"/>
      <w:r w:rsidRPr="007755EF">
        <w:rPr>
          <w:rFonts w:ascii="Arial" w:hAnsi="Arial" w:cs="Arial"/>
          <w:sz w:val="20"/>
          <w:szCs w:val="20"/>
        </w:rPr>
        <w:t>these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graphs </w:t>
      </w:r>
      <w:proofErr w:type="spellStart"/>
      <w:r w:rsidRPr="007755EF">
        <w:rPr>
          <w:rFonts w:ascii="Arial" w:hAnsi="Arial" w:cs="Arial"/>
          <w:sz w:val="20"/>
          <w:szCs w:val="20"/>
        </w:rPr>
        <w:t>only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5EF">
        <w:rPr>
          <w:rFonts w:ascii="Arial" w:hAnsi="Arial" w:cs="Arial"/>
          <w:sz w:val="20"/>
          <w:szCs w:val="20"/>
        </w:rPr>
        <w:t>represent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7755EF">
        <w:rPr>
          <w:rFonts w:ascii="Arial" w:hAnsi="Arial" w:cs="Arial"/>
          <w:sz w:val="20"/>
          <w:szCs w:val="20"/>
        </w:rPr>
        <w:t>effects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of the main </w:t>
      </w:r>
      <w:proofErr w:type="spellStart"/>
      <w:r w:rsidRPr="007755EF">
        <w:rPr>
          <w:rFonts w:ascii="Arial" w:hAnsi="Arial" w:cs="Arial"/>
          <w:sz w:val="20"/>
          <w:szCs w:val="20"/>
        </w:rPr>
        <w:t>factors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755EF">
        <w:rPr>
          <w:rFonts w:ascii="Arial" w:hAnsi="Arial" w:cs="Arial"/>
          <w:sz w:val="20"/>
          <w:szCs w:val="20"/>
        </w:rPr>
        <w:t>However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, the estimations </w:t>
      </w:r>
      <w:proofErr w:type="spellStart"/>
      <w:r w:rsidRPr="007755EF">
        <w:rPr>
          <w:rFonts w:ascii="Arial" w:hAnsi="Arial" w:cs="Arial"/>
          <w:sz w:val="20"/>
          <w:szCs w:val="20"/>
        </w:rPr>
        <w:t>take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all the </w:t>
      </w:r>
      <w:proofErr w:type="spellStart"/>
      <w:r w:rsidRPr="007755EF">
        <w:rPr>
          <w:rFonts w:ascii="Arial" w:hAnsi="Arial" w:cs="Arial"/>
          <w:sz w:val="20"/>
          <w:szCs w:val="20"/>
        </w:rPr>
        <w:t>factors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5EF">
        <w:rPr>
          <w:rFonts w:ascii="Arial" w:hAnsi="Arial" w:cs="Arial"/>
          <w:sz w:val="20"/>
          <w:szCs w:val="20"/>
        </w:rPr>
        <w:t>into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5EF">
        <w:rPr>
          <w:rFonts w:ascii="Arial" w:hAnsi="Arial" w:cs="Arial"/>
          <w:sz w:val="20"/>
          <w:szCs w:val="20"/>
        </w:rPr>
        <w:t>account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. The vertical </w:t>
      </w:r>
      <w:proofErr w:type="spellStart"/>
      <w:r w:rsidRPr="007755EF">
        <w:rPr>
          <w:rFonts w:ascii="Arial" w:hAnsi="Arial" w:cs="Arial"/>
          <w:sz w:val="20"/>
          <w:szCs w:val="20"/>
        </w:rPr>
        <w:t>scales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5EF">
        <w:rPr>
          <w:rFonts w:ascii="Arial" w:hAnsi="Arial" w:cs="Arial"/>
          <w:sz w:val="20"/>
          <w:szCs w:val="20"/>
        </w:rPr>
        <w:t>may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5EF">
        <w:rPr>
          <w:rFonts w:ascii="Arial" w:hAnsi="Arial" w:cs="Arial"/>
          <w:sz w:val="20"/>
          <w:szCs w:val="20"/>
        </w:rPr>
        <w:t>differ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55EF">
        <w:rPr>
          <w:rFonts w:ascii="Arial" w:hAnsi="Arial" w:cs="Arial"/>
          <w:sz w:val="20"/>
          <w:szCs w:val="20"/>
        </w:rPr>
        <w:t>from</w:t>
      </w:r>
      <w:proofErr w:type="spellEnd"/>
      <w:r w:rsidRPr="007755EF">
        <w:rPr>
          <w:rFonts w:ascii="Arial" w:hAnsi="Arial" w:cs="Arial"/>
          <w:sz w:val="20"/>
          <w:szCs w:val="20"/>
        </w:rPr>
        <w:t xml:space="preserve"> one graph to </w:t>
      </w:r>
      <w:proofErr w:type="spellStart"/>
      <w:r w:rsidRPr="007755EF">
        <w:rPr>
          <w:rFonts w:ascii="Arial" w:hAnsi="Arial" w:cs="Arial"/>
          <w:sz w:val="20"/>
          <w:szCs w:val="20"/>
        </w:rPr>
        <w:t>another</w:t>
      </w:r>
      <w:proofErr w:type="spellEnd"/>
      <w:r w:rsidRPr="007755EF">
        <w:rPr>
          <w:rFonts w:ascii="Arial" w:hAnsi="Arial" w:cs="Arial"/>
          <w:sz w:val="20"/>
          <w:szCs w:val="20"/>
        </w:rPr>
        <w:t>.</w:t>
      </w:r>
    </w:p>
    <w:p w:rsidR="007755EF" w:rsidRPr="003476E4" w:rsidRDefault="007755EF" w:rsidP="007755EF">
      <w:pPr>
        <w:jc w:val="both"/>
        <w:rPr>
          <w:rFonts w:ascii="Arial" w:hAnsi="Arial" w:cs="Arial"/>
          <w:sz w:val="20"/>
          <w:szCs w:val="20"/>
        </w:rPr>
      </w:pPr>
      <w:r w:rsidRPr="003476E4">
        <w:rPr>
          <w:rFonts w:ascii="Arial" w:hAnsi="Arial" w:cs="Arial"/>
          <w:sz w:val="20"/>
          <w:szCs w:val="20"/>
        </w:rPr>
        <w:t xml:space="preserve">Note : This </w:t>
      </w:r>
      <w:r>
        <w:rPr>
          <w:rFonts w:ascii="Arial" w:hAnsi="Arial" w:cs="Arial"/>
          <w:sz w:val="20"/>
          <w:szCs w:val="20"/>
        </w:rPr>
        <w:t>f</w:t>
      </w:r>
      <w:r w:rsidRPr="003476E4">
        <w:rPr>
          <w:rFonts w:ascii="Arial" w:hAnsi="Arial" w:cs="Arial"/>
          <w:sz w:val="20"/>
          <w:szCs w:val="20"/>
        </w:rPr>
        <w:t xml:space="preserve">igure </w:t>
      </w:r>
      <w:proofErr w:type="spellStart"/>
      <w:r w:rsidRPr="003476E4">
        <w:rPr>
          <w:rFonts w:ascii="Arial" w:hAnsi="Arial" w:cs="Arial"/>
          <w:sz w:val="20"/>
          <w:szCs w:val="20"/>
        </w:rPr>
        <w:t>represents</w:t>
      </w:r>
      <w:proofErr w:type="spellEnd"/>
      <w:r w:rsidRPr="003476E4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3476E4">
        <w:rPr>
          <w:rFonts w:ascii="Arial" w:hAnsi="Arial" w:cs="Arial"/>
          <w:sz w:val="20"/>
          <w:szCs w:val="20"/>
        </w:rPr>
        <w:t>gender</w:t>
      </w:r>
      <w:proofErr w:type="spellEnd"/>
      <w:r w:rsidRPr="003476E4">
        <w:rPr>
          <w:rFonts w:ascii="Arial" w:hAnsi="Arial" w:cs="Arial"/>
          <w:sz w:val="20"/>
          <w:szCs w:val="20"/>
        </w:rPr>
        <w:t xml:space="preserve"> pension gap, </w:t>
      </w:r>
      <w:proofErr w:type="spellStart"/>
      <w:r w:rsidRPr="003476E4">
        <w:rPr>
          <w:rFonts w:ascii="Arial" w:hAnsi="Arial" w:cs="Arial"/>
          <w:sz w:val="20"/>
          <w:szCs w:val="20"/>
        </w:rPr>
        <w:t>computed</w:t>
      </w:r>
      <w:proofErr w:type="spellEnd"/>
      <w:r w:rsidRPr="003476E4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3476E4">
        <w:rPr>
          <w:rFonts w:ascii="Arial" w:hAnsi="Arial" w:cs="Arial"/>
          <w:sz w:val="20"/>
          <w:szCs w:val="20"/>
        </w:rPr>
        <w:t>women’s</w:t>
      </w:r>
      <w:proofErr w:type="spellEnd"/>
      <w:r w:rsidRPr="003476E4">
        <w:rPr>
          <w:rFonts w:ascii="Arial" w:hAnsi="Arial" w:cs="Arial"/>
          <w:sz w:val="20"/>
          <w:szCs w:val="20"/>
        </w:rPr>
        <w:t xml:space="preserve"> pension minus mens’ pension at </w:t>
      </w:r>
      <w:proofErr w:type="spellStart"/>
      <w:r w:rsidRPr="003476E4">
        <w:rPr>
          <w:rFonts w:ascii="Arial" w:hAnsi="Arial" w:cs="Arial"/>
          <w:sz w:val="20"/>
          <w:szCs w:val="20"/>
        </w:rPr>
        <w:t>different</w:t>
      </w:r>
      <w:proofErr w:type="spellEnd"/>
      <w:r w:rsidRPr="003476E4">
        <w:rPr>
          <w:rFonts w:ascii="Arial" w:hAnsi="Arial" w:cs="Arial"/>
          <w:sz w:val="20"/>
          <w:szCs w:val="20"/>
        </w:rPr>
        <w:t xml:space="preserve"> centiles. The more </w:t>
      </w:r>
      <w:proofErr w:type="spellStart"/>
      <w:r w:rsidRPr="003476E4">
        <w:rPr>
          <w:rFonts w:ascii="Arial" w:hAnsi="Arial" w:cs="Arial"/>
          <w:sz w:val="20"/>
          <w:szCs w:val="20"/>
        </w:rPr>
        <w:t>negative</w:t>
      </w:r>
      <w:proofErr w:type="spellEnd"/>
      <w:r w:rsidRPr="003476E4">
        <w:rPr>
          <w:rFonts w:ascii="Arial" w:hAnsi="Arial" w:cs="Arial"/>
          <w:sz w:val="20"/>
          <w:szCs w:val="20"/>
        </w:rPr>
        <w:t xml:space="preserve"> the gap, the </w:t>
      </w:r>
      <w:proofErr w:type="spellStart"/>
      <w:r w:rsidRPr="003476E4">
        <w:rPr>
          <w:rFonts w:ascii="Arial" w:hAnsi="Arial" w:cs="Arial"/>
          <w:sz w:val="20"/>
          <w:szCs w:val="20"/>
        </w:rPr>
        <w:t>higher</w:t>
      </w:r>
      <w:proofErr w:type="spellEnd"/>
      <w:r w:rsidRPr="003476E4">
        <w:rPr>
          <w:rFonts w:ascii="Arial" w:hAnsi="Arial" w:cs="Arial"/>
          <w:sz w:val="20"/>
          <w:szCs w:val="20"/>
        </w:rPr>
        <w:t xml:space="preserve"> the pension of men </w:t>
      </w:r>
      <w:proofErr w:type="spellStart"/>
      <w:r w:rsidRPr="003476E4">
        <w:rPr>
          <w:rFonts w:ascii="Arial" w:hAnsi="Arial" w:cs="Arial"/>
          <w:sz w:val="20"/>
          <w:szCs w:val="20"/>
        </w:rPr>
        <w:t>compared</w:t>
      </w:r>
      <w:proofErr w:type="spellEnd"/>
      <w:r w:rsidRPr="003476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476E4">
        <w:rPr>
          <w:rFonts w:ascii="Arial" w:hAnsi="Arial" w:cs="Arial"/>
          <w:sz w:val="20"/>
          <w:szCs w:val="20"/>
        </w:rPr>
        <w:t>women</w:t>
      </w:r>
      <w:proofErr w:type="spellEnd"/>
    </w:p>
    <w:p w:rsidR="007755EF" w:rsidRPr="007755EF" w:rsidRDefault="007755EF" w:rsidP="00732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2F0D" w:rsidRDefault="00732F0D">
      <w:r>
        <w:br w:type="page"/>
      </w:r>
    </w:p>
    <w:p w:rsidR="001B01BA" w:rsidRDefault="001B01BA" w:rsidP="00732F0D">
      <w:pPr>
        <w:spacing w:after="0" w:line="240" w:lineRule="auto"/>
      </w:pPr>
    </w:p>
    <w:p w:rsidR="001B01BA" w:rsidRDefault="001B01BA" w:rsidP="00732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D07440">
        <w:rPr>
          <w:rFonts w:ascii="Arial" w:hAnsi="Arial" w:cs="Arial"/>
          <w:b/>
          <w:sz w:val="20"/>
          <w:szCs w:val="20"/>
        </w:rPr>
        <w:t xml:space="preserve">able </w:t>
      </w:r>
      <w:r w:rsidR="00732F0D">
        <w:rPr>
          <w:rFonts w:ascii="Arial" w:hAnsi="Arial" w:cs="Arial"/>
          <w:b/>
          <w:sz w:val="20"/>
          <w:szCs w:val="20"/>
        </w:rPr>
        <w:t>A</w:t>
      </w:r>
      <w:r w:rsidRPr="00D07440">
        <w:rPr>
          <w:rFonts w:ascii="Arial" w:hAnsi="Arial" w:cs="Arial"/>
          <w:b/>
          <w:sz w:val="20"/>
          <w:szCs w:val="20"/>
        </w:rPr>
        <w:t xml:space="preserve">1. </w:t>
      </w:r>
      <w:proofErr w:type="spellStart"/>
      <w:r w:rsidRPr="00D07440">
        <w:rPr>
          <w:rFonts w:ascii="Arial" w:hAnsi="Arial" w:cs="Arial"/>
          <w:b/>
          <w:sz w:val="20"/>
          <w:szCs w:val="20"/>
        </w:rPr>
        <w:t>Decomposition</w:t>
      </w:r>
      <w:proofErr w:type="spellEnd"/>
      <w:r w:rsidRPr="00D07440">
        <w:rPr>
          <w:rFonts w:ascii="Arial" w:hAnsi="Arial" w:cs="Arial"/>
          <w:b/>
          <w:sz w:val="20"/>
          <w:szCs w:val="20"/>
        </w:rPr>
        <w:t xml:space="preserve"> of the </w:t>
      </w:r>
      <w:proofErr w:type="spellStart"/>
      <w:r w:rsidRPr="00D07440">
        <w:rPr>
          <w:rFonts w:ascii="Arial" w:hAnsi="Arial" w:cs="Arial"/>
          <w:b/>
          <w:sz w:val="20"/>
          <w:szCs w:val="20"/>
        </w:rPr>
        <w:t>average</w:t>
      </w:r>
      <w:proofErr w:type="spellEnd"/>
      <w:r w:rsidRPr="00D0744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07440">
        <w:rPr>
          <w:rFonts w:ascii="Arial" w:hAnsi="Arial" w:cs="Arial"/>
          <w:b/>
          <w:sz w:val="20"/>
          <w:szCs w:val="20"/>
        </w:rPr>
        <w:t>gender</w:t>
      </w:r>
      <w:proofErr w:type="spellEnd"/>
      <w:r w:rsidRPr="00D07440">
        <w:rPr>
          <w:rFonts w:ascii="Arial" w:hAnsi="Arial" w:cs="Arial"/>
          <w:b/>
          <w:sz w:val="20"/>
          <w:szCs w:val="20"/>
        </w:rPr>
        <w:t xml:space="preserve"> pension gap</w:t>
      </w:r>
      <w:r w:rsidRPr="00D07440" w:rsidDel="008809EE">
        <w:rPr>
          <w:rFonts w:ascii="Arial" w:hAnsi="Arial" w:cs="Arial"/>
          <w:b/>
          <w:sz w:val="20"/>
          <w:szCs w:val="20"/>
        </w:rPr>
        <w:t xml:space="preserve"> </w:t>
      </w:r>
      <w:r w:rsidRPr="00D07440">
        <w:rPr>
          <w:rFonts w:ascii="Arial" w:hAnsi="Arial" w:cs="Arial"/>
          <w:b/>
          <w:sz w:val="20"/>
          <w:szCs w:val="20"/>
        </w:rPr>
        <w:t>(</w:t>
      </w:r>
      <w:proofErr w:type="spellStart"/>
      <w:r w:rsidRPr="00D07440">
        <w:rPr>
          <w:rFonts w:ascii="Arial" w:hAnsi="Arial" w:cs="Arial"/>
          <w:b/>
          <w:sz w:val="20"/>
          <w:szCs w:val="20"/>
        </w:rPr>
        <w:t>Women</w:t>
      </w:r>
      <w:proofErr w:type="spellEnd"/>
      <w:r w:rsidRPr="00D07440">
        <w:rPr>
          <w:rFonts w:ascii="Arial" w:hAnsi="Arial" w:cs="Arial"/>
          <w:b/>
          <w:sz w:val="20"/>
          <w:szCs w:val="20"/>
        </w:rPr>
        <w:t xml:space="preserve"> – Men pension in log points) for the </w:t>
      </w:r>
      <w:proofErr w:type="spellStart"/>
      <w:r w:rsidRPr="00D07440">
        <w:rPr>
          <w:rFonts w:ascii="Arial" w:hAnsi="Arial" w:cs="Arial"/>
          <w:b/>
          <w:sz w:val="20"/>
          <w:szCs w:val="20"/>
        </w:rPr>
        <w:t>whole</w:t>
      </w:r>
      <w:proofErr w:type="spellEnd"/>
      <w:r w:rsidRPr="00D07440">
        <w:rPr>
          <w:rFonts w:ascii="Arial" w:hAnsi="Arial" w:cs="Arial"/>
          <w:b/>
          <w:sz w:val="20"/>
          <w:szCs w:val="20"/>
        </w:rPr>
        <w:t xml:space="preserve"> population of </w:t>
      </w:r>
      <w:proofErr w:type="spellStart"/>
      <w:r w:rsidRPr="00D07440">
        <w:rPr>
          <w:rFonts w:ascii="Arial" w:hAnsi="Arial" w:cs="Arial"/>
          <w:b/>
          <w:sz w:val="20"/>
          <w:szCs w:val="20"/>
        </w:rPr>
        <w:t>retirees</w:t>
      </w:r>
      <w:proofErr w:type="spellEnd"/>
      <w:r w:rsidRPr="00D07440">
        <w:rPr>
          <w:rFonts w:ascii="Arial" w:hAnsi="Arial" w:cs="Arial"/>
          <w:b/>
          <w:sz w:val="20"/>
          <w:szCs w:val="20"/>
        </w:rPr>
        <w:t xml:space="preserve"> and by </w:t>
      </w:r>
      <w:proofErr w:type="spellStart"/>
      <w:r w:rsidRPr="00D07440">
        <w:rPr>
          <w:rFonts w:ascii="Arial" w:hAnsi="Arial" w:cs="Arial"/>
          <w:b/>
          <w:sz w:val="20"/>
          <w:szCs w:val="20"/>
        </w:rPr>
        <w:t>sector</w:t>
      </w:r>
      <w:proofErr w:type="spellEnd"/>
      <w:r w:rsidR="004605E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605E4">
        <w:rPr>
          <w:rFonts w:ascii="Arial" w:hAnsi="Arial" w:cs="Arial"/>
          <w:b/>
          <w:sz w:val="20"/>
          <w:szCs w:val="20"/>
        </w:rPr>
        <w:t>with</w:t>
      </w:r>
      <w:proofErr w:type="spellEnd"/>
      <w:r w:rsidR="004605E4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="004605E4">
        <w:rPr>
          <w:rFonts w:ascii="Arial" w:hAnsi="Arial" w:cs="Arial"/>
          <w:b/>
          <w:sz w:val="20"/>
          <w:szCs w:val="20"/>
        </w:rPr>
        <w:t>without</w:t>
      </w:r>
      <w:proofErr w:type="spellEnd"/>
      <w:r w:rsidR="004605E4">
        <w:rPr>
          <w:rFonts w:ascii="Arial" w:hAnsi="Arial" w:cs="Arial"/>
          <w:b/>
          <w:sz w:val="20"/>
          <w:szCs w:val="20"/>
        </w:rPr>
        <w:t xml:space="preserve"> minimum pensions</w:t>
      </w:r>
    </w:p>
    <w:p w:rsidR="00732F0D" w:rsidRPr="00D07440" w:rsidRDefault="00732F0D" w:rsidP="00732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992"/>
        <w:gridCol w:w="816"/>
        <w:gridCol w:w="1027"/>
        <w:gridCol w:w="1134"/>
        <w:gridCol w:w="992"/>
        <w:gridCol w:w="850"/>
      </w:tblGrid>
      <w:tr w:rsidR="001B01BA" w:rsidRPr="000C51ED" w:rsidTr="00732F0D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rPr>
                <w:lang w:eastAsia="fr-FR"/>
              </w:rPr>
            </w:pPr>
            <w:r w:rsidRPr="000C51ED">
              <w:rPr>
                <w:lang w:eastAsia="fr-FR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W</w:t>
            </w:r>
            <w:r w:rsidRPr="000C51ED">
              <w:rPr>
                <w:lang w:eastAsia="fr-FR"/>
              </w:rPr>
              <w:t>ithout</w:t>
            </w:r>
            <w:proofErr w:type="spellEnd"/>
            <w:r w:rsidRPr="000C51ED">
              <w:rPr>
                <w:lang w:eastAsia="fr-FR"/>
              </w:rPr>
              <w:t xml:space="preserve"> control for minimum pensions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center"/>
              <w:rPr>
                <w:lang w:eastAsia="fr-FR"/>
              </w:rPr>
            </w:pPr>
            <w:proofErr w:type="spellStart"/>
            <w:r w:rsidRPr="000C51ED">
              <w:rPr>
                <w:lang w:eastAsia="fr-FR"/>
              </w:rPr>
              <w:t>With</w:t>
            </w:r>
            <w:proofErr w:type="spellEnd"/>
            <w:r w:rsidRPr="000C51ED">
              <w:rPr>
                <w:lang w:eastAsia="fr-FR"/>
              </w:rPr>
              <w:t xml:space="preserve"> control for minimum pensions</w:t>
            </w:r>
          </w:p>
        </w:tc>
      </w:tr>
      <w:tr w:rsidR="001B01BA" w:rsidRPr="000C51ED" w:rsidTr="00732F0D">
        <w:trPr>
          <w:trHeight w:val="6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rPr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BA" w:rsidRPr="000C51ED" w:rsidRDefault="001B01BA" w:rsidP="00CE51CA">
            <w:pPr>
              <w:jc w:val="center"/>
              <w:rPr>
                <w:lang w:eastAsia="fr-FR"/>
              </w:rPr>
            </w:pPr>
            <w:proofErr w:type="spellStart"/>
            <w:r w:rsidRPr="000C51ED">
              <w:rPr>
                <w:lang w:eastAsia="fr-FR"/>
              </w:rPr>
              <w:t>Private</w:t>
            </w:r>
            <w:proofErr w:type="spellEnd"/>
            <w:r w:rsidRPr="000C51ED">
              <w:rPr>
                <w:lang w:eastAsia="fr-FR"/>
              </w:rPr>
              <w:br/>
              <w:t>&amp; Public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BA" w:rsidRPr="000C51ED" w:rsidRDefault="001B01BA" w:rsidP="00CE51CA">
            <w:pPr>
              <w:jc w:val="center"/>
              <w:rPr>
                <w:lang w:eastAsia="fr-FR"/>
              </w:rPr>
            </w:pPr>
            <w:proofErr w:type="spellStart"/>
            <w:r w:rsidRPr="000C51ED">
              <w:rPr>
                <w:lang w:eastAsia="fr-FR"/>
              </w:rPr>
              <w:t>Private</w:t>
            </w:r>
            <w:proofErr w:type="spellEnd"/>
            <w:r w:rsidRPr="000C51ED">
              <w:rPr>
                <w:lang w:eastAsia="fr-FR"/>
              </w:rPr>
              <w:br/>
            </w:r>
            <w:proofErr w:type="spellStart"/>
            <w:r w:rsidRPr="000C51ED">
              <w:rPr>
                <w:lang w:eastAsia="fr-FR"/>
              </w:rPr>
              <w:t>only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1BA" w:rsidRPr="000C51ED" w:rsidRDefault="001B01BA" w:rsidP="00CE51CA">
            <w:pPr>
              <w:jc w:val="center"/>
              <w:rPr>
                <w:lang w:eastAsia="fr-FR"/>
              </w:rPr>
            </w:pPr>
            <w:r w:rsidRPr="000C51ED">
              <w:rPr>
                <w:lang w:eastAsia="fr-FR"/>
              </w:rPr>
              <w:t>Public</w:t>
            </w:r>
            <w:r w:rsidRPr="000C51ED">
              <w:rPr>
                <w:lang w:eastAsia="fr-FR"/>
              </w:rPr>
              <w:br/>
            </w:r>
            <w:proofErr w:type="spellStart"/>
            <w:r w:rsidRPr="000C51ED">
              <w:rPr>
                <w:lang w:eastAsia="fr-FR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BA" w:rsidRPr="000C51ED" w:rsidRDefault="001B01BA" w:rsidP="00CE51CA">
            <w:pPr>
              <w:jc w:val="center"/>
              <w:rPr>
                <w:lang w:eastAsia="fr-FR"/>
              </w:rPr>
            </w:pPr>
            <w:proofErr w:type="spellStart"/>
            <w:r w:rsidRPr="000C51ED">
              <w:rPr>
                <w:lang w:eastAsia="fr-FR"/>
              </w:rPr>
              <w:t>Private</w:t>
            </w:r>
            <w:proofErr w:type="spellEnd"/>
            <w:r w:rsidRPr="000C51ED">
              <w:rPr>
                <w:lang w:eastAsia="fr-FR"/>
              </w:rPr>
              <w:br/>
              <w:t>&amp; Public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BA" w:rsidRPr="000C51ED" w:rsidRDefault="001B01BA" w:rsidP="00CE51CA">
            <w:pPr>
              <w:jc w:val="center"/>
              <w:rPr>
                <w:lang w:eastAsia="fr-FR"/>
              </w:rPr>
            </w:pPr>
            <w:proofErr w:type="spellStart"/>
            <w:r w:rsidRPr="000C51ED">
              <w:rPr>
                <w:lang w:eastAsia="fr-FR"/>
              </w:rPr>
              <w:t>Private</w:t>
            </w:r>
            <w:proofErr w:type="spellEnd"/>
            <w:r w:rsidRPr="000C51ED">
              <w:rPr>
                <w:lang w:eastAsia="fr-FR"/>
              </w:rPr>
              <w:br/>
            </w:r>
            <w:proofErr w:type="spellStart"/>
            <w:r w:rsidRPr="000C51ED">
              <w:rPr>
                <w:lang w:eastAsia="fr-FR"/>
              </w:rPr>
              <w:t>only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BA" w:rsidRPr="000C51ED" w:rsidRDefault="001B01BA" w:rsidP="00CE51CA">
            <w:pPr>
              <w:jc w:val="center"/>
              <w:rPr>
                <w:lang w:eastAsia="fr-FR"/>
              </w:rPr>
            </w:pPr>
            <w:r w:rsidRPr="000C51ED">
              <w:rPr>
                <w:lang w:eastAsia="fr-FR"/>
              </w:rPr>
              <w:t>Public</w:t>
            </w:r>
            <w:r w:rsidRPr="000C51ED">
              <w:rPr>
                <w:lang w:eastAsia="fr-FR"/>
              </w:rPr>
              <w:br/>
            </w:r>
            <w:proofErr w:type="spellStart"/>
            <w:r w:rsidRPr="000C51ED">
              <w:rPr>
                <w:lang w:eastAsia="fr-FR"/>
              </w:rPr>
              <w:t>only</w:t>
            </w:r>
            <w:proofErr w:type="spellEnd"/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1BA" w:rsidRPr="000C51ED" w:rsidRDefault="001B01BA" w:rsidP="00CE51CA">
            <w:pPr>
              <w:rPr>
                <w:b/>
                <w:bCs/>
                <w:color w:val="000000"/>
                <w:lang w:eastAsia="fr-FR"/>
              </w:rPr>
            </w:pPr>
            <w:proofErr w:type="spellStart"/>
            <w:r w:rsidRPr="000C51ED">
              <w:rPr>
                <w:b/>
                <w:bCs/>
                <w:color w:val="000000"/>
                <w:lang w:eastAsia="fr-FR"/>
              </w:rPr>
              <w:t>Women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6.646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6.463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7.383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6.646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6.463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7.383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b/>
                <w:bCs/>
                <w:color w:val="000000"/>
                <w:lang w:eastAsia="fr-FR"/>
              </w:rPr>
            </w:pPr>
            <w:r w:rsidRPr="000C51ED">
              <w:rPr>
                <w:b/>
                <w:bCs/>
                <w:color w:val="000000"/>
                <w:lang w:eastAsia="fr-FR"/>
              </w:rPr>
              <w:t>Men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7.188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7.111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7.638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7.188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7.111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7.638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b/>
                <w:bCs/>
                <w:color w:val="000000"/>
                <w:lang w:eastAsia="fr-FR"/>
              </w:rPr>
            </w:pPr>
            <w:r w:rsidRPr="000C51ED">
              <w:rPr>
                <w:b/>
                <w:bCs/>
                <w:color w:val="000000"/>
                <w:lang w:eastAsia="fr-FR"/>
              </w:rPr>
              <w:t>Total gap (W-M)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-0.542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-0.648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-0.255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-0.255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i/>
                <w:iCs/>
                <w:color w:val="000000"/>
                <w:lang w:eastAsia="fr-FR"/>
              </w:rPr>
            </w:pPr>
            <w:proofErr w:type="spellStart"/>
            <w:r w:rsidRPr="000C51ED">
              <w:rPr>
                <w:b/>
                <w:bCs/>
                <w:color w:val="000000"/>
                <w:lang w:eastAsia="fr-FR"/>
              </w:rPr>
              <w:t>Explained</w:t>
            </w:r>
            <w:proofErr w:type="spellEnd"/>
            <w:r w:rsidRPr="000C51ED">
              <w:rPr>
                <w:b/>
                <w:bCs/>
                <w:color w:val="000000"/>
                <w:lang w:eastAsia="fr-FR"/>
              </w:rPr>
              <w:t xml:space="preserve"> gap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-0.484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-0.552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-0.217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-0.483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-0.219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i/>
                <w:iCs/>
                <w:color w:val="000000"/>
                <w:lang w:eastAsia="fr-FR"/>
              </w:rPr>
            </w:pPr>
            <w:r w:rsidRPr="000C51ED">
              <w:rPr>
                <w:i/>
                <w:iCs/>
                <w:color w:val="000000"/>
                <w:lang w:eastAsia="fr-FR"/>
              </w:rPr>
              <w:t xml:space="preserve">contribution </w:t>
            </w:r>
            <w:proofErr w:type="spellStart"/>
            <w:r w:rsidRPr="000C51ED">
              <w:rPr>
                <w:i/>
                <w:iCs/>
                <w:color w:val="000000"/>
                <w:lang w:eastAsia="fr-FR"/>
              </w:rPr>
              <w:t>period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-0.228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-0.279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-0.216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-0.263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-0.092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i/>
                <w:iCs/>
                <w:color w:val="000000"/>
                <w:lang w:eastAsia="fr-FR"/>
              </w:rPr>
            </w:pPr>
            <w:proofErr w:type="spellStart"/>
            <w:r w:rsidRPr="000C51ED">
              <w:rPr>
                <w:i/>
                <w:iCs/>
                <w:color w:val="000000"/>
                <w:lang w:eastAsia="fr-FR"/>
              </w:rPr>
              <w:t>Wage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-0.315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-0.354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-0.417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-0.121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i/>
                <w:iCs/>
                <w:color w:val="000000"/>
                <w:lang w:eastAsia="fr-FR"/>
              </w:rPr>
            </w:pPr>
            <w:r w:rsidRPr="000C51ED">
              <w:rPr>
                <w:i/>
                <w:iCs/>
                <w:color w:val="000000"/>
                <w:lang w:eastAsia="fr-FR"/>
              </w:rPr>
              <w:t xml:space="preserve">Retirement </w:t>
            </w:r>
            <w:proofErr w:type="spellStart"/>
            <w:r w:rsidRPr="000C51ED">
              <w:rPr>
                <w:i/>
                <w:iCs/>
                <w:color w:val="000000"/>
                <w:lang w:eastAsia="fr-FR"/>
              </w:rPr>
              <w:t>age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0.002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i/>
                <w:iCs/>
                <w:color w:val="000000"/>
                <w:lang w:eastAsia="fr-FR"/>
              </w:rPr>
            </w:pPr>
            <w:proofErr w:type="spellStart"/>
            <w:r w:rsidRPr="000C51ED">
              <w:rPr>
                <w:i/>
                <w:iCs/>
                <w:color w:val="000000"/>
                <w:lang w:eastAsia="fr-FR"/>
              </w:rPr>
              <w:t>Children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-0.003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i/>
                <w:iCs/>
                <w:color w:val="000000"/>
                <w:lang w:eastAsia="fr-FR"/>
              </w:rPr>
            </w:pPr>
            <w:proofErr w:type="spellStart"/>
            <w:r w:rsidRPr="000C51ED">
              <w:rPr>
                <w:i/>
                <w:iCs/>
                <w:color w:val="000000"/>
                <w:lang w:eastAsia="fr-FR"/>
              </w:rPr>
              <w:t>Disability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0.001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rPr>
                <w:i/>
                <w:iCs/>
                <w:color w:val="000000"/>
                <w:lang w:eastAsia="fr-FR"/>
              </w:rPr>
            </w:pPr>
            <w:proofErr w:type="spellStart"/>
            <w:r w:rsidRPr="000C51ED">
              <w:rPr>
                <w:i/>
                <w:iCs/>
                <w:color w:val="000000"/>
                <w:lang w:eastAsia="fr-FR"/>
              </w:rPr>
              <w:t>Origin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-0.000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rPr>
                <w:i/>
                <w:iCs/>
                <w:color w:val="000000"/>
                <w:u w:val="single"/>
                <w:lang w:eastAsia="fr-FR"/>
              </w:rPr>
            </w:pPr>
            <w:proofErr w:type="spellStart"/>
            <w:r w:rsidRPr="000C51ED">
              <w:rPr>
                <w:i/>
                <w:iCs/>
                <w:color w:val="000000"/>
                <w:lang w:eastAsia="fr-FR"/>
              </w:rPr>
              <w:t>Cohort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-0.008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rPr>
                <w:b/>
                <w:bCs/>
                <w:i/>
                <w:iCs/>
                <w:color w:val="000000"/>
                <w:lang w:eastAsia="fr-FR"/>
              </w:rPr>
            </w:pPr>
            <w:r w:rsidRPr="000C51ED">
              <w:rPr>
                <w:i/>
                <w:iCs/>
                <w:color w:val="000000"/>
                <w:u w:val="single"/>
                <w:lang w:eastAsia="fr-FR"/>
              </w:rPr>
              <w:t>Minimum pension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0.002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b/>
                <w:bCs/>
                <w:color w:val="000000"/>
                <w:lang w:eastAsia="fr-FR"/>
              </w:rPr>
            </w:pPr>
            <w:proofErr w:type="spellStart"/>
            <w:r w:rsidRPr="000C51ED">
              <w:rPr>
                <w:b/>
                <w:bCs/>
                <w:i/>
                <w:iCs/>
                <w:color w:val="000000"/>
                <w:lang w:eastAsia="fr-FR"/>
              </w:rPr>
              <w:t>Explained</w:t>
            </w:r>
            <w:proofErr w:type="spellEnd"/>
            <w:r w:rsidRPr="000C51ED">
              <w:rPr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0C51ED">
              <w:rPr>
                <w:b/>
                <w:bCs/>
                <w:i/>
                <w:iCs/>
                <w:color w:val="000000"/>
                <w:lang w:eastAsia="fr-FR"/>
              </w:rPr>
              <w:t>share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89.3%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85.2%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84.8%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89.2%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86.0%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85.8%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1BA" w:rsidRPr="000C51ED" w:rsidRDefault="001B01BA" w:rsidP="00CE51CA">
            <w:pPr>
              <w:rPr>
                <w:b/>
                <w:bCs/>
                <w:i/>
                <w:iCs/>
                <w:color w:val="000000"/>
                <w:lang w:eastAsia="fr-FR"/>
              </w:rPr>
            </w:pPr>
            <w:proofErr w:type="spellStart"/>
            <w:r w:rsidRPr="000C51ED">
              <w:rPr>
                <w:b/>
                <w:bCs/>
                <w:color w:val="000000"/>
                <w:lang w:eastAsia="fr-FR"/>
              </w:rPr>
              <w:t>Unexplained</w:t>
            </w:r>
            <w:proofErr w:type="spellEnd"/>
            <w:r w:rsidRPr="000C51ED">
              <w:rPr>
                <w:b/>
                <w:bCs/>
                <w:color w:val="000000"/>
                <w:lang w:eastAsia="fr-FR"/>
              </w:rPr>
              <w:t xml:space="preserve"> part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-0.058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-0.036</w:t>
            </w:r>
          </w:p>
        </w:tc>
      </w:tr>
      <w:tr w:rsidR="001B01BA" w:rsidRPr="000C51ED" w:rsidTr="00732F0D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01BA" w:rsidRPr="000C51ED" w:rsidRDefault="001B01BA" w:rsidP="00CE51CA">
            <w:pPr>
              <w:rPr>
                <w:b/>
                <w:bCs/>
                <w:i/>
                <w:iCs/>
                <w:color w:val="000000"/>
                <w:lang w:eastAsia="fr-FR"/>
              </w:rPr>
            </w:pPr>
            <w:proofErr w:type="spellStart"/>
            <w:r w:rsidRPr="000C51ED">
              <w:rPr>
                <w:b/>
                <w:bCs/>
                <w:i/>
                <w:iCs/>
                <w:color w:val="000000"/>
                <w:lang w:eastAsia="fr-FR"/>
              </w:rPr>
              <w:t>Unexplained</w:t>
            </w:r>
            <w:proofErr w:type="spellEnd"/>
            <w:r w:rsidRPr="000C51ED">
              <w:rPr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0C51ED">
              <w:rPr>
                <w:b/>
                <w:bCs/>
                <w:i/>
                <w:iCs/>
                <w:color w:val="000000"/>
                <w:lang w:eastAsia="fr-FR"/>
              </w:rPr>
              <w:t>share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10.7%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14.8%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15.2%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10.8%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14.0%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1BA" w:rsidRPr="000C51ED" w:rsidRDefault="001B01BA" w:rsidP="00CE51CA">
            <w:pPr>
              <w:jc w:val="right"/>
              <w:rPr>
                <w:lang w:eastAsia="fr-FR"/>
              </w:rPr>
            </w:pPr>
            <w:r w:rsidRPr="000C51ED">
              <w:rPr>
                <w:lang w:eastAsia="fr-FR"/>
              </w:rPr>
              <w:t>14.2%</w:t>
            </w:r>
          </w:p>
        </w:tc>
      </w:tr>
    </w:tbl>
    <w:p w:rsidR="001B01BA" w:rsidRPr="000C51ED" w:rsidRDefault="001B01BA" w:rsidP="001B01BA">
      <w:pPr>
        <w:jc w:val="both"/>
      </w:pPr>
      <w:r w:rsidRPr="000C51ED">
        <w:t xml:space="preserve">Source: EIR 2012, </w:t>
      </w:r>
      <w:proofErr w:type="spellStart"/>
      <w:r w:rsidRPr="000C51ED">
        <w:t>Retirees</w:t>
      </w:r>
      <w:proofErr w:type="spellEnd"/>
      <w:r w:rsidRPr="000C51ED">
        <w:t xml:space="preserve"> </w:t>
      </w:r>
      <w:proofErr w:type="spellStart"/>
      <w:r w:rsidRPr="000C51ED">
        <w:t>with</w:t>
      </w:r>
      <w:proofErr w:type="spellEnd"/>
      <w:r w:rsidRPr="000C51ED">
        <w:t xml:space="preserve"> </w:t>
      </w:r>
      <w:proofErr w:type="spellStart"/>
      <w:r w:rsidRPr="000C51ED">
        <w:t>own</w:t>
      </w:r>
      <w:proofErr w:type="spellEnd"/>
      <w:r w:rsidRPr="000C51ED">
        <w:t xml:space="preserve"> pensions, as of 31 </w:t>
      </w:r>
      <w:proofErr w:type="spellStart"/>
      <w:r w:rsidRPr="000C51ED">
        <w:t>December</w:t>
      </w:r>
      <w:proofErr w:type="spellEnd"/>
      <w:r w:rsidRPr="000C51ED">
        <w:t xml:space="preserve"> 2012</w:t>
      </w:r>
    </w:p>
    <w:p w:rsidR="001B01BA" w:rsidRDefault="001B01BA"/>
    <w:sectPr w:rsidR="001B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BA"/>
    <w:rsid w:val="001B01BA"/>
    <w:rsid w:val="004605E4"/>
    <w:rsid w:val="00732F0D"/>
    <w:rsid w:val="007755EF"/>
    <w:rsid w:val="009235CA"/>
    <w:rsid w:val="00A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7FE8"/>
  <w15:chartTrackingRefBased/>
  <w15:docId w15:val="{82E89195-7520-4784-9D97-80E7E53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BONNET</dc:creator>
  <cp:keywords/>
  <dc:description/>
  <cp:lastModifiedBy>Carole BONNET</cp:lastModifiedBy>
  <cp:revision>5</cp:revision>
  <dcterms:created xsi:type="dcterms:W3CDTF">2019-09-18T18:58:00Z</dcterms:created>
  <dcterms:modified xsi:type="dcterms:W3CDTF">2019-09-20T09:24:00Z</dcterms:modified>
</cp:coreProperties>
</file>