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2C" w:rsidRDefault="00B8502C" w:rsidP="00B8502C">
      <w:pPr>
        <w:rPr>
          <w:rFonts w:ascii="Times New Roman" w:eastAsia="Times New Roman" w:hAnsi="Times New Roman" w:cs="Times New Roman"/>
          <w:b/>
          <w:color w:val="000000"/>
          <w:sz w:val="24"/>
          <w:szCs w:val="24"/>
          <w:lang w:val="en-US" w:eastAsia="de-DE"/>
        </w:rPr>
      </w:pPr>
      <w:r w:rsidRPr="00110079">
        <w:rPr>
          <w:rFonts w:ascii="Times New Roman" w:eastAsia="Times New Roman" w:hAnsi="Times New Roman" w:cs="Times New Roman"/>
          <w:b/>
          <w:color w:val="000000"/>
          <w:sz w:val="24"/>
          <w:szCs w:val="24"/>
          <w:lang w:val="en-US" w:eastAsia="de-DE"/>
        </w:rPr>
        <w:t xml:space="preserve">Supplementary online material </w:t>
      </w:r>
      <w:r>
        <w:rPr>
          <w:rFonts w:ascii="Times New Roman" w:eastAsia="Times New Roman" w:hAnsi="Times New Roman" w:cs="Times New Roman"/>
          <w:b/>
          <w:color w:val="000000"/>
          <w:sz w:val="24"/>
          <w:szCs w:val="24"/>
          <w:lang w:val="en-US" w:eastAsia="de-DE"/>
        </w:rPr>
        <w:t>2</w:t>
      </w:r>
      <w:r w:rsidRPr="00110079">
        <w:rPr>
          <w:rFonts w:ascii="Times New Roman" w:eastAsia="Times New Roman" w:hAnsi="Times New Roman" w:cs="Times New Roman"/>
          <w:b/>
          <w:color w:val="000000"/>
          <w:sz w:val="24"/>
          <w:szCs w:val="24"/>
          <w:lang w:val="en-US" w:eastAsia="de-DE"/>
        </w:rPr>
        <w:t>:</w:t>
      </w:r>
    </w:p>
    <w:p w:rsidR="00430C34" w:rsidRDefault="00430C34" w:rsidP="00430C34">
      <w:pPr>
        <w:spacing w:after="0" w:line="480" w:lineRule="auto"/>
        <w:jc w:val="both"/>
        <w:rPr>
          <w:rFonts w:ascii="Times New Roman" w:eastAsia="Times New Roman" w:hAnsi="Times New Roman" w:cs="Times New Roman"/>
          <w:color w:val="000000"/>
          <w:sz w:val="24"/>
          <w:szCs w:val="24"/>
          <w:lang w:val="en-US" w:eastAsia="de-DE"/>
        </w:rPr>
      </w:pPr>
      <w:r w:rsidRPr="00895CE4">
        <w:rPr>
          <w:rFonts w:ascii="Times New Roman" w:eastAsia="Times New Roman" w:hAnsi="Times New Roman" w:cs="Times New Roman"/>
          <w:b/>
          <w:color w:val="000000"/>
          <w:sz w:val="24"/>
          <w:szCs w:val="24"/>
          <w:lang w:val="en-US" w:eastAsia="de-DE"/>
        </w:rPr>
        <w:t>Table S</w:t>
      </w:r>
      <w:r w:rsidR="00086965" w:rsidRPr="00895CE4">
        <w:rPr>
          <w:rFonts w:ascii="Times New Roman" w:eastAsia="Times New Roman" w:hAnsi="Times New Roman" w:cs="Times New Roman"/>
          <w:b/>
          <w:color w:val="000000"/>
          <w:sz w:val="24"/>
          <w:szCs w:val="24"/>
          <w:lang w:val="en-US" w:eastAsia="de-DE"/>
        </w:rPr>
        <w:t>2</w:t>
      </w:r>
      <w:r w:rsidRPr="00895CE4">
        <w:rPr>
          <w:rFonts w:ascii="Times New Roman" w:eastAsia="Times New Roman" w:hAnsi="Times New Roman" w:cs="Times New Roman"/>
          <w:b/>
          <w:color w:val="000000"/>
          <w:sz w:val="24"/>
          <w:szCs w:val="24"/>
          <w:lang w:val="en-US" w:eastAsia="de-DE"/>
        </w:rPr>
        <w:t>.</w:t>
      </w:r>
      <w:r w:rsidRPr="00173DCF">
        <w:rPr>
          <w:rFonts w:ascii="Times New Roman" w:eastAsia="Times New Roman" w:hAnsi="Times New Roman" w:cs="Times New Roman"/>
          <w:color w:val="000000"/>
          <w:sz w:val="24"/>
          <w:szCs w:val="24"/>
          <w:lang w:val="en-US" w:eastAsia="de-DE"/>
        </w:rPr>
        <w:t xml:space="preserve"> Description of locations used for the evaluation of 225 pearl millet accessions during the 2010 season in Sudan</w:t>
      </w:r>
      <w:r w:rsidR="008F67A1">
        <w:rPr>
          <w:rFonts w:ascii="Times New Roman" w:eastAsia="Times New Roman" w:hAnsi="Times New Roman" w:cs="Times New Roman"/>
          <w:color w:val="000000"/>
          <w:sz w:val="24"/>
          <w:szCs w:val="24"/>
          <w:lang w:val="en-US" w:eastAsia="de-DE"/>
        </w:rPr>
        <w:t>.</w:t>
      </w:r>
    </w:p>
    <w:tbl>
      <w:tblPr>
        <w:tblStyle w:val="TableGrid"/>
        <w:tblW w:w="9322" w:type="dxa"/>
        <w:tblLayout w:type="fixed"/>
        <w:tblLook w:val="04A0"/>
      </w:tblPr>
      <w:tblGrid>
        <w:gridCol w:w="1091"/>
        <w:gridCol w:w="1125"/>
        <w:gridCol w:w="996"/>
        <w:gridCol w:w="992"/>
        <w:gridCol w:w="703"/>
        <w:gridCol w:w="1134"/>
        <w:gridCol w:w="992"/>
        <w:gridCol w:w="851"/>
        <w:gridCol w:w="729"/>
        <w:gridCol w:w="709"/>
      </w:tblGrid>
      <w:tr w:rsidR="00430C34" w:rsidRPr="00173DCF" w:rsidTr="009E2354">
        <w:tc>
          <w:tcPr>
            <w:tcW w:w="1091"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Pr>
                <w:rFonts w:ascii="Times New Roman" w:eastAsia="Times New Roman" w:hAnsi="Times New Roman" w:cs="Times New Roman"/>
                <w:color w:val="000000"/>
                <w:sz w:val="24"/>
                <w:szCs w:val="24"/>
                <w:lang w:val="en-US" w:eastAsia="de-DE"/>
              </w:rPr>
              <w:t>Location</w:t>
            </w:r>
          </w:p>
        </w:tc>
        <w:tc>
          <w:tcPr>
            <w:tcW w:w="1125" w:type="dxa"/>
          </w:tcPr>
          <w:p w:rsidR="00430C34" w:rsidRPr="00173DCF" w:rsidRDefault="00430C34" w:rsidP="009E2354">
            <w:pPr>
              <w:spacing w:line="360" w:lineRule="auto"/>
              <w:jc w:val="both"/>
              <w:rPr>
                <w:rFonts w:ascii="Times New Roman" w:eastAsia="Times New Roman" w:hAnsi="Times New Roman" w:cs="Times New Roman"/>
                <w:color w:val="000000"/>
                <w:sz w:val="24"/>
                <w:szCs w:val="24"/>
                <w:lang w:val="en-US" w:eastAsia="de-DE"/>
              </w:rPr>
            </w:pPr>
            <w:r w:rsidRPr="00173DCF">
              <w:rPr>
                <w:rFonts w:ascii="Times New Roman" w:eastAsia="Times New Roman" w:hAnsi="Times New Roman" w:cs="Times New Roman"/>
                <w:color w:val="000000"/>
                <w:sz w:val="24"/>
                <w:szCs w:val="24"/>
                <w:lang w:val="en-US" w:eastAsia="de-DE"/>
              </w:rPr>
              <w:t>Water regime</w:t>
            </w:r>
          </w:p>
        </w:tc>
        <w:tc>
          <w:tcPr>
            <w:tcW w:w="996"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proofErr w:type="spellStart"/>
            <w:r w:rsidRPr="00173DCF">
              <w:rPr>
                <w:rFonts w:ascii="Times New Roman" w:eastAsia="Times New Roman" w:hAnsi="Times New Roman" w:cs="Times New Roman"/>
                <w:color w:val="000000"/>
                <w:sz w:val="24"/>
                <w:szCs w:val="24"/>
                <w:lang w:val="en-US" w:eastAsia="de-DE"/>
              </w:rPr>
              <w:t>Long</w:t>
            </w:r>
            <w:r>
              <w:rPr>
                <w:rFonts w:ascii="Times New Roman" w:eastAsia="Times New Roman" w:hAnsi="Times New Roman" w:cs="Times New Roman"/>
                <w:color w:val="000000"/>
                <w:sz w:val="24"/>
                <w:szCs w:val="24"/>
                <w:lang w:val="en-US" w:eastAsia="de-DE"/>
              </w:rPr>
              <w:t>i-tude</w:t>
            </w:r>
            <w:proofErr w:type="spellEnd"/>
            <w:r w:rsidR="00644106">
              <w:rPr>
                <w:rFonts w:ascii="Times New Roman" w:eastAsia="Times New Roman" w:hAnsi="Times New Roman" w:cs="Times New Roman"/>
                <w:color w:val="000000"/>
                <w:sz w:val="24"/>
                <w:szCs w:val="24"/>
                <w:lang w:val="en-US" w:eastAsia="de-DE"/>
              </w:rPr>
              <w:t xml:space="preserve"> (</w:t>
            </w:r>
            <w:proofErr w:type="spellStart"/>
            <w:r w:rsidR="00644106">
              <w:rPr>
                <w:rFonts w:ascii="Times New Roman" w:eastAsia="Times New Roman" w:hAnsi="Times New Roman" w:cs="Times New Roman"/>
                <w:color w:val="000000"/>
                <w:sz w:val="24"/>
                <w:szCs w:val="24"/>
                <w:lang w:val="en-US" w:eastAsia="de-DE"/>
              </w:rPr>
              <w:t>dec</w:t>
            </w:r>
            <w:proofErr w:type="spellEnd"/>
            <w:r w:rsidR="00644106">
              <w:rPr>
                <w:rFonts w:ascii="Times New Roman" w:eastAsia="Times New Roman" w:hAnsi="Times New Roman" w:cs="Times New Roman"/>
                <w:color w:val="000000"/>
                <w:sz w:val="24"/>
                <w:szCs w:val="24"/>
                <w:lang w:val="en-US" w:eastAsia="de-DE"/>
              </w:rPr>
              <w:t>.)</w:t>
            </w:r>
          </w:p>
        </w:tc>
        <w:tc>
          <w:tcPr>
            <w:tcW w:w="992"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proofErr w:type="spellStart"/>
            <w:r w:rsidRPr="0004066A">
              <w:rPr>
                <w:rFonts w:ascii="Times New Roman" w:eastAsia="Times New Roman" w:hAnsi="Times New Roman" w:cs="Times New Roman"/>
                <w:color w:val="000000"/>
                <w:sz w:val="24"/>
                <w:szCs w:val="24"/>
                <w:lang w:val="en-US" w:eastAsia="de-DE"/>
              </w:rPr>
              <w:t>Lati</w:t>
            </w:r>
            <w:r>
              <w:rPr>
                <w:rFonts w:ascii="Times New Roman" w:eastAsia="Times New Roman" w:hAnsi="Times New Roman" w:cs="Times New Roman"/>
                <w:color w:val="000000"/>
                <w:sz w:val="24"/>
                <w:szCs w:val="24"/>
                <w:lang w:val="en-US" w:eastAsia="de-DE"/>
              </w:rPr>
              <w:t>-</w:t>
            </w:r>
            <w:r w:rsidRPr="0004066A">
              <w:rPr>
                <w:rFonts w:ascii="Times New Roman" w:eastAsia="Times New Roman" w:hAnsi="Times New Roman" w:cs="Times New Roman"/>
                <w:color w:val="000000"/>
                <w:sz w:val="24"/>
                <w:szCs w:val="24"/>
                <w:lang w:val="en-US" w:eastAsia="de-DE"/>
              </w:rPr>
              <w:t>tude</w:t>
            </w:r>
            <w:proofErr w:type="spellEnd"/>
            <w:r w:rsidR="00644106">
              <w:rPr>
                <w:rFonts w:ascii="Times New Roman" w:eastAsia="Times New Roman" w:hAnsi="Times New Roman" w:cs="Times New Roman"/>
                <w:color w:val="000000"/>
                <w:sz w:val="24"/>
                <w:szCs w:val="24"/>
                <w:lang w:val="en-US" w:eastAsia="de-DE"/>
              </w:rPr>
              <w:t xml:space="preserve"> (</w:t>
            </w:r>
            <w:proofErr w:type="spellStart"/>
            <w:r w:rsidR="00644106">
              <w:rPr>
                <w:rFonts w:ascii="Times New Roman" w:eastAsia="Times New Roman" w:hAnsi="Times New Roman" w:cs="Times New Roman"/>
                <w:color w:val="000000"/>
                <w:sz w:val="24"/>
                <w:szCs w:val="24"/>
                <w:lang w:val="en-US" w:eastAsia="de-DE"/>
              </w:rPr>
              <w:t>dec</w:t>
            </w:r>
            <w:proofErr w:type="spellEnd"/>
            <w:r w:rsidR="00644106">
              <w:rPr>
                <w:rFonts w:ascii="Times New Roman" w:eastAsia="Times New Roman" w:hAnsi="Times New Roman" w:cs="Times New Roman"/>
                <w:color w:val="000000"/>
                <w:sz w:val="24"/>
                <w:szCs w:val="24"/>
                <w:lang w:val="en-US" w:eastAsia="de-DE"/>
              </w:rPr>
              <w:t>.)</w:t>
            </w:r>
          </w:p>
        </w:tc>
        <w:tc>
          <w:tcPr>
            <w:tcW w:w="703"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proofErr w:type="spellStart"/>
            <w:r w:rsidRPr="0004066A">
              <w:rPr>
                <w:rFonts w:ascii="Times New Roman" w:eastAsia="Times New Roman" w:hAnsi="Times New Roman" w:cs="Times New Roman"/>
                <w:color w:val="000000"/>
                <w:sz w:val="24"/>
                <w:szCs w:val="24"/>
                <w:lang w:val="en-US" w:eastAsia="de-DE"/>
              </w:rPr>
              <w:t>Alti</w:t>
            </w:r>
            <w:r>
              <w:rPr>
                <w:rFonts w:ascii="Times New Roman" w:eastAsia="Times New Roman" w:hAnsi="Times New Roman" w:cs="Times New Roman"/>
                <w:color w:val="000000"/>
                <w:sz w:val="24"/>
                <w:szCs w:val="24"/>
                <w:lang w:val="en-US" w:eastAsia="de-DE"/>
              </w:rPr>
              <w:t>-</w:t>
            </w:r>
            <w:r w:rsidRPr="0004066A">
              <w:rPr>
                <w:rFonts w:ascii="Times New Roman" w:eastAsia="Times New Roman" w:hAnsi="Times New Roman" w:cs="Times New Roman"/>
                <w:color w:val="000000"/>
                <w:sz w:val="24"/>
                <w:szCs w:val="24"/>
                <w:lang w:val="en-US" w:eastAsia="de-DE"/>
              </w:rPr>
              <w:t>tude</w:t>
            </w:r>
            <w:proofErr w:type="spellEnd"/>
            <w:r w:rsidR="00644106">
              <w:rPr>
                <w:rFonts w:ascii="Times New Roman" w:eastAsia="Times New Roman" w:hAnsi="Times New Roman" w:cs="Times New Roman"/>
                <w:color w:val="000000"/>
                <w:sz w:val="24"/>
                <w:szCs w:val="24"/>
                <w:lang w:val="en-US" w:eastAsia="de-DE"/>
              </w:rPr>
              <w:t xml:space="preserve"> (m)</w:t>
            </w:r>
          </w:p>
        </w:tc>
        <w:tc>
          <w:tcPr>
            <w:tcW w:w="1134"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Soil type</w:t>
            </w:r>
          </w:p>
        </w:tc>
        <w:tc>
          <w:tcPr>
            <w:tcW w:w="992"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Soil pH</w:t>
            </w:r>
          </w:p>
        </w:tc>
        <w:tc>
          <w:tcPr>
            <w:tcW w:w="851"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Rain</w:t>
            </w:r>
            <w:r>
              <w:rPr>
                <w:rFonts w:ascii="Times New Roman" w:eastAsia="Times New Roman" w:hAnsi="Times New Roman" w:cs="Times New Roman"/>
                <w:color w:val="000000"/>
                <w:sz w:val="24"/>
                <w:szCs w:val="24"/>
                <w:lang w:val="en-US" w:eastAsia="de-DE"/>
              </w:rPr>
              <w:softHyphen/>
            </w:r>
            <w:r w:rsidRPr="00173DCF">
              <w:rPr>
                <w:rFonts w:ascii="Times New Roman" w:eastAsia="Times New Roman" w:hAnsi="Times New Roman" w:cs="Times New Roman"/>
                <w:color w:val="000000"/>
                <w:sz w:val="24"/>
                <w:szCs w:val="24"/>
                <w:lang w:val="en-US" w:eastAsia="de-DE"/>
              </w:rPr>
              <w:t>fall</w:t>
            </w:r>
            <w:r>
              <w:rPr>
                <w:rFonts w:ascii="Times New Roman" w:eastAsia="Times New Roman" w:hAnsi="Times New Roman" w:cs="Times New Roman"/>
                <w:color w:val="000000"/>
                <w:sz w:val="24"/>
                <w:szCs w:val="24"/>
                <w:lang w:val="en-US" w:eastAsia="de-DE"/>
              </w:rPr>
              <w:t>²</w:t>
            </w:r>
            <w:r w:rsidR="00644106">
              <w:rPr>
                <w:rFonts w:ascii="Times New Roman" w:eastAsia="Times New Roman" w:hAnsi="Times New Roman" w:cs="Times New Roman"/>
                <w:color w:val="000000"/>
                <w:sz w:val="24"/>
                <w:szCs w:val="24"/>
                <w:lang w:val="en-US" w:eastAsia="de-DE"/>
              </w:rPr>
              <w:t xml:space="preserve"> (mm)</w:t>
            </w:r>
          </w:p>
        </w:tc>
        <w:tc>
          <w:tcPr>
            <w:tcW w:w="729"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RH</w:t>
            </w:r>
            <w:r w:rsidRPr="00AC698F">
              <w:rPr>
                <w:rFonts w:ascii="Times New Roman" w:eastAsia="Times New Roman" w:hAnsi="Times New Roman" w:cs="Times New Roman"/>
                <w:color w:val="000000"/>
                <w:sz w:val="20"/>
                <w:szCs w:val="20"/>
                <w:vertAlign w:val="superscript"/>
                <w:lang w:val="en-US" w:eastAsia="de-DE"/>
              </w:rPr>
              <w:t>1</w:t>
            </w:r>
            <w:r w:rsidRPr="00173DCF">
              <w:rPr>
                <w:rFonts w:ascii="Times New Roman" w:eastAsia="Times New Roman" w:hAnsi="Times New Roman" w:cs="Times New Roman"/>
                <w:color w:val="000000"/>
                <w:sz w:val="24"/>
                <w:szCs w:val="24"/>
                <w:lang w:val="en-US" w:eastAsia="de-DE"/>
              </w:rPr>
              <w:t xml:space="preserve"> </w:t>
            </w:r>
            <w:r w:rsidR="00644106">
              <w:rPr>
                <w:rFonts w:ascii="Times New Roman" w:eastAsia="Times New Roman" w:hAnsi="Times New Roman" w:cs="Times New Roman"/>
                <w:color w:val="000000"/>
                <w:sz w:val="24"/>
                <w:szCs w:val="24"/>
                <w:lang w:val="en-US" w:eastAsia="de-DE"/>
              </w:rPr>
              <w:t>(</w:t>
            </w:r>
            <w:r w:rsidRPr="00173DCF">
              <w:rPr>
                <w:rFonts w:ascii="Times New Roman" w:eastAsia="Times New Roman" w:hAnsi="Times New Roman" w:cs="Times New Roman"/>
                <w:color w:val="000000"/>
                <w:sz w:val="24"/>
                <w:szCs w:val="24"/>
                <w:lang w:val="en-US" w:eastAsia="de-DE"/>
              </w:rPr>
              <w:t>%</w:t>
            </w:r>
            <w:r w:rsidR="00644106">
              <w:rPr>
                <w:rFonts w:ascii="Times New Roman" w:eastAsia="Times New Roman" w:hAnsi="Times New Roman" w:cs="Times New Roman"/>
                <w:color w:val="000000"/>
                <w:sz w:val="24"/>
                <w:szCs w:val="24"/>
                <w:lang w:val="en-US" w:eastAsia="de-DE"/>
              </w:rPr>
              <w:t>)</w:t>
            </w:r>
          </w:p>
        </w:tc>
        <w:tc>
          <w:tcPr>
            <w:tcW w:w="709"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T</w:t>
            </w:r>
            <w:r w:rsidRPr="00AC698F">
              <w:rPr>
                <w:rFonts w:ascii="Times New Roman" w:eastAsia="Times New Roman" w:hAnsi="Times New Roman" w:cs="Times New Roman"/>
                <w:color w:val="000000"/>
                <w:sz w:val="20"/>
                <w:szCs w:val="20"/>
                <w:vertAlign w:val="superscript"/>
                <w:lang w:val="en-US" w:eastAsia="de-DE"/>
              </w:rPr>
              <w:t>1</w:t>
            </w:r>
            <w:r>
              <w:rPr>
                <w:rFonts w:ascii="Times New Roman" w:eastAsia="Times New Roman" w:hAnsi="Times New Roman" w:cs="Times New Roman"/>
                <w:color w:val="000000"/>
                <w:sz w:val="24"/>
                <w:szCs w:val="24"/>
                <w:lang w:val="en-US" w:eastAsia="de-DE"/>
              </w:rPr>
              <w:t xml:space="preserve"> </w:t>
            </w:r>
            <w:r w:rsidR="00644106">
              <w:rPr>
                <w:rFonts w:ascii="Times New Roman" w:eastAsia="Times New Roman" w:hAnsi="Times New Roman" w:cs="Times New Roman"/>
                <w:color w:val="000000"/>
                <w:sz w:val="24"/>
                <w:szCs w:val="24"/>
                <w:lang w:val="en-US" w:eastAsia="de-DE"/>
              </w:rPr>
              <w:t>(</w:t>
            </w:r>
            <w:r w:rsidRPr="00173DCF">
              <w:rPr>
                <w:rFonts w:ascii="Times New Roman" w:eastAsia="Times New Roman" w:hAnsi="Times New Roman" w:cs="Times New Roman"/>
                <w:color w:val="000000"/>
                <w:sz w:val="24"/>
                <w:szCs w:val="24"/>
                <w:lang w:val="en-US" w:eastAsia="de-DE"/>
              </w:rPr>
              <w:t>°C</w:t>
            </w:r>
            <w:r w:rsidR="00644106">
              <w:rPr>
                <w:rFonts w:ascii="Times New Roman" w:eastAsia="Times New Roman" w:hAnsi="Times New Roman" w:cs="Times New Roman"/>
                <w:color w:val="000000"/>
                <w:sz w:val="24"/>
                <w:szCs w:val="24"/>
                <w:lang w:val="en-US" w:eastAsia="de-DE"/>
              </w:rPr>
              <w:t>)</w:t>
            </w:r>
          </w:p>
        </w:tc>
      </w:tr>
      <w:tr w:rsidR="00430C34" w:rsidRPr="00173DCF" w:rsidTr="009E2354">
        <w:tc>
          <w:tcPr>
            <w:tcW w:w="1091"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 xml:space="preserve">El </w:t>
            </w:r>
            <w:proofErr w:type="spellStart"/>
            <w:r w:rsidRPr="00173DCF">
              <w:rPr>
                <w:rFonts w:ascii="Times New Roman" w:eastAsia="Times New Roman" w:hAnsi="Times New Roman" w:cs="Times New Roman"/>
                <w:color w:val="000000"/>
                <w:sz w:val="24"/>
                <w:szCs w:val="24"/>
                <w:lang w:val="en-US" w:eastAsia="de-DE"/>
              </w:rPr>
              <w:t>Fasher</w:t>
            </w:r>
            <w:proofErr w:type="spellEnd"/>
          </w:p>
        </w:tc>
        <w:tc>
          <w:tcPr>
            <w:tcW w:w="1125" w:type="dxa"/>
          </w:tcPr>
          <w:p w:rsidR="00430C34" w:rsidRPr="00173DCF" w:rsidRDefault="00430C34" w:rsidP="009E2354">
            <w:pPr>
              <w:spacing w:line="360" w:lineRule="auto"/>
              <w:jc w:val="both"/>
              <w:rPr>
                <w:rFonts w:ascii="Times New Roman" w:eastAsia="Times New Roman" w:hAnsi="Times New Roman" w:cs="Times New Roman"/>
                <w:color w:val="000000"/>
                <w:sz w:val="24"/>
                <w:szCs w:val="24"/>
                <w:lang w:val="en-US" w:eastAsia="de-DE"/>
              </w:rPr>
            </w:pPr>
            <w:proofErr w:type="spellStart"/>
            <w:r w:rsidRPr="00173DCF">
              <w:rPr>
                <w:rFonts w:ascii="Times New Roman" w:eastAsia="Times New Roman" w:hAnsi="Times New Roman" w:cs="Times New Roman"/>
                <w:color w:val="000000"/>
                <w:sz w:val="24"/>
                <w:szCs w:val="24"/>
                <w:lang w:val="en-US" w:eastAsia="de-DE"/>
              </w:rPr>
              <w:t>Rainfed</w:t>
            </w:r>
            <w:proofErr w:type="spellEnd"/>
          </w:p>
        </w:tc>
        <w:tc>
          <w:tcPr>
            <w:tcW w:w="996"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25.32</w:t>
            </w:r>
            <w:r>
              <w:rPr>
                <w:rFonts w:ascii="Times New Roman" w:eastAsia="Times New Roman" w:hAnsi="Times New Roman" w:cs="Times New Roman"/>
                <w:color w:val="000000"/>
                <w:sz w:val="24"/>
                <w:szCs w:val="24"/>
                <w:lang w:val="en-US" w:eastAsia="de-DE"/>
              </w:rPr>
              <w:t>3</w:t>
            </w:r>
          </w:p>
        </w:tc>
        <w:tc>
          <w:tcPr>
            <w:tcW w:w="992"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13.637</w:t>
            </w:r>
          </w:p>
        </w:tc>
        <w:tc>
          <w:tcPr>
            <w:tcW w:w="703"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710</w:t>
            </w:r>
          </w:p>
        </w:tc>
        <w:tc>
          <w:tcPr>
            <w:tcW w:w="1134"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Sandy soil</w:t>
            </w:r>
          </w:p>
        </w:tc>
        <w:tc>
          <w:tcPr>
            <w:tcW w:w="992"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7.3</w:t>
            </w:r>
          </w:p>
        </w:tc>
        <w:tc>
          <w:tcPr>
            <w:tcW w:w="851"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172.0</w:t>
            </w:r>
          </w:p>
        </w:tc>
        <w:tc>
          <w:tcPr>
            <w:tcW w:w="729"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24.3</w:t>
            </w:r>
          </w:p>
        </w:tc>
        <w:tc>
          <w:tcPr>
            <w:tcW w:w="709"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 xml:space="preserve">27.1 </w:t>
            </w:r>
          </w:p>
        </w:tc>
      </w:tr>
      <w:tr w:rsidR="00430C34" w:rsidRPr="00173DCF" w:rsidTr="009E2354">
        <w:tc>
          <w:tcPr>
            <w:tcW w:w="1091"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El Obeid</w:t>
            </w:r>
          </w:p>
        </w:tc>
        <w:tc>
          <w:tcPr>
            <w:tcW w:w="1125" w:type="dxa"/>
          </w:tcPr>
          <w:p w:rsidR="00430C34" w:rsidRPr="00173DCF" w:rsidRDefault="00430C34" w:rsidP="009E2354">
            <w:pPr>
              <w:spacing w:line="360" w:lineRule="auto"/>
              <w:jc w:val="both"/>
              <w:rPr>
                <w:rFonts w:ascii="Times New Roman" w:eastAsia="Times New Roman" w:hAnsi="Times New Roman" w:cs="Times New Roman"/>
                <w:color w:val="000000"/>
                <w:sz w:val="24"/>
                <w:szCs w:val="24"/>
                <w:lang w:val="en-US" w:eastAsia="de-DE"/>
              </w:rPr>
            </w:pPr>
            <w:proofErr w:type="spellStart"/>
            <w:r w:rsidRPr="00173DCF">
              <w:rPr>
                <w:rFonts w:ascii="Times New Roman" w:eastAsia="Times New Roman" w:hAnsi="Times New Roman" w:cs="Times New Roman"/>
                <w:color w:val="000000"/>
                <w:sz w:val="24"/>
                <w:szCs w:val="24"/>
                <w:lang w:val="en-US" w:eastAsia="de-DE"/>
              </w:rPr>
              <w:t>Rainfed</w:t>
            </w:r>
            <w:proofErr w:type="spellEnd"/>
          </w:p>
        </w:tc>
        <w:tc>
          <w:tcPr>
            <w:tcW w:w="996"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30.290</w:t>
            </w:r>
          </w:p>
        </w:tc>
        <w:tc>
          <w:tcPr>
            <w:tcW w:w="992"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13.126</w:t>
            </w:r>
          </w:p>
        </w:tc>
        <w:tc>
          <w:tcPr>
            <w:tcW w:w="703"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570</w:t>
            </w:r>
          </w:p>
        </w:tc>
        <w:tc>
          <w:tcPr>
            <w:tcW w:w="1134"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Sandy soil</w:t>
            </w:r>
          </w:p>
        </w:tc>
        <w:tc>
          <w:tcPr>
            <w:tcW w:w="992"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6.5–7.4</w:t>
            </w:r>
          </w:p>
        </w:tc>
        <w:tc>
          <w:tcPr>
            <w:tcW w:w="851"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214.8</w:t>
            </w:r>
          </w:p>
        </w:tc>
        <w:tc>
          <w:tcPr>
            <w:tcW w:w="729"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25.2</w:t>
            </w:r>
          </w:p>
        </w:tc>
        <w:tc>
          <w:tcPr>
            <w:tcW w:w="709"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28.0</w:t>
            </w:r>
          </w:p>
        </w:tc>
      </w:tr>
      <w:tr w:rsidR="00430C34" w:rsidRPr="00173DCF" w:rsidTr="009E2354">
        <w:tc>
          <w:tcPr>
            <w:tcW w:w="1091"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 xml:space="preserve">Wad </w:t>
            </w:r>
            <w:proofErr w:type="spellStart"/>
            <w:r w:rsidRPr="00173DCF">
              <w:rPr>
                <w:rFonts w:ascii="Times New Roman" w:eastAsia="Times New Roman" w:hAnsi="Times New Roman" w:cs="Times New Roman"/>
                <w:color w:val="000000"/>
                <w:sz w:val="24"/>
                <w:szCs w:val="24"/>
                <w:lang w:val="en-US" w:eastAsia="de-DE"/>
              </w:rPr>
              <w:t>Medani</w:t>
            </w:r>
            <w:proofErr w:type="spellEnd"/>
          </w:p>
        </w:tc>
        <w:tc>
          <w:tcPr>
            <w:tcW w:w="1125" w:type="dxa"/>
          </w:tcPr>
          <w:p w:rsidR="00430C34" w:rsidRPr="00173DCF" w:rsidRDefault="00430C34" w:rsidP="009E2354">
            <w:pPr>
              <w:spacing w:line="360" w:lineRule="auto"/>
              <w:jc w:val="both"/>
              <w:rPr>
                <w:rFonts w:ascii="Times New Roman" w:eastAsia="Times New Roman" w:hAnsi="Times New Roman" w:cs="Times New Roman"/>
                <w:color w:val="000000"/>
                <w:sz w:val="24"/>
                <w:szCs w:val="24"/>
                <w:lang w:val="en-US" w:eastAsia="de-DE"/>
              </w:rPr>
            </w:pPr>
            <w:r w:rsidRPr="00173DCF">
              <w:rPr>
                <w:rFonts w:ascii="Times New Roman" w:eastAsia="Times New Roman" w:hAnsi="Times New Roman" w:cs="Times New Roman"/>
                <w:color w:val="000000"/>
                <w:sz w:val="24"/>
                <w:szCs w:val="24"/>
                <w:lang w:val="en-US" w:eastAsia="de-DE"/>
              </w:rPr>
              <w:t>Irrigated</w:t>
            </w:r>
          </w:p>
        </w:tc>
        <w:tc>
          <w:tcPr>
            <w:tcW w:w="996"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33.483</w:t>
            </w:r>
          </w:p>
        </w:tc>
        <w:tc>
          <w:tcPr>
            <w:tcW w:w="992"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14.381</w:t>
            </w:r>
          </w:p>
        </w:tc>
        <w:tc>
          <w:tcPr>
            <w:tcW w:w="703"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407</w:t>
            </w:r>
          </w:p>
        </w:tc>
        <w:tc>
          <w:tcPr>
            <w:tcW w:w="1134"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 xml:space="preserve">Cracking </w:t>
            </w:r>
            <w:proofErr w:type="spellStart"/>
            <w:r w:rsidRPr="00173DCF">
              <w:rPr>
                <w:rFonts w:ascii="Times New Roman" w:eastAsia="Times New Roman" w:hAnsi="Times New Roman" w:cs="Times New Roman"/>
                <w:color w:val="000000"/>
                <w:sz w:val="24"/>
                <w:szCs w:val="24"/>
                <w:lang w:val="en-US" w:eastAsia="de-DE"/>
              </w:rPr>
              <w:t>vertisol</w:t>
            </w:r>
            <w:proofErr w:type="spellEnd"/>
          </w:p>
        </w:tc>
        <w:tc>
          <w:tcPr>
            <w:tcW w:w="992"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7.5–8.5</w:t>
            </w:r>
          </w:p>
        </w:tc>
        <w:tc>
          <w:tcPr>
            <w:tcW w:w="851"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206.4</w:t>
            </w:r>
          </w:p>
        </w:tc>
        <w:tc>
          <w:tcPr>
            <w:tcW w:w="729"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28.0</w:t>
            </w:r>
          </w:p>
        </w:tc>
        <w:tc>
          <w:tcPr>
            <w:tcW w:w="709" w:type="dxa"/>
          </w:tcPr>
          <w:p w:rsidR="00430C34" w:rsidRPr="00173DCF" w:rsidRDefault="00430C34" w:rsidP="009E2354">
            <w:pPr>
              <w:spacing w:line="360" w:lineRule="auto"/>
              <w:jc w:val="both"/>
              <w:rPr>
                <w:rFonts w:ascii="Times New Roman" w:hAnsi="Times New Roman" w:cs="Times New Roman"/>
                <w:color w:val="231F20"/>
                <w:sz w:val="24"/>
                <w:szCs w:val="24"/>
                <w:lang w:val="en-US"/>
              </w:rPr>
            </w:pPr>
            <w:r w:rsidRPr="00173DCF">
              <w:rPr>
                <w:rFonts w:ascii="Times New Roman" w:eastAsia="Times New Roman" w:hAnsi="Times New Roman" w:cs="Times New Roman"/>
                <w:color w:val="000000"/>
                <w:sz w:val="24"/>
                <w:szCs w:val="24"/>
                <w:lang w:val="en-US" w:eastAsia="de-DE"/>
              </w:rPr>
              <w:t>29.7</w:t>
            </w:r>
          </w:p>
        </w:tc>
      </w:tr>
    </w:tbl>
    <w:p w:rsidR="009E2354" w:rsidRDefault="00430C34" w:rsidP="00B8502C">
      <w:pPr>
        <w:rPr>
          <w:rFonts w:ascii="Times New Roman" w:eastAsia="Times New Roman" w:hAnsi="Times New Roman" w:cs="Times New Roman"/>
          <w:color w:val="000000"/>
          <w:sz w:val="20"/>
          <w:szCs w:val="20"/>
          <w:lang w:val="en-US" w:eastAsia="de-DE"/>
        </w:rPr>
      </w:pPr>
      <w:proofErr w:type="gramStart"/>
      <w:r w:rsidRPr="00AC698F">
        <w:rPr>
          <w:rFonts w:ascii="Times New Roman" w:eastAsia="Times New Roman" w:hAnsi="Times New Roman" w:cs="Times New Roman"/>
          <w:color w:val="000000"/>
          <w:sz w:val="20"/>
          <w:szCs w:val="20"/>
          <w:vertAlign w:val="superscript"/>
          <w:lang w:val="en-US" w:eastAsia="de-DE"/>
        </w:rPr>
        <w:t>1</w:t>
      </w:r>
      <w:r w:rsidRPr="00AC698F">
        <w:rPr>
          <w:rFonts w:ascii="Times New Roman" w:eastAsia="Times New Roman" w:hAnsi="Times New Roman" w:cs="Times New Roman"/>
          <w:color w:val="000000"/>
          <w:sz w:val="20"/>
          <w:szCs w:val="20"/>
          <w:lang w:val="en-US" w:eastAsia="de-DE"/>
        </w:rPr>
        <w:t xml:space="preserve"> </w:t>
      </w:r>
      <w:r>
        <w:rPr>
          <w:rFonts w:ascii="Times New Roman" w:eastAsia="Times New Roman" w:hAnsi="Times New Roman" w:cs="Times New Roman"/>
          <w:color w:val="000000"/>
          <w:sz w:val="20"/>
          <w:szCs w:val="20"/>
          <w:lang w:val="en-US" w:eastAsia="de-DE"/>
        </w:rPr>
        <w:t>M</w:t>
      </w:r>
      <w:r w:rsidRPr="00AC698F">
        <w:rPr>
          <w:rFonts w:ascii="Times New Roman" w:eastAsia="Times New Roman" w:hAnsi="Times New Roman" w:cs="Times New Roman"/>
          <w:color w:val="000000"/>
          <w:sz w:val="20"/>
          <w:szCs w:val="20"/>
          <w:lang w:val="en-US" w:eastAsia="de-DE"/>
        </w:rPr>
        <w:t>ean relative humidity (RH %) and Temperature (T) per year</w:t>
      </w:r>
      <w:r>
        <w:rPr>
          <w:rFonts w:ascii="Times New Roman" w:eastAsia="Times New Roman" w:hAnsi="Times New Roman" w:cs="Times New Roman"/>
          <w:color w:val="000000"/>
          <w:sz w:val="20"/>
          <w:szCs w:val="20"/>
          <w:lang w:val="en-US" w:eastAsia="de-DE"/>
        </w:rPr>
        <w:t>; ²</w:t>
      </w:r>
      <w:r w:rsidRPr="00AC698F">
        <w:rPr>
          <w:rFonts w:ascii="Times New Roman" w:eastAsia="Times New Roman" w:hAnsi="Times New Roman" w:cs="Times New Roman"/>
          <w:color w:val="000000"/>
          <w:sz w:val="20"/>
          <w:szCs w:val="20"/>
          <w:lang w:val="en-US" w:eastAsia="de-DE"/>
        </w:rPr>
        <w:t xml:space="preserve">Total </w:t>
      </w:r>
      <w:r w:rsidR="00644106">
        <w:rPr>
          <w:rFonts w:ascii="Times New Roman" w:eastAsia="Times New Roman" w:hAnsi="Times New Roman" w:cs="Times New Roman"/>
          <w:color w:val="000000"/>
          <w:sz w:val="20"/>
          <w:szCs w:val="20"/>
          <w:lang w:val="en-US" w:eastAsia="de-DE"/>
        </w:rPr>
        <w:t xml:space="preserve">amount of </w:t>
      </w:r>
      <w:r w:rsidRPr="00AC698F">
        <w:rPr>
          <w:rFonts w:ascii="Times New Roman" w:eastAsia="Times New Roman" w:hAnsi="Times New Roman" w:cs="Times New Roman"/>
          <w:color w:val="000000"/>
          <w:sz w:val="20"/>
          <w:szCs w:val="20"/>
          <w:lang w:val="en-US" w:eastAsia="de-DE"/>
        </w:rPr>
        <w:t>rainfall per year</w:t>
      </w:r>
      <w:r>
        <w:rPr>
          <w:rFonts w:ascii="Times New Roman" w:eastAsia="Times New Roman" w:hAnsi="Times New Roman" w:cs="Times New Roman"/>
          <w:color w:val="000000"/>
          <w:sz w:val="20"/>
          <w:szCs w:val="20"/>
          <w:lang w:val="en-US" w:eastAsia="de-DE"/>
        </w:rPr>
        <w:t>.</w:t>
      </w:r>
      <w:proofErr w:type="gramEnd"/>
    </w:p>
    <w:p w:rsidR="009E2354" w:rsidRDefault="009E2354">
      <w:pPr>
        <w:rPr>
          <w:rFonts w:ascii="Times New Roman" w:eastAsia="Times New Roman" w:hAnsi="Times New Roman" w:cs="Times New Roman"/>
          <w:color w:val="000000"/>
          <w:sz w:val="20"/>
          <w:szCs w:val="20"/>
          <w:lang w:val="en-US" w:eastAsia="de-DE"/>
        </w:rPr>
      </w:pPr>
      <w:r>
        <w:rPr>
          <w:rFonts w:ascii="Times New Roman" w:eastAsia="Times New Roman" w:hAnsi="Times New Roman" w:cs="Times New Roman"/>
          <w:color w:val="000000"/>
          <w:sz w:val="20"/>
          <w:szCs w:val="20"/>
          <w:lang w:val="en-US" w:eastAsia="de-DE"/>
        </w:rPr>
        <w:br w:type="page"/>
      </w:r>
    </w:p>
    <w:p w:rsidR="008131E7" w:rsidRDefault="008131E7" w:rsidP="008131E7">
      <w:pPr>
        <w:spacing w:after="0" w:line="480" w:lineRule="auto"/>
        <w:jc w:val="both"/>
        <w:rPr>
          <w:rFonts w:ascii="Times New Roman" w:eastAsia="Times New Roman" w:hAnsi="Times New Roman" w:cs="Times New Roman"/>
          <w:color w:val="000000"/>
          <w:sz w:val="24"/>
          <w:szCs w:val="24"/>
          <w:lang w:val="en-US" w:eastAsia="de-DE"/>
        </w:rPr>
      </w:pPr>
      <w:r w:rsidRPr="00895CE4">
        <w:rPr>
          <w:rFonts w:ascii="Times New Roman" w:eastAsia="Times New Roman" w:hAnsi="Times New Roman" w:cs="Times New Roman"/>
          <w:b/>
          <w:color w:val="000000"/>
          <w:sz w:val="24"/>
          <w:szCs w:val="24"/>
          <w:lang w:val="en-US" w:eastAsia="de-DE"/>
        </w:rPr>
        <w:lastRenderedPageBreak/>
        <w:t>Table S</w:t>
      </w:r>
      <w:r w:rsidR="00086965" w:rsidRPr="00895CE4">
        <w:rPr>
          <w:rFonts w:ascii="Times New Roman" w:eastAsia="Times New Roman" w:hAnsi="Times New Roman" w:cs="Times New Roman"/>
          <w:b/>
          <w:color w:val="000000"/>
          <w:sz w:val="24"/>
          <w:szCs w:val="24"/>
          <w:lang w:val="en-US" w:eastAsia="de-DE"/>
        </w:rPr>
        <w:t>3</w:t>
      </w:r>
      <w:r w:rsidR="00895CE4">
        <w:rPr>
          <w:rFonts w:ascii="Times New Roman" w:eastAsia="Times New Roman" w:hAnsi="Times New Roman" w:cs="Times New Roman"/>
          <w:b/>
          <w:color w:val="000000"/>
          <w:sz w:val="24"/>
          <w:szCs w:val="24"/>
          <w:lang w:val="en-US" w:eastAsia="de-DE"/>
        </w:rPr>
        <w:t>.</w:t>
      </w:r>
      <w:r w:rsidRPr="00173DCF">
        <w:rPr>
          <w:rFonts w:ascii="Times New Roman" w:eastAsia="Times New Roman" w:hAnsi="Times New Roman" w:cs="Times New Roman"/>
          <w:color w:val="000000"/>
          <w:sz w:val="24"/>
          <w:szCs w:val="24"/>
          <w:lang w:val="en-US" w:eastAsia="de-DE"/>
        </w:rPr>
        <w:t xml:space="preserve"> Range of </w:t>
      </w:r>
      <w:r w:rsidRPr="0031416B">
        <w:rPr>
          <w:rFonts w:ascii="Times New Roman" w:eastAsia="Times New Roman" w:hAnsi="Times New Roman" w:cs="Times New Roman"/>
          <w:color w:val="000000"/>
          <w:sz w:val="24"/>
          <w:szCs w:val="24"/>
          <w:lang w:val="en-US" w:eastAsia="de-DE"/>
        </w:rPr>
        <w:t xml:space="preserve">variation </w:t>
      </w:r>
      <w:r w:rsidR="002243B1" w:rsidRPr="0031416B">
        <w:rPr>
          <w:rFonts w:ascii="Times New Roman" w:eastAsia="Times New Roman" w:hAnsi="Times New Roman" w:cs="Times New Roman"/>
          <w:color w:val="000000"/>
          <w:sz w:val="24"/>
          <w:szCs w:val="24"/>
          <w:lang w:val="en-US" w:eastAsia="de-DE"/>
        </w:rPr>
        <w:t xml:space="preserve">for </w:t>
      </w:r>
      <w:r w:rsidRPr="0031416B">
        <w:rPr>
          <w:rFonts w:ascii="Times New Roman" w:eastAsia="Times New Roman" w:hAnsi="Times New Roman" w:cs="Times New Roman"/>
          <w:color w:val="000000"/>
          <w:sz w:val="24"/>
          <w:szCs w:val="24"/>
          <w:lang w:val="en-US" w:eastAsia="de-DE"/>
        </w:rPr>
        <w:t>Fe, Zn</w:t>
      </w:r>
      <w:r w:rsidRPr="00173DCF">
        <w:rPr>
          <w:rFonts w:ascii="Times New Roman" w:eastAsia="Times New Roman" w:hAnsi="Times New Roman" w:cs="Times New Roman"/>
          <w:color w:val="000000"/>
          <w:sz w:val="24"/>
          <w:szCs w:val="24"/>
          <w:lang w:val="en-US" w:eastAsia="de-DE"/>
        </w:rPr>
        <w:t xml:space="preserve">, Ca and Mg in edible tissues of some common </w:t>
      </w:r>
      <w:r>
        <w:rPr>
          <w:rFonts w:ascii="Times New Roman" w:eastAsia="Times New Roman" w:hAnsi="Times New Roman" w:cs="Times New Roman"/>
          <w:color w:val="000000"/>
          <w:sz w:val="24"/>
          <w:szCs w:val="24"/>
          <w:lang w:val="en-US" w:eastAsia="de-DE"/>
        </w:rPr>
        <w:t>f</w:t>
      </w:r>
      <w:r w:rsidRPr="00173DCF">
        <w:rPr>
          <w:rFonts w:ascii="Times New Roman" w:eastAsia="Times New Roman" w:hAnsi="Times New Roman" w:cs="Times New Roman"/>
          <w:color w:val="000000"/>
          <w:sz w:val="24"/>
          <w:szCs w:val="24"/>
          <w:lang w:val="en-US" w:eastAsia="de-DE"/>
        </w:rPr>
        <w:t>ield crops.</w:t>
      </w:r>
    </w:p>
    <w:tbl>
      <w:tblPr>
        <w:tblStyle w:val="TableGrid"/>
        <w:tblW w:w="10409" w:type="dxa"/>
        <w:tblLayout w:type="fixed"/>
        <w:tblLook w:val="04A0"/>
      </w:tblPr>
      <w:tblGrid>
        <w:gridCol w:w="1904"/>
        <w:gridCol w:w="1275"/>
        <w:gridCol w:w="1134"/>
        <w:gridCol w:w="1134"/>
        <w:gridCol w:w="1276"/>
        <w:gridCol w:w="1134"/>
        <w:gridCol w:w="1276"/>
        <w:gridCol w:w="1276"/>
      </w:tblGrid>
      <w:tr w:rsidR="008131E7" w:rsidRPr="00173DCF" w:rsidTr="00317A7E">
        <w:tc>
          <w:tcPr>
            <w:tcW w:w="1904" w:type="dxa"/>
          </w:tcPr>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lang w:val="en-US"/>
              </w:rPr>
              <w:t>Crop</w:t>
            </w:r>
          </w:p>
        </w:tc>
        <w:tc>
          <w:tcPr>
            <w:tcW w:w="1275" w:type="dxa"/>
          </w:tcPr>
          <w:p w:rsidR="008131E7" w:rsidRDefault="008131E7" w:rsidP="004F4F64">
            <w:pPr>
              <w:autoSpaceDE w:val="0"/>
              <w:autoSpaceDN w:val="0"/>
              <w:adjustRightInd w:val="0"/>
              <w:spacing w:before="120" w:after="120"/>
              <w:rPr>
                <w:rFonts w:ascii="Times New Roman" w:hAnsi="Times New Roman" w:cs="Times New Roman"/>
                <w:sz w:val="24"/>
                <w:szCs w:val="24"/>
              </w:rPr>
            </w:pPr>
            <w:r w:rsidRPr="00173DCF">
              <w:rPr>
                <w:rFonts w:ascii="Times New Roman" w:hAnsi="Times New Roman" w:cs="Times New Roman"/>
                <w:sz w:val="24"/>
                <w:szCs w:val="24"/>
                <w:lang w:val="en-US"/>
              </w:rPr>
              <w:t>Genotypes</w:t>
            </w:r>
          </w:p>
        </w:tc>
        <w:tc>
          <w:tcPr>
            <w:tcW w:w="1134" w:type="dxa"/>
          </w:tcPr>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t>Fe</w:t>
            </w:r>
          </w:p>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t>(mg kg</w:t>
            </w:r>
            <w:r w:rsidRPr="00173DCF">
              <w:rPr>
                <w:rFonts w:ascii="Times New Roman" w:hAnsi="Times New Roman" w:cs="Times New Roman"/>
                <w:sz w:val="24"/>
                <w:szCs w:val="24"/>
                <w:vertAlign w:val="superscript"/>
                <w:lang w:val="en-US"/>
              </w:rPr>
              <w:t>-1</w:t>
            </w:r>
            <w:r w:rsidRPr="00173DCF">
              <w:rPr>
                <w:rFonts w:ascii="Times New Roman" w:hAnsi="Times New Roman" w:cs="Times New Roman"/>
                <w:sz w:val="24"/>
                <w:szCs w:val="24"/>
              </w:rPr>
              <w:t>)</w:t>
            </w:r>
          </w:p>
        </w:tc>
        <w:tc>
          <w:tcPr>
            <w:tcW w:w="1134" w:type="dxa"/>
          </w:tcPr>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t>Zn</w:t>
            </w:r>
          </w:p>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t>(mg kg</w:t>
            </w:r>
            <w:r w:rsidRPr="00173DCF">
              <w:rPr>
                <w:rFonts w:ascii="Times New Roman" w:hAnsi="Times New Roman" w:cs="Times New Roman"/>
                <w:sz w:val="24"/>
                <w:szCs w:val="24"/>
                <w:vertAlign w:val="superscript"/>
                <w:lang w:val="en-US"/>
              </w:rPr>
              <w:t>-1</w:t>
            </w:r>
            <w:r w:rsidRPr="00173DCF">
              <w:rPr>
                <w:rFonts w:ascii="Times New Roman" w:hAnsi="Times New Roman" w:cs="Times New Roman"/>
                <w:sz w:val="24"/>
                <w:szCs w:val="24"/>
              </w:rPr>
              <w:t>)</w:t>
            </w:r>
          </w:p>
        </w:tc>
        <w:tc>
          <w:tcPr>
            <w:tcW w:w="1276" w:type="dxa"/>
          </w:tcPr>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t>Ca</w:t>
            </w:r>
          </w:p>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t>(mg kg</w:t>
            </w:r>
            <w:r w:rsidRPr="00173DCF">
              <w:rPr>
                <w:rFonts w:ascii="Times New Roman" w:hAnsi="Times New Roman" w:cs="Times New Roman"/>
                <w:sz w:val="24"/>
                <w:szCs w:val="24"/>
                <w:vertAlign w:val="superscript"/>
                <w:lang w:val="en-US"/>
              </w:rPr>
              <w:t>-1</w:t>
            </w:r>
            <w:r w:rsidRPr="00173DCF">
              <w:rPr>
                <w:rFonts w:ascii="Times New Roman" w:hAnsi="Times New Roman" w:cs="Times New Roman"/>
                <w:sz w:val="24"/>
                <w:szCs w:val="24"/>
              </w:rPr>
              <w:t>)</w:t>
            </w:r>
          </w:p>
        </w:tc>
        <w:tc>
          <w:tcPr>
            <w:tcW w:w="1134" w:type="dxa"/>
          </w:tcPr>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t>Mg</w:t>
            </w:r>
          </w:p>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t>(mg kg</w:t>
            </w:r>
            <w:r w:rsidRPr="00173DCF">
              <w:rPr>
                <w:rFonts w:ascii="Times New Roman" w:hAnsi="Times New Roman" w:cs="Times New Roman"/>
                <w:sz w:val="24"/>
                <w:szCs w:val="24"/>
                <w:vertAlign w:val="superscript"/>
                <w:lang w:val="en-US"/>
              </w:rPr>
              <w:t>-1</w:t>
            </w:r>
            <w:r w:rsidRPr="00173DCF">
              <w:rPr>
                <w:rFonts w:ascii="Times New Roman" w:hAnsi="Times New Roman" w:cs="Times New Roman"/>
                <w:sz w:val="24"/>
                <w:szCs w:val="24"/>
              </w:rPr>
              <w:t>)</w:t>
            </w:r>
          </w:p>
        </w:tc>
        <w:tc>
          <w:tcPr>
            <w:tcW w:w="1276" w:type="dxa"/>
          </w:tcPr>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lang w:val="en-US"/>
              </w:rPr>
              <w:t>Number</w:t>
            </w:r>
            <w:r w:rsidRPr="00173DCF">
              <w:rPr>
                <w:rFonts w:ascii="Times New Roman" w:hAnsi="Times New Roman" w:cs="Times New Roman"/>
                <w:sz w:val="24"/>
                <w:szCs w:val="24"/>
              </w:rPr>
              <w:t xml:space="preserve"> </w:t>
            </w:r>
            <w:r w:rsidRPr="00173DCF">
              <w:rPr>
                <w:rFonts w:ascii="Times New Roman" w:hAnsi="Times New Roman" w:cs="Times New Roman"/>
                <w:sz w:val="24"/>
                <w:szCs w:val="24"/>
                <w:lang w:val="en-US"/>
              </w:rPr>
              <w:t>of</w:t>
            </w:r>
            <w:r w:rsidRPr="00173DCF">
              <w:rPr>
                <w:rFonts w:ascii="Times New Roman" w:hAnsi="Times New Roman" w:cs="Times New Roman"/>
                <w:sz w:val="24"/>
                <w:szCs w:val="24"/>
              </w:rPr>
              <w:t xml:space="preserve"> </w:t>
            </w:r>
            <w:r w:rsidRPr="00173DCF">
              <w:rPr>
                <w:rFonts w:ascii="Times New Roman" w:hAnsi="Times New Roman" w:cs="Times New Roman"/>
                <w:sz w:val="24"/>
                <w:szCs w:val="24"/>
                <w:lang w:val="en-US"/>
              </w:rPr>
              <w:t>genotypes</w:t>
            </w:r>
            <w:r w:rsidRPr="00173DCF">
              <w:rPr>
                <w:rFonts w:ascii="Times New Roman" w:hAnsi="Times New Roman" w:cs="Times New Roman"/>
                <w:sz w:val="24"/>
                <w:szCs w:val="24"/>
              </w:rPr>
              <w:t xml:space="preserve"> </w:t>
            </w:r>
          </w:p>
        </w:tc>
        <w:tc>
          <w:tcPr>
            <w:tcW w:w="1276" w:type="dxa"/>
          </w:tcPr>
          <w:p w:rsidR="008131E7" w:rsidRDefault="008131E7"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t>Reference</w:t>
            </w:r>
          </w:p>
        </w:tc>
      </w:tr>
      <w:tr w:rsidR="008131E7" w:rsidRPr="00173DCF" w:rsidTr="00317A7E">
        <w:tc>
          <w:tcPr>
            <w:tcW w:w="1904" w:type="dxa"/>
          </w:tcPr>
          <w:p w:rsidR="008131E7" w:rsidRDefault="008131E7" w:rsidP="004F4F64">
            <w:pPr>
              <w:spacing w:before="120"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Wheat</w:t>
            </w:r>
          </w:p>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bCs/>
                <w:sz w:val="24"/>
                <w:szCs w:val="24"/>
                <w:lang w:val="en-US"/>
              </w:rPr>
              <w:t>(</w:t>
            </w:r>
            <w:proofErr w:type="spellStart"/>
            <w:r w:rsidRPr="00173DCF">
              <w:rPr>
                <w:rFonts w:ascii="Times New Roman" w:hAnsi="Times New Roman" w:cs="Times New Roman"/>
                <w:bCs/>
                <w:i/>
                <w:iCs/>
                <w:sz w:val="24"/>
                <w:szCs w:val="24"/>
                <w:lang w:val="en-US"/>
              </w:rPr>
              <w:t>Triticum</w:t>
            </w:r>
            <w:proofErr w:type="spellEnd"/>
            <w:r w:rsidRPr="00173DCF">
              <w:rPr>
                <w:rFonts w:ascii="Times New Roman" w:hAnsi="Times New Roman" w:cs="Times New Roman"/>
                <w:bCs/>
                <w:i/>
                <w:iCs/>
                <w:sz w:val="24"/>
                <w:szCs w:val="24"/>
                <w:lang w:val="en-US"/>
              </w:rPr>
              <w:t xml:space="preserve"> </w:t>
            </w:r>
            <w:proofErr w:type="spellStart"/>
            <w:r w:rsidRPr="00173DCF">
              <w:rPr>
                <w:rFonts w:ascii="Times New Roman" w:hAnsi="Times New Roman" w:cs="Times New Roman"/>
                <w:bCs/>
                <w:i/>
                <w:iCs/>
                <w:sz w:val="24"/>
                <w:szCs w:val="24"/>
                <w:lang w:val="en-US"/>
              </w:rPr>
              <w:t>aestivum</w:t>
            </w:r>
            <w:proofErr w:type="spellEnd"/>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Bread wheat genotypes</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29 – 57</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25 – 53</w:t>
            </w:r>
          </w:p>
        </w:tc>
        <w:tc>
          <w:tcPr>
            <w:tcW w:w="1276"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250 – 730</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920 – 1430</w:t>
            </w:r>
          </w:p>
        </w:tc>
        <w:tc>
          <w:tcPr>
            <w:tcW w:w="1276" w:type="dxa"/>
            <w:vAlign w:val="center"/>
          </w:tcPr>
          <w:p w:rsidR="008131E7" w:rsidRDefault="008131E7" w:rsidP="004F4F64">
            <w:pPr>
              <w:tabs>
                <w:tab w:val="right" w:pos="779"/>
              </w:tabs>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132</w:t>
            </w:r>
          </w:p>
        </w:tc>
        <w:tc>
          <w:tcPr>
            <w:tcW w:w="1276" w:type="dxa"/>
          </w:tcPr>
          <w:p w:rsidR="008131E7" w:rsidRDefault="001146EC"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fldChar w:fldCharType="begin"/>
            </w:r>
            <w:r w:rsidR="008131E7">
              <w:rPr>
                <w:rFonts w:ascii="Times New Roman" w:hAnsi="Times New Roman" w:cs="Times New Roman"/>
                <w:sz w:val="24"/>
                <w:szCs w:val="24"/>
                <w:lang w:val="en-US"/>
              </w:rPr>
              <w:instrText xml:space="preserve"> ADDIN ZOTERO_ITEM CSL_CITATION {"citationID":"1il8vl6vhu","properties":{"formattedCitation":"(Graham et al., 1999)","plainCitation":"(Graham et al., 1999)"},"citationItems":[{"id":664,"uris":["http://zotero.org/users/456335/items/FTNPPTID"],"uri":["http://zotero.org/users/456335/items/FTNPPTID"],"itemData":{"id":664,"type":"article-journal","title":"Breeding for micronutrient density in edible portions of staple food crops: conventional approaches","container-title":"Field Crops Research","page":"57-80","volume":"60","issue":"1-2","source":"CrossRef","DOI":"10.1016/S0378-4290(98)00133-6","ISSN":"03784290","shortTitle":"Breeding for micronutrient density in edible portions of staple food crops","author":[{"family":"Graham","given":"Robin"},{"family":"Senadhira","given":"D"},{"family":"Beebe","given":"Steven"},{"family":"Iglesias","given":"Carlos"},{"family":"Monasterio","given":"Ivan"}],"issued":{"date-parts":[[1999,1]]},"accessed":{"date-parts":[[2012,7,19]]}}}],"schema":"https://github.com/citation-style-language/schema/raw/master/csl-citation.json"} </w:instrText>
            </w:r>
            <w:r w:rsidRPr="00173DCF">
              <w:rPr>
                <w:rFonts w:ascii="Times New Roman" w:hAnsi="Times New Roman" w:cs="Times New Roman"/>
                <w:sz w:val="24"/>
                <w:szCs w:val="24"/>
                <w:lang w:val="en-US"/>
              </w:rPr>
              <w:fldChar w:fldCharType="separate"/>
            </w:r>
            <w:r w:rsidR="008131E7" w:rsidRPr="00173DCF">
              <w:rPr>
                <w:rFonts w:ascii="Times New Roman" w:hAnsi="Times New Roman" w:cs="Times New Roman"/>
                <w:sz w:val="24"/>
                <w:szCs w:val="24"/>
                <w:lang w:val="en-US"/>
              </w:rPr>
              <w:t xml:space="preserve">Graham </w:t>
            </w:r>
            <w:r w:rsidR="008131E7" w:rsidRPr="00173DCF">
              <w:rPr>
                <w:rFonts w:ascii="Times New Roman" w:hAnsi="Times New Roman" w:cs="Times New Roman"/>
                <w:i/>
                <w:sz w:val="24"/>
                <w:szCs w:val="24"/>
                <w:lang w:val="en-US"/>
              </w:rPr>
              <w:t>et al</w:t>
            </w:r>
            <w:r w:rsidR="008131E7" w:rsidRPr="00173DCF">
              <w:rPr>
                <w:rFonts w:ascii="Times New Roman" w:hAnsi="Times New Roman" w:cs="Times New Roman"/>
                <w:sz w:val="24"/>
                <w:szCs w:val="24"/>
                <w:lang w:val="en-US"/>
              </w:rPr>
              <w:t>. (1999)</w:t>
            </w:r>
            <w:r w:rsidRPr="00173DCF">
              <w:rPr>
                <w:rFonts w:ascii="Times New Roman" w:hAnsi="Times New Roman" w:cs="Times New Roman"/>
                <w:sz w:val="24"/>
                <w:szCs w:val="24"/>
                <w:lang w:val="en-US"/>
              </w:rPr>
              <w:fldChar w:fldCharType="end"/>
            </w:r>
          </w:p>
        </w:tc>
      </w:tr>
      <w:tr w:rsidR="008131E7" w:rsidRPr="00173DCF" w:rsidTr="00317A7E">
        <w:tc>
          <w:tcPr>
            <w:tcW w:w="1904" w:type="dxa"/>
          </w:tcPr>
          <w:p w:rsidR="008131E7" w:rsidRDefault="008131E7" w:rsidP="004F4F64">
            <w:pPr>
              <w:spacing w:before="120"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Triticale</w:t>
            </w:r>
          </w:p>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bCs/>
                <w:sz w:val="24"/>
                <w:szCs w:val="24"/>
                <w:lang w:val="en-US"/>
              </w:rPr>
              <w:t>(</w:t>
            </w:r>
            <w:proofErr w:type="spellStart"/>
            <w:r w:rsidRPr="00173DCF">
              <w:rPr>
                <w:rFonts w:ascii="Times New Roman" w:hAnsi="Times New Roman" w:cs="Times New Roman"/>
                <w:bCs/>
                <w:i/>
                <w:iCs/>
                <w:sz w:val="24"/>
                <w:szCs w:val="24"/>
                <w:lang w:val="en-US"/>
              </w:rPr>
              <w:t>Triticosecale</w:t>
            </w:r>
            <w:proofErr w:type="spellEnd"/>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Selected cultivars</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28 – 36</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21 – 31</w:t>
            </w:r>
          </w:p>
        </w:tc>
        <w:tc>
          <w:tcPr>
            <w:tcW w:w="1276"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350 – 500</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1200 – 1460</w:t>
            </w:r>
          </w:p>
        </w:tc>
        <w:tc>
          <w:tcPr>
            <w:tcW w:w="1276" w:type="dxa"/>
            <w:vAlign w:val="center"/>
          </w:tcPr>
          <w:p w:rsidR="008131E7" w:rsidRDefault="008131E7" w:rsidP="004F4F64">
            <w:pPr>
              <w:tabs>
                <w:tab w:val="right" w:pos="779"/>
              </w:tabs>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10</w:t>
            </w:r>
          </w:p>
        </w:tc>
        <w:tc>
          <w:tcPr>
            <w:tcW w:w="1276" w:type="dxa"/>
          </w:tcPr>
          <w:p w:rsidR="008131E7" w:rsidRDefault="001146EC"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fldChar w:fldCharType="begin"/>
            </w:r>
            <w:r w:rsidR="008131E7">
              <w:rPr>
                <w:rFonts w:ascii="Times New Roman" w:hAnsi="Times New Roman" w:cs="Times New Roman"/>
                <w:sz w:val="24"/>
                <w:szCs w:val="24"/>
                <w:lang w:val="en-US"/>
              </w:rPr>
              <w:instrText xml:space="preserve"> ADDIN ZOTERO_ITEM CSL_CITATION {"citationID":"esqt39p82","properties":{"formattedCitation":"(Feil and Fossati, 1995)","plainCitation":"(Feil and Fossati, 1995)"},"citationItems":[{"id":893,"uris":["http://zotero.org/users/456335/items/EZGCACMT"],"uri":["http://zotero.org/users/456335/items/EZGCACMT"],"itemData":{"id":893,"type":"article-journal","title":"Mineral Composition of Triticale Grains as Related to Grain Yield and Grain Protein","container-title":"Crop Science","page":"1426-1431","volume":"35","issue":"5","source":"www.soils.org","DOI":"10.2135/cropsci1995.0011183X003500050028x","ISSN":"0011-183X","language":"en","author":[{"family":"Feil","given":"Boy"},{"family":"Fossati","given":"Dario"}],"issued":{"date-parts":[["1995"]],"season":"10/01"},"accessed":{"date-parts":[[2012,10,22]]}}}],"schema":"https://github.com/citation-style-language/schema/raw/master/csl-citation.json"} </w:instrText>
            </w:r>
            <w:r w:rsidRPr="00173DCF">
              <w:rPr>
                <w:rFonts w:ascii="Times New Roman" w:hAnsi="Times New Roman" w:cs="Times New Roman"/>
                <w:sz w:val="24"/>
                <w:szCs w:val="24"/>
              </w:rPr>
              <w:fldChar w:fldCharType="separate"/>
            </w:r>
            <w:r w:rsidR="008131E7" w:rsidRPr="00173DCF">
              <w:rPr>
                <w:rFonts w:ascii="Times New Roman" w:hAnsi="Times New Roman" w:cs="Times New Roman"/>
                <w:sz w:val="24"/>
                <w:szCs w:val="24"/>
              </w:rPr>
              <w:t>Feil and Fossati, (1995)</w:t>
            </w:r>
            <w:r w:rsidRPr="00173DCF">
              <w:rPr>
                <w:rFonts w:ascii="Times New Roman" w:hAnsi="Times New Roman" w:cs="Times New Roman"/>
                <w:sz w:val="24"/>
                <w:szCs w:val="24"/>
              </w:rPr>
              <w:fldChar w:fldCharType="end"/>
            </w:r>
          </w:p>
        </w:tc>
      </w:tr>
      <w:tr w:rsidR="008131E7" w:rsidRPr="00173DCF" w:rsidTr="00317A7E">
        <w:tc>
          <w:tcPr>
            <w:tcW w:w="1904" w:type="dxa"/>
          </w:tcPr>
          <w:p w:rsidR="008131E7" w:rsidRDefault="008131E7" w:rsidP="004F4F64">
            <w:pPr>
              <w:spacing w:before="120"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Rice</w:t>
            </w:r>
          </w:p>
          <w:p w:rsidR="008131E7" w:rsidRDefault="008131E7" w:rsidP="004F4F64">
            <w:pPr>
              <w:spacing w:before="120"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w:t>
            </w:r>
            <w:proofErr w:type="spellStart"/>
            <w:r w:rsidRPr="00173DCF">
              <w:rPr>
                <w:rFonts w:ascii="Times New Roman" w:hAnsi="Times New Roman" w:cs="Times New Roman"/>
                <w:bCs/>
                <w:i/>
                <w:iCs/>
                <w:sz w:val="24"/>
                <w:szCs w:val="24"/>
                <w:lang w:val="en-US"/>
              </w:rPr>
              <w:t>Oryza</w:t>
            </w:r>
            <w:proofErr w:type="spellEnd"/>
            <w:r w:rsidRPr="00173DCF">
              <w:rPr>
                <w:rFonts w:ascii="Times New Roman" w:hAnsi="Times New Roman" w:cs="Times New Roman"/>
                <w:bCs/>
                <w:i/>
                <w:iCs/>
                <w:sz w:val="24"/>
                <w:szCs w:val="24"/>
                <w:lang w:val="en-US"/>
              </w:rPr>
              <w:t xml:space="preserve"> sativa</w:t>
            </w:r>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Collected genotypes</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 – 27</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13 – 44</w:t>
            </w:r>
          </w:p>
        </w:tc>
        <w:tc>
          <w:tcPr>
            <w:tcW w:w="1276"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42 – 342</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63 – 539</w:t>
            </w:r>
          </w:p>
        </w:tc>
        <w:tc>
          <w:tcPr>
            <w:tcW w:w="1276" w:type="dxa"/>
            <w:vAlign w:val="center"/>
          </w:tcPr>
          <w:p w:rsidR="008131E7" w:rsidRDefault="008131E7" w:rsidP="004F4F64">
            <w:pPr>
              <w:tabs>
                <w:tab w:val="right" w:pos="779"/>
              </w:tabs>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274</w:t>
            </w:r>
          </w:p>
        </w:tc>
        <w:tc>
          <w:tcPr>
            <w:tcW w:w="1276" w:type="dxa"/>
          </w:tcPr>
          <w:p w:rsidR="008131E7" w:rsidRDefault="001146EC"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fldChar w:fldCharType="begin"/>
            </w:r>
            <w:r w:rsidR="008131E7">
              <w:rPr>
                <w:rFonts w:ascii="Times New Roman" w:hAnsi="Times New Roman" w:cs="Times New Roman"/>
                <w:sz w:val="24"/>
                <w:szCs w:val="24"/>
                <w:lang w:val="en-US"/>
              </w:rPr>
              <w:instrText xml:space="preserve"> ADDIN ZOTERO_ITEM CSL_CITATION {"citationID":"2ptdh5hmfp","properties":{"formattedCitation":"(Jiang et al., 2007)","plainCitation":"(Jiang et al., 2007)"},"citationItems":[{"id":700,"uris":["http://zotero.org/users/456335/items/A6IGWSWT"],"uri":["http://zotero.org/users/456335/items/A6IGWSWT"],"itemData":{"id":700,"type":"article-journal","title":"Correlation Analysis of Mineral Element Contents and Quality Traits in Milled Rice (Oryza stavia L.)","container-title":"Journal of Agricultural and Food Chemistry","page":"9608-9613","volume":"55","issue":"23","source":"CrossRef","DOI":"10.1021/jf071785w","ISSN":"0021-8561, 1520-5118","author":[{"family":"Jiang","given":"S. L."},{"family":"Wu","given":"J. G."},{"family":"Feng","given":"Y."},{"family":"Yang","given":"X. E."},{"family":"Shi","given":"C. H."}],"issued":{"date-parts":[[2007,11]]},"accessed":{"date-parts":[[2012,7,19]]}}}],"schema":"https://github.com/citation-style-language/schema/raw/master/csl-citation.json"} </w:instrText>
            </w:r>
            <w:r w:rsidRPr="00173DCF">
              <w:rPr>
                <w:rFonts w:ascii="Times New Roman" w:hAnsi="Times New Roman" w:cs="Times New Roman"/>
                <w:sz w:val="24"/>
                <w:szCs w:val="24"/>
                <w:lang w:val="en-US"/>
              </w:rPr>
              <w:fldChar w:fldCharType="separate"/>
            </w:r>
            <w:r w:rsidR="008131E7" w:rsidRPr="00173DCF">
              <w:rPr>
                <w:rFonts w:ascii="Times New Roman" w:hAnsi="Times New Roman" w:cs="Times New Roman"/>
                <w:sz w:val="24"/>
                <w:szCs w:val="24"/>
                <w:lang w:val="en-US"/>
              </w:rPr>
              <w:t xml:space="preserve">Jiang </w:t>
            </w:r>
            <w:r w:rsidR="008131E7" w:rsidRPr="00173DCF">
              <w:rPr>
                <w:rFonts w:ascii="Times New Roman" w:hAnsi="Times New Roman" w:cs="Times New Roman"/>
                <w:i/>
                <w:sz w:val="24"/>
                <w:szCs w:val="24"/>
                <w:lang w:val="en-US"/>
              </w:rPr>
              <w:t>et al</w:t>
            </w:r>
            <w:r w:rsidR="008131E7" w:rsidRPr="00173DCF">
              <w:rPr>
                <w:rFonts w:ascii="Times New Roman" w:hAnsi="Times New Roman" w:cs="Times New Roman"/>
                <w:sz w:val="24"/>
                <w:szCs w:val="24"/>
                <w:lang w:val="en-US"/>
              </w:rPr>
              <w:t>. (2007)</w:t>
            </w:r>
            <w:r w:rsidRPr="00173DCF">
              <w:rPr>
                <w:rFonts w:ascii="Times New Roman" w:hAnsi="Times New Roman" w:cs="Times New Roman"/>
                <w:sz w:val="24"/>
                <w:szCs w:val="24"/>
                <w:lang w:val="en-US"/>
              </w:rPr>
              <w:fldChar w:fldCharType="end"/>
            </w:r>
          </w:p>
        </w:tc>
      </w:tr>
      <w:tr w:rsidR="008131E7" w:rsidRPr="00173DCF" w:rsidTr="00317A7E">
        <w:tc>
          <w:tcPr>
            <w:tcW w:w="1904"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bCs/>
                <w:sz w:val="24"/>
                <w:szCs w:val="24"/>
                <w:lang w:val="en-US"/>
              </w:rPr>
              <w:t>Maize</w:t>
            </w:r>
            <w:r>
              <w:rPr>
                <w:rFonts w:ascii="Times New Roman" w:hAnsi="Times New Roman" w:cs="Times New Roman"/>
                <w:bCs/>
                <w:sz w:val="24"/>
                <w:szCs w:val="24"/>
                <w:lang w:val="en-US"/>
              </w:rPr>
              <w:t xml:space="preserve"> </w:t>
            </w:r>
            <w:r w:rsidRPr="00173DCF">
              <w:rPr>
                <w:rFonts w:ascii="Times New Roman" w:hAnsi="Times New Roman" w:cs="Times New Roman"/>
                <w:bCs/>
                <w:sz w:val="24"/>
                <w:szCs w:val="24"/>
                <w:lang w:val="en-US"/>
              </w:rPr>
              <w:t>(</w:t>
            </w:r>
            <w:proofErr w:type="spellStart"/>
            <w:r w:rsidRPr="00173DCF">
              <w:rPr>
                <w:rFonts w:ascii="Times New Roman" w:hAnsi="Times New Roman" w:cs="Times New Roman"/>
                <w:bCs/>
                <w:i/>
                <w:iCs/>
                <w:sz w:val="24"/>
                <w:szCs w:val="24"/>
                <w:lang w:val="en-US"/>
              </w:rPr>
              <w:t>Zea</w:t>
            </w:r>
            <w:proofErr w:type="spellEnd"/>
            <w:r w:rsidRPr="00173DCF">
              <w:rPr>
                <w:rFonts w:ascii="Times New Roman" w:hAnsi="Times New Roman" w:cs="Times New Roman"/>
                <w:bCs/>
                <w:i/>
                <w:iCs/>
                <w:sz w:val="24"/>
                <w:szCs w:val="24"/>
                <w:lang w:val="en-US"/>
              </w:rPr>
              <w:t xml:space="preserve"> </w:t>
            </w:r>
            <w:proofErr w:type="spellStart"/>
            <w:r w:rsidRPr="00173DCF">
              <w:rPr>
                <w:rFonts w:ascii="Times New Roman" w:hAnsi="Times New Roman" w:cs="Times New Roman"/>
                <w:bCs/>
                <w:i/>
                <w:iCs/>
                <w:sz w:val="24"/>
                <w:szCs w:val="24"/>
                <w:lang w:val="en-US"/>
              </w:rPr>
              <w:t>mays</w:t>
            </w:r>
            <w:proofErr w:type="spellEnd"/>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Core collection</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10 – 63</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13 – 58</w:t>
            </w:r>
          </w:p>
        </w:tc>
        <w:tc>
          <w:tcPr>
            <w:tcW w:w="1276" w:type="dxa"/>
            <w:vAlign w:val="center"/>
          </w:tcPr>
          <w:p w:rsidR="008131E7" w:rsidRDefault="008131E7" w:rsidP="004F4F64">
            <w:pPr>
              <w:spacing w:before="120" w:after="120"/>
              <w:jc w:val="center"/>
              <w:rPr>
                <w:rFonts w:ascii="Times New Roman" w:hAnsi="Times New Roman" w:cs="Times New Roman"/>
                <w:sz w:val="24"/>
                <w:szCs w:val="24"/>
                <w:lang w:val="en-US"/>
              </w:rPr>
            </w:pPr>
            <w:r w:rsidRPr="00173DCF">
              <w:rPr>
                <w:rFonts w:ascii="Times New Roman" w:hAnsi="Times New Roman" w:cs="Times New Roman"/>
                <w:sz w:val="24"/>
                <w:szCs w:val="24"/>
                <w:lang w:val="en-US"/>
              </w:rPr>
              <w:t>–</w:t>
            </w:r>
          </w:p>
        </w:tc>
        <w:tc>
          <w:tcPr>
            <w:tcW w:w="1134" w:type="dxa"/>
            <w:vAlign w:val="center"/>
          </w:tcPr>
          <w:p w:rsidR="008131E7" w:rsidRDefault="008131E7" w:rsidP="004F4F64">
            <w:pPr>
              <w:spacing w:before="120" w:after="120"/>
              <w:jc w:val="center"/>
              <w:rPr>
                <w:rFonts w:ascii="Times New Roman" w:hAnsi="Times New Roman" w:cs="Times New Roman"/>
                <w:sz w:val="24"/>
                <w:szCs w:val="24"/>
              </w:rPr>
            </w:pPr>
            <w:r w:rsidRPr="00173DCF">
              <w:rPr>
                <w:rFonts w:ascii="Times New Roman" w:hAnsi="Times New Roman" w:cs="Times New Roman"/>
                <w:sz w:val="24"/>
                <w:szCs w:val="24"/>
                <w:lang w:val="en-US"/>
              </w:rPr>
              <w:t>–</w:t>
            </w:r>
          </w:p>
        </w:tc>
        <w:tc>
          <w:tcPr>
            <w:tcW w:w="1276" w:type="dxa"/>
            <w:vAlign w:val="center"/>
          </w:tcPr>
          <w:p w:rsidR="008131E7" w:rsidRDefault="008131E7" w:rsidP="004F4F64">
            <w:pPr>
              <w:tabs>
                <w:tab w:val="right" w:pos="779"/>
              </w:tabs>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1814</w:t>
            </w:r>
          </w:p>
        </w:tc>
        <w:tc>
          <w:tcPr>
            <w:tcW w:w="1276" w:type="dxa"/>
          </w:tcPr>
          <w:p w:rsidR="008131E7" w:rsidRDefault="001146EC"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rPr>
              <w:fldChar w:fldCharType="begin"/>
            </w:r>
            <w:r w:rsidR="008131E7">
              <w:rPr>
                <w:rFonts w:ascii="Times New Roman" w:hAnsi="Times New Roman" w:cs="Times New Roman"/>
                <w:sz w:val="24"/>
                <w:szCs w:val="24"/>
              </w:rPr>
              <w:instrText xml:space="preserve"> ADDIN ZOTERO_ITEM CSL_CITATION {"citationID":"2fif3hnd0k","properties":{"formattedCitation":"{\\rtf (B\\uc0\\u228{}nziger and Long, 2000)}","plainCitation":"(Bänziger and Long, 2000)"},"citationItems":[{"id":680,"uris":["http://zotero.org/users/456335/items/56S7D8VU"],"uri":["http://zotero.org/users/456335/items/56S7D8VU"],"itemData":{"id":680,"type":"article-journal","title":"The potential for increasing the iron and zinc density of maize through plant-breeding","container-title":"Food &amp; Nutrition Bulletin","page":"397-400","volume":"21","issue":"4","source":"IngentaConnect","abstract":"The Centro Internacional de Mejoramiento de Maiz y Trigo (CIMMYT) maize-breeding programme has been focusing on identifying white-grained maize germplasm that has the potential to increase kernel iron and zinc concentrations, especially in sub-Saharan Africa. In addition, research at Cornell University has focused on traits such as multiple aleurone layer, which can increase kernel iron and zinc concentrations, and low phytic acid concentration, which holds promise for improving the bioavailability of iron and zinc. More than 1,400 improved maize genotypes and 400 landraces were grown and evaluated to assess grain iron and zinc concentrations. These materials represented all white-grained landraces that belonged to the core collection of CIMMYT's germplasm bank, all white- and yellow-grained CIMMYT maize germplasm pools and populations, all white-grained materials that are currently in the active breeding programme of CIMMYT-Zimbabwe, and 57 white-grained maize cultivars currently grown in southern Africa. After a very thorough evaluation of the genetic variability of iron and zinc potentially available in white-grained tropical maize germplasm, promising genetic variability was found in both improved maize germplasm and landraces. One difficulty that maize breeders encounter is that grain iron and zinc concentrations are often correlated negatively with grain yield, which may result from the increased carbohydrate content of high-yielding materials, so that a given amount of iron and zinc is diluted. The multiple aleurone trait may be a fast track to overcome this effect. This trait is being introgressed into various materials in both the United States and southern Africa.","author":[{"family":"Bänziger","given":"Marianne"},{"family":"Long","given":"Jennifer"}],"issued":{"date-parts":[[2000]]}}}],"schema":"https://github.com/citation-style-language/schema/raw/master/csl-citation.json"} </w:instrText>
            </w:r>
            <w:r w:rsidRPr="00173DCF">
              <w:rPr>
                <w:rFonts w:ascii="Times New Roman" w:hAnsi="Times New Roman" w:cs="Times New Roman"/>
                <w:sz w:val="24"/>
                <w:szCs w:val="24"/>
              </w:rPr>
              <w:fldChar w:fldCharType="separate"/>
            </w:r>
            <w:r w:rsidR="008131E7" w:rsidRPr="00173DCF">
              <w:rPr>
                <w:rFonts w:ascii="Times New Roman" w:hAnsi="Times New Roman" w:cs="Times New Roman"/>
                <w:sz w:val="24"/>
                <w:szCs w:val="24"/>
              </w:rPr>
              <w:t>Bänziger and Long, (2000)</w:t>
            </w:r>
            <w:r w:rsidRPr="00173DCF">
              <w:rPr>
                <w:rFonts w:ascii="Times New Roman" w:hAnsi="Times New Roman" w:cs="Times New Roman"/>
                <w:sz w:val="24"/>
                <w:szCs w:val="24"/>
              </w:rPr>
              <w:fldChar w:fldCharType="end"/>
            </w:r>
          </w:p>
        </w:tc>
      </w:tr>
      <w:tr w:rsidR="008131E7" w:rsidRPr="00173DCF" w:rsidTr="00317A7E">
        <w:tc>
          <w:tcPr>
            <w:tcW w:w="1904" w:type="dxa"/>
          </w:tcPr>
          <w:p w:rsidR="008131E7" w:rsidRDefault="008131E7" w:rsidP="004F4F64">
            <w:pPr>
              <w:spacing w:before="120"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Sorghum</w:t>
            </w:r>
            <w:r>
              <w:rPr>
                <w:rFonts w:ascii="Times New Roman" w:hAnsi="Times New Roman" w:cs="Times New Roman"/>
                <w:bCs/>
                <w:sz w:val="24"/>
                <w:szCs w:val="24"/>
                <w:lang w:val="en-US"/>
              </w:rPr>
              <w:t xml:space="preserve"> </w:t>
            </w:r>
            <w:r w:rsidRPr="00173DCF">
              <w:rPr>
                <w:rFonts w:ascii="Times New Roman" w:hAnsi="Times New Roman" w:cs="Times New Roman"/>
                <w:bCs/>
                <w:sz w:val="24"/>
                <w:szCs w:val="24"/>
                <w:lang w:val="en-US"/>
              </w:rPr>
              <w:t>(</w:t>
            </w:r>
            <w:r w:rsidRPr="00173DCF">
              <w:rPr>
                <w:rFonts w:ascii="Times New Roman" w:hAnsi="Times New Roman" w:cs="Times New Roman"/>
                <w:bCs/>
                <w:i/>
                <w:iCs/>
                <w:sz w:val="24"/>
                <w:szCs w:val="24"/>
                <w:lang w:val="en-US"/>
              </w:rPr>
              <w:t>Sorghum bicolor</w:t>
            </w:r>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Diverse germ</w:t>
            </w:r>
            <w:r>
              <w:rPr>
                <w:rFonts w:ascii="Times New Roman" w:hAnsi="Times New Roman" w:cs="Times New Roman"/>
                <w:sz w:val="24"/>
                <w:szCs w:val="24"/>
                <w:lang w:val="en-US"/>
              </w:rPr>
              <w:softHyphen/>
            </w:r>
            <w:r w:rsidRPr="00173DCF">
              <w:rPr>
                <w:rFonts w:ascii="Times New Roman" w:hAnsi="Times New Roman" w:cs="Times New Roman"/>
                <w:sz w:val="24"/>
                <w:szCs w:val="24"/>
                <w:lang w:val="en-US"/>
              </w:rPr>
              <w:t>plasm</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20 – 37</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13 – 31</w:t>
            </w:r>
          </w:p>
        </w:tc>
        <w:tc>
          <w:tcPr>
            <w:tcW w:w="1276" w:type="dxa"/>
            <w:vAlign w:val="center"/>
          </w:tcPr>
          <w:p w:rsidR="008131E7" w:rsidRDefault="008131E7" w:rsidP="004F4F64">
            <w:pPr>
              <w:spacing w:before="120" w:after="120"/>
              <w:jc w:val="center"/>
              <w:rPr>
                <w:rFonts w:ascii="Times New Roman" w:hAnsi="Times New Roman" w:cs="Times New Roman"/>
                <w:sz w:val="24"/>
                <w:szCs w:val="24"/>
                <w:lang w:val="en-US"/>
              </w:rPr>
            </w:pPr>
            <w:r w:rsidRPr="00173DCF">
              <w:rPr>
                <w:rFonts w:ascii="Times New Roman" w:hAnsi="Times New Roman" w:cs="Times New Roman"/>
                <w:sz w:val="24"/>
                <w:szCs w:val="24"/>
                <w:lang w:val="en-US"/>
              </w:rPr>
              <w:t>–</w:t>
            </w:r>
          </w:p>
        </w:tc>
        <w:tc>
          <w:tcPr>
            <w:tcW w:w="1134" w:type="dxa"/>
            <w:vAlign w:val="center"/>
          </w:tcPr>
          <w:p w:rsidR="008131E7" w:rsidRDefault="008131E7" w:rsidP="004F4F64">
            <w:pPr>
              <w:spacing w:before="120" w:after="120"/>
              <w:jc w:val="center"/>
              <w:rPr>
                <w:rFonts w:ascii="Times New Roman" w:hAnsi="Times New Roman" w:cs="Times New Roman"/>
                <w:sz w:val="24"/>
                <w:szCs w:val="24"/>
                <w:lang w:val="en-US"/>
              </w:rPr>
            </w:pPr>
            <w:r w:rsidRPr="00173DCF">
              <w:rPr>
                <w:rFonts w:ascii="Times New Roman" w:hAnsi="Times New Roman" w:cs="Times New Roman"/>
                <w:sz w:val="24"/>
                <w:szCs w:val="24"/>
                <w:lang w:val="en-US"/>
              </w:rPr>
              <w:t>–</w:t>
            </w:r>
          </w:p>
        </w:tc>
        <w:tc>
          <w:tcPr>
            <w:tcW w:w="1276" w:type="dxa"/>
            <w:vAlign w:val="center"/>
          </w:tcPr>
          <w:p w:rsidR="008131E7" w:rsidRDefault="008131E7" w:rsidP="004F4F64">
            <w:pPr>
              <w:tabs>
                <w:tab w:val="right" w:pos="779"/>
              </w:tabs>
              <w:autoSpaceDE w:val="0"/>
              <w:autoSpaceDN w:val="0"/>
              <w:adjustRightInd w:val="0"/>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84</w:t>
            </w:r>
          </w:p>
        </w:tc>
        <w:tc>
          <w:tcPr>
            <w:tcW w:w="1276" w:type="dxa"/>
          </w:tcPr>
          <w:p w:rsidR="008131E7" w:rsidRDefault="001146EC"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fldChar w:fldCharType="begin"/>
            </w:r>
            <w:r w:rsidR="008131E7">
              <w:rPr>
                <w:rFonts w:ascii="Times New Roman" w:hAnsi="Times New Roman" w:cs="Times New Roman"/>
                <w:sz w:val="24"/>
                <w:szCs w:val="24"/>
                <w:lang w:val="en-US"/>
              </w:rPr>
              <w:instrText xml:space="preserve"> ADDIN ZOTERO_ITEM CSL_CITATION {"citationID":"12sslnodtr","properties":{"formattedCitation":"(Reddy et al., 2005)","plainCitation":"(Reddy et al., 2005)"},"citationItems":[{"id":897,"uris":["http://zotero.org/users/456335/items/T2B8IT62"],"uri":["http://zotero.org/users/456335/items/T2B8IT62"],"itemData":{"id":897,"type":"webpage","title":"Prospects of breeding for micronutrients and b-carotene-dense sorghums","container-title":"International Sorghum and Millets Newsletter","abstract":"Eighty-four sorghum lines, produced from parental lines of popular hybrids, cultivars, yellow endosperm lines, germplasm lines, lines characterized by high protein digestibility, lines with high lysine contents and waxy lines, were evaluated in Patancheru, Andhra Pradesh, India, during the post-rainy season of 2003-04. Significant genetic differences for Fe, Zn and phytate contents, and agronomic and grain traits were observed. The grain Fe content ranged from 20.1 (ICSR 93031) to 37.0 ppm (ICSB 472 and 296 B), whereas the Zn content varied from 13.4 (JJ 1041) to 31.0 ppm (IS 11990). Zn and Fe contents, which showed substantial heritability, were significantly and positively correlated. Stover and grain yields were weakly and negatively correlated with grain Fe content, but were strongly and negatively correlated with the grain Zn content. The number of days to 50% flowering and plant height were weakly correlated with grain Fe and Zn contents. Grain luster was positively correlated with grain Fe content, but was weakly correlated with grain Zn content. The grains of non-yellow endosperm lines had trace amounts of ?-carotene. In 11 yellow endosperm lines, the grain ?-carotene content ranged from 0.56 (IS 24724) to 1.132 ppm (IS 26886), with 6 lines (IS 7684, IS 7776, IS 24703, IS 24868, IS 24883 and IS 26886) having higher ?-carotene contents than the average of 0.85 ppm. The ?-carotene content was poorly correlated with grain Fe and Zn contents. The grain phytate content, characterized by a slight variation between phenotypic and genetic coefficients of variation and high heritability, was weakly correlated with grain Fe and Zn contents.","URL":"http://oar.icrisat.org/1210/","author":[{"family":"Reddy","given":"B. V. S."},{"family":"Ramesh","given":"S."},{"family":"Longvah","given":"T."}],"issued":{"date-parts":[[2005]]},"accessed":{"date-parts":[[2012,10,22]]}}}],"schema":"https://github.com/citation-style-language/schema/raw/master/csl-citation.json"} </w:instrText>
            </w:r>
            <w:r w:rsidRPr="00173DCF">
              <w:rPr>
                <w:rFonts w:ascii="Times New Roman" w:hAnsi="Times New Roman" w:cs="Times New Roman"/>
                <w:sz w:val="24"/>
                <w:szCs w:val="24"/>
                <w:lang w:val="en-US"/>
              </w:rPr>
              <w:fldChar w:fldCharType="separate"/>
            </w:r>
            <w:r w:rsidR="008131E7" w:rsidRPr="00173DCF">
              <w:rPr>
                <w:rFonts w:ascii="Times New Roman" w:hAnsi="Times New Roman" w:cs="Times New Roman"/>
                <w:sz w:val="24"/>
                <w:szCs w:val="24"/>
                <w:lang w:val="en-US"/>
              </w:rPr>
              <w:t xml:space="preserve">Reddy </w:t>
            </w:r>
            <w:r w:rsidR="008131E7" w:rsidRPr="00173DCF">
              <w:rPr>
                <w:rFonts w:ascii="Times New Roman" w:hAnsi="Times New Roman" w:cs="Times New Roman"/>
                <w:i/>
                <w:sz w:val="24"/>
                <w:szCs w:val="24"/>
                <w:lang w:val="en-US"/>
              </w:rPr>
              <w:t>et al</w:t>
            </w:r>
            <w:r w:rsidR="008131E7" w:rsidRPr="00173DCF">
              <w:rPr>
                <w:rFonts w:ascii="Times New Roman" w:hAnsi="Times New Roman" w:cs="Times New Roman"/>
                <w:sz w:val="24"/>
                <w:szCs w:val="24"/>
                <w:lang w:val="en-US"/>
              </w:rPr>
              <w:t>. (2005)</w:t>
            </w:r>
            <w:r w:rsidRPr="00173DCF">
              <w:rPr>
                <w:rFonts w:ascii="Times New Roman" w:hAnsi="Times New Roman" w:cs="Times New Roman"/>
                <w:sz w:val="24"/>
                <w:szCs w:val="24"/>
                <w:lang w:val="en-US"/>
              </w:rPr>
              <w:fldChar w:fldCharType="end"/>
            </w:r>
          </w:p>
        </w:tc>
      </w:tr>
      <w:tr w:rsidR="008131E7" w:rsidRPr="00173DCF" w:rsidTr="00317A7E">
        <w:tc>
          <w:tcPr>
            <w:tcW w:w="1904" w:type="dxa"/>
          </w:tcPr>
          <w:p w:rsidR="008131E7" w:rsidRDefault="008131E7" w:rsidP="004F4F64">
            <w:pPr>
              <w:spacing w:before="120"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Finger millet</w:t>
            </w:r>
            <w:r>
              <w:rPr>
                <w:rFonts w:ascii="Times New Roman" w:hAnsi="Times New Roman" w:cs="Times New Roman"/>
                <w:bCs/>
                <w:sz w:val="24"/>
                <w:szCs w:val="24"/>
                <w:lang w:val="en-US"/>
              </w:rPr>
              <w:t xml:space="preserve"> </w:t>
            </w:r>
            <w:r w:rsidRPr="00173DCF">
              <w:rPr>
                <w:rFonts w:ascii="Times New Roman" w:hAnsi="Times New Roman" w:cs="Times New Roman"/>
                <w:bCs/>
                <w:sz w:val="24"/>
                <w:szCs w:val="24"/>
                <w:lang w:val="en-US"/>
              </w:rPr>
              <w:t>(</w:t>
            </w:r>
            <w:proofErr w:type="spellStart"/>
            <w:r w:rsidRPr="00173DCF">
              <w:rPr>
                <w:rFonts w:ascii="Times New Roman" w:hAnsi="Times New Roman" w:cs="Times New Roman"/>
                <w:bCs/>
                <w:i/>
                <w:sz w:val="24"/>
                <w:szCs w:val="24"/>
                <w:lang w:val="en-US"/>
              </w:rPr>
              <w:t>Eleusine</w:t>
            </w:r>
            <w:proofErr w:type="spellEnd"/>
            <w:r w:rsidRPr="00173DCF">
              <w:rPr>
                <w:rFonts w:ascii="Times New Roman" w:hAnsi="Times New Roman" w:cs="Times New Roman"/>
                <w:bCs/>
                <w:i/>
                <w:sz w:val="24"/>
                <w:szCs w:val="24"/>
                <w:lang w:val="en-US"/>
              </w:rPr>
              <w:t xml:space="preserve"> </w:t>
            </w:r>
            <w:proofErr w:type="spellStart"/>
            <w:r w:rsidRPr="00173DCF">
              <w:rPr>
                <w:rFonts w:ascii="Times New Roman" w:hAnsi="Times New Roman" w:cs="Times New Roman"/>
                <w:bCs/>
                <w:i/>
                <w:sz w:val="24"/>
                <w:szCs w:val="24"/>
                <w:lang w:val="en-US"/>
              </w:rPr>
              <w:t>coracana</w:t>
            </w:r>
            <w:proofErr w:type="spellEnd"/>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Core collection</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22 – 65</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17 – 25</w:t>
            </w:r>
          </w:p>
        </w:tc>
        <w:tc>
          <w:tcPr>
            <w:tcW w:w="1276"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1840 – 4890</w:t>
            </w:r>
          </w:p>
        </w:tc>
        <w:tc>
          <w:tcPr>
            <w:tcW w:w="1134" w:type="dxa"/>
            <w:vAlign w:val="center"/>
          </w:tcPr>
          <w:p w:rsidR="008131E7" w:rsidRDefault="008131E7" w:rsidP="004F4F64">
            <w:pPr>
              <w:spacing w:before="120" w:after="120"/>
              <w:jc w:val="center"/>
              <w:rPr>
                <w:rFonts w:ascii="Times New Roman" w:hAnsi="Times New Roman" w:cs="Times New Roman"/>
                <w:sz w:val="24"/>
                <w:szCs w:val="24"/>
              </w:rPr>
            </w:pPr>
            <w:r w:rsidRPr="00173DCF">
              <w:rPr>
                <w:rFonts w:ascii="Times New Roman" w:hAnsi="Times New Roman" w:cs="Times New Roman"/>
                <w:sz w:val="24"/>
                <w:szCs w:val="24"/>
                <w:lang w:val="en-US"/>
              </w:rPr>
              <w:t>–</w:t>
            </w:r>
          </w:p>
        </w:tc>
        <w:tc>
          <w:tcPr>
            <w:tcW w:w="1276" w:type="dxa"/>
            <w:vAlign w:val="center"/>
          </w:tcPr>
          <w:p w:rsidR="008131E7" w:rsidRDefault="008131E7" w:rsidP="004F4F64">
            <w:pPr>
              <w:tabs>
                <w:tab w:val="right" w:pos="779"/>
              </w:tabs>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622</w:t>
            </w:r>
          </w:p>
        </w:tc>
        <w:tc>
          <w:tcPr>
            <w:tcW w:w="1276" w:type="dxa"/>
          </w:tcPr>
          <w:p w:rsidR="008131E7" w:rsidRDefault="001146EC"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rPr>
              <w:fldChar w:fldCharType="begin"/>
            </w:r>
            <w:r w:rsidR="008131E7">
              <w:rPr>
                <w:rFonts w:ascii="Times New Roman" w:hAnsi="Times New Roman" w:cs="Times New Roman"/>
                <w:sz w:val="24"/>
                <w:szCs w:val="24"/>
                <w:lang w:val="en-US"/>
              </w:rPr>
              <w:instrText xml:space="preserve"> ADDIN ZOTERO_ITEM CSL_CITATION {"citationID":"1rkeqjdivg","properties":{"formattedCitation":"(Upadhyaya et al., 2011)","plainCitation":"(Upadhyaya et al., 2011)"},"citationItems":[{"id":682,"uris":["http://zotero.org/users/456335/items/44U8Q86V"],"uri":["http://zotero.org/users/456335/items/44U8Q86V"],"itemData":{"id":682,"type":"article-journal","title":"Genetic diversity for grain nutrients contents in a core collection of finger millet (Eleusine coracana (L.) Gaertn.) germplasm","container-title":"Field Crops Research","page":"42-52","volume":"121","issue":"1","source":"ScienceDirect","abstract":"Finger millet is a promising source of micronutrients and protein besides energy and can contribute to the alleviation of iron (Fe), zinc (Zn) and protein malnutrition affecting women and preschool children in African and south-east Asian countries. The most cost effective approach for mitigating micronutrient and protein malnutrition is to introduce staple crop cultivars selected and/or bred for Fe, Zn and protein dense grain. Breeding finger millet for enhanced grain nutrients is still in its infancy. Analysis, detection and exploitation of the existing variability among the germplasm accessions are the initial steps in breeding micronutrient and protein-dense finger millet cultivars. Evaluation of finger millet core collection for grain nutrients and agronomic traits revealed a substantial genetic variability for grain Fe, Zn, calcium (Ca) and protein contents. The accessions rich in nutrient contents were identified and their agronomic diversity assessed. The accessions rich in Zn content have significantly higher grain yield potential than those rich in Fe and protein content. Grain nutrient-specific accessions and those contrasting for nutrient contents were identified for use in the strategic research and cultivar development in finger millet.","DOI":"10.1016/j.fcr.2010.11.017","ISSN":"0378-4290","author":[{"family":"Upadhyaya","given":"H.D."},{"family":"Ramesh","given":"S."},{"family":"Sharma","given":"Shivali"},{"family":"Singh","given":"S.K."},{"family":"Varshney","given":"S.K."},{"family":"Sarma","given":"N.D.R.K."},{"family":"Ravishankar","given":"C.R."},{"family":"Narasimhudu","given":"Y."},{"family":"Reddy","given":"V.G."},{"family":"Sahrawat","given":"K.L."},{"family":"Dhanalakshmi","given":"T.N."},{"family":"Mgonja","given":"M.A."},{"family":"Parzies","given":"H.K."},{"family":"Gowda","given":"C.L.L."},{"family":"Singh","given":"Sube"}],"issued":{"date-parts":[["2011",2,28]]},"accessed":{"date-parts":[[2012,7,18]]}}}],"schema":"https://github.com/citation-style-language/schema/raw/master/csl-citation.json"} </w:instrText>
            </w:r>
            <w:r w:rsidRPr="00173DCF">
              <w:rPr>
                <w:rFonts w:ascii="Times New Roman" w:hAnsi="Times New Roman" w:cs="Times New Roman"/>
                <w:sz w:val="24"/>
                <w:szCs w:val="24"/>
              </w:rPr>
              <w:fldChar w:fldCharType="separate"/>
            </w:r>
            <w:r w:rsidR="008131E7" w:rsidRPr="00173DCF">
              <w:rPr>
                <w:rFonts w:ascii="Times New Roman" w:hAnsi="Times New Roman" w:cs="Times New Roman"/>
                <w:sz w:val="24"/>
                <w:szCs w:val="24"/>
                <w:lang w:val="en-US"/>
              </w:rPr>
              <w:t xml:space="preserve">Upadhyaya </w:t>
            </w:r>
            <w:r w:rsidR="008131E7" w:rsidRPr="00173DCF">
              <w:rPr>
                <w:rFonts w:ascii="Times New Roman" w:hAnsi="Times New Roman" w:cs="Times New Roman"/>
                <w:i/>
                <w:sz w:val="24"/>
                <w:szCs w:val="24"/>
                <w:lang w:val="en-US"/>
              </w:rPr>
              <w:t>et al</w:t>
            </w:r>
            <w:r w:rsidR="008131E7" w:rsidRPr="00173DCF">
              <w:rPr>
                <w:rFonts w:ascii="Times New Roman" w:hAnsi="Times New Roman" w:cs="Times New Roman"/>
                <w:sz w:val="24"/>
                <w:szCs w:val="24"/>
                <w:lang w:val="en-US"/>
              </w:rPr>
              <w:t>. (2011)</w:t>
            </w:r>
            <w:r w:rsidRPr="00173DCF">
              <w:rPr>
                <w:rFonts w:ascii="Times New Roman" w:hAnsi="Times New Roman" w:cs="Times New Roman"/>
                <w:sz w:val="24"/>
                <w:szCs w:val="24"/>
              </w:rPr>
              <w:fldChar w:fldCharType="end"/>
            </w:r>
          </w:p>
        </w:tc>
      </w:tr>
      <w:tr w:rsidR="008131E7" w:rsidRPr="00173DCF" w:rsidTr="00317A7E">
        <w:tc>
          <w:tcPr>
            <w:tcW w:w="1904" w:type="dxa"/>
          </w:tcPr>
          <w:p w:rsidR="008131E7" w:rsidRDefault="008131E7" w:rsidP="004F4F64">
            <w:pPr>
              <w:autoSpaceDE w:val="0"/>
              <w:autoSpaceDN w:val="0"/>
              <w:adjustRightInd w:val="0"/>
              <w:spacing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Pearl millet</w:t>
            </w:r>
            <w:r>
              <w:rPr>
                <w:rFonts w:ascii="Times New Roman" w:hAnsi="Times New Roman" w:cs="Times New Roman"/>
                <w:bCs/>
                <w:sz w:val="24"/>
                <w:szCs w:val="24"/>
                <w:lang w:val="en-US"/>
              </w:rPr>
              <w:t xml:space="preserve"> </w:t>
            </w:r>
            <w:r w:rsidRPr="00173DCF">
              <w:rPr>
                <w:rFonts w:ascii="Times New Roman" w:hAnsi="Times New Roman" w:cs="Times New Roman"/>
                <w:bCs/>
                <w:sz w:val="24"/>
                <w:szCs w:val="24"/>
                <w:lang w:val="en-US"/>
              </w:rPr>
              <w:t>(</w:t>
            </w:r>
            <w:proofErr w:type="spellStart"/>
            <w:r w:rsidRPr="00173DCF">
              <w:rPr>
                <w:rFonts w:ascii="Times New Roman" w:hAnsi="Times New Roman" w:cs="Times New Roman"/>
                <w:bCs/>
                <w:i/>
                <w:iCs/>
                <w:sz w:val="24"/>
                <w:szCs w:val="24"/>
                <w:lang w:val="en-US"/>
              </w:rPr>
              <w:t>Pennisetum</w:t>
            </w:r>
            <w:proofErr w:type="spellEnd"/>
            <w:r w:rsidRPr="00173DCF">
              <w:rPr>
                <w:rFonts w:ascii="Times New Roman" w:hAnsi="Times New Roman" w:cs="Times New Roman"/>
                <w:bCs/>
                <w:i/>
                <w:iCs/>
                <w:sz w:val="24"/>
                <w:szCs w:val="24"/>
                <w:lang w:val="en-US"/>
              </w:rPr>
              <w:t xml:space="preserve"> </w:t>
            </w:r>
            <w:proofErr w:type="spellStart"/>
            <w:r w:rsidRPr="00173DCF">
              <w:rPr>
                <w:rFonts w:ascii="Times New Roman" w:hAnsi="Times New Roman" w:cs="Times New Roman"/>
                <w:bCs/>
                <w:i/>
                <w:iCs/>
                <w:sz w:val="24"/>
                <w:szCs w:val="24"/>
                <w:lang w:val="en-US"/>
              </w:rPr>
              <w:t>glaucum</w:t>
            </w:r>
            <w:proofErr w:type="spellEnd"/>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Diverse germ</w:t>
            </w:r>
            <w:r>
              <w:rPr>
                <w:rFonts w:ascii="Times New Roman" w:hAnsi="Times New Roman" w:cs="Times New Roman"/>
                <w:sz w:val="24"/>
                <w:szCs w:val="24"/>
                <w:lang w:val="en-US"/>
              </w:rPr>
              <w:softHyphen/>
            </w:r>
            <w:r w:rsidRPr="00173DCF">
              <w:rPr>
                <w:rFonts w:ascii="Times New Roman" w:hAnsi="Times New Roman" w:cs="Times New Roman"/>
                <w:sz w:val="24"/>
                <w:szCs w:val="24"/>
                <w:lang w:val="en-US"/>
              </w:rPr>
              <w:t>plasm</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30 – 76</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25 – 65</w:t>
            </w:r>
          </w:p>
        </w:tc>
        <w:tc>
          <w:tcPr>
            <w:tcW w:w="1276" w:type="dxa"/>
            <w:vAlign w:val="center"/>
          </w:tcPr>
          <w:p w:rsidR="008131E7" w:rsidRDefault="008131E7" w:rsidP="004F4F64">
            <w:pPr>
              <w:spacing w:before="120" w:after="120"/>
              <w:jc w:val="center"/>
              <w:rPr>
                <w:rFonts w:ascii="Times New Roman" w:hAnsi="Times New Roman" w:cs="Times New Roman"/>
                <w:sz w:val="24"/>
                <w:szCs w:val="24"/>
                <w:lang w:val="en-US"/>
              </w:rPr>
            </w:pPr>
            <w:r w:rsidRPr="00173DCF">
              <w:rPr>
                <w:rFonts w:ascii="Times New Roman" w:hAnsi="Times New Roman" w:cs="Times New Roman"/>
                <w:sz w:val="24"/>
                <w:szCs w:val="24"/>
                <w:lang w:val="en-US"/>
              </w:rPr>
              <w:t>–</w:t>
            </w:r>
          </w:p>
        </w:tc>
        <w:tc>
          <w:tcPr>
            <w:tcW w:w="1134" w:type="dxa"/>
            <w:vAlign w:val="center"/>
          </w:tcPr>
          <w:p w:rsidR="008131E7" w:rsidRDefault="008131E7" w:rsidP="004F4F64">
            <w:pPr>
              <w:spacing w:before="120" w:after="120"/>
              <w:jc w:val="center"/>
              <w:rPr>
                <w:rFonts w:ascii="Times New Roman" w:hAnsi="Times New Roman" w:cs="Times New Roman"/>
                <w:sz w:val="24"/>
                <w:szCs w:val="24"/>
                <w:lang w:val="en-US"/>
              </w:rPr>
            </w:pPr>
            <w:r w:rsidRPr="00173DCF">
              <w:rPr>
                <w:rFonts w:ascii="Times New Roman" w:hAnsi="Times New Roman" w:cs="Times New Roman"/>
                <w:sz w:val="24"/>
                <w:szCs w:val="24"/>
                <w:lang w:val="en-US"/>
              </w:rPr>
              <w:t>–</w:t>
            </w:r>
          </w:p>
        </w:tc>
        <w:tc>
          <w:tcPr>
            <w:tcW w:w="1276" w:type="dxa"/>
            <w:vAlign w:val="center"/>
          </w:tcPr>
          <w:p w:rsidR="008131E7" w:rsidRDefault="008131E7" w:rsidP="004F4F64">
            <w:pPr>
              <w:tabs>
                <w:tab w:val="right" w:pos="779"/>
              </w:tabs>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120</w:t>
            </w:r>
          </w:p>
        </w:tc>
        <w:tc>
          <w:tcPr>
            <w:tcW w:w="1276" w:type="dxa"/>
          </w:tcPr>
          <w:p w:rsidR="008131E7" w:rsidRDefault="001146EC"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rPr>
              <w:fldChar w:fldCharType="begin"/>
            </w:r>
            <w:r w:rsidR="008131E7">
              <w:rPr>
                <w:rFonts w:ascii="Times New Roman" w:hAnsi="Times New Roman" w:cs="Times New Roman"/>
                <w:sz w:val="24"/>
                <w:szCs w:val="24"/>
                <w:lang w:val="en-US"/>
              </w:rPr>
              <w:instrText xml:space="preserve"> ADDIN ZOTERO_ITEM CSL_CITATION {"citationID":"1i2svsajf0","properties":{"formattedCitation":"(Velu et al., 2007)","plainCitation":"(Velu et al., 2007)"},"citationItems":[{"id":12,"uris":["http://zotero.org/users/456335/items/2X7VS9VD"],"uri":["http://zotero.org/users/456335/items/2X7VS9VD"],"itemData":{"id":12,"type":"article-journal","title":"Prospects of breeding biofortified pearl millet with high grain iron and zinc content","container-title":"Plant Breeding","page":"182-185","volume":"126","issue":"2","source":"onlinelibrary.wiley.com","abstract":"Development of crop cultivars with elevated levels of micronutrients is being increasingly recognized as one of the approaches to provide sustainable solutions to various health problems associated with micronutrient malnutrition, especially in developing countries. To assess the prospects of this approach in pearl millet (Pennisetum glaucum), a diverse range of genetic materials, consisting of 40 hybrid parents, 30 each of population progenies and improved populations, and 20 germplasm accessions, was analysed for grain iron (Fe) and zinc (Zn) content, deficiencies of which adversely affect human health. Based on the mean performance in two seasons at ICRISAT, Patancheru, India, large variability among the entries was found, both for Fe (30.1–75.7 mg/kg on dry weight basis) and Zn (24.5–64.8 mg/kg). The highest levels of grain Fe and Zn were observed in well-adapted commercial varieties and their progenies, and in the parental lines of hybrids, which were either entirely based on iniari germplasm, or had large components of it in their parentage. There were indications of large within-population genetic variability for both Fe and Zn. The correlation between Fe and Zn content was positive and highly significant (r = 0.84; P &lt; 0.01). These results indicate that there are good prospects of simultaneous selection for both micronutrients, and that selection within populations, especially those with the predominantly iniari germplasm, is likely to provide good opportunities for developing pearl millet varieties and hybrid parents with significantly improved grain Fe and Zn content in pearl millet.","DOI":"10.1111/j.1439-0523.2007.01322.x","ISSN":"1439-0523","language":"en","author":[{"family":"Velu","given":"G."},{"family":"Rai","given":"K. N"},{"family":"Muralidharan","given":"V."},{"family":"Kulkarni","given":"V. N"},{"family":"Longvah","given":"T."},{"family":"Raveendran","given":"T. S"}],"issued":{"date-parts":[[2007,4,1]]},"accessed":{"date-parts":[[2012,4,4]]}}}],"schema":"https://github.com/citation-style-language/schema/raw/master/csl-citation.json"} </w:instrText>
            </w:r>
            <w:r w:rsidRPr="00173DCF">
              <w:rPr>
                <w:rFonts w:ascii="Times New Roman" w:hAnsi="Times New Roman" w:cs="Times New Roman"/>
                <w:sz w:val="24"/>
                <w:szCs w:val="24"/>
              </w:rPr>
              <w:fldChar w:fldCharType="separate"/>
            </w:r>
            <w:r w:rsidR="008131E7" w:rsidRPr="00173DCF">
              <w:rPr>
                <w:rFonts w:ascii="Times New Roman" w:hAnsi="Times New Roman" w:cs="Times New Roman"/>
                <w:sz w:val="24"/>
                <w:szCs w:val="24"/>
                <w:lang w:val="en-US"/>
              </w:rPr>
              <w:t xml:space="preserve">Velu </w:t>
            </w:r>
            <w:r w:rsidR="008131E7" w:rsidRPr="00173DCF">
              <w:rPr>
                <w:rFonts w:ascii="Times New Roman" w:hAnsi="Times New Roman" w:cs="Times New Roman"/>
                <w:i/>
                <w:sz w:val="24"/>
                <w:szCs w:val="24"/>
                <w:lang w:val="en-US"/>
              </w:rPr>
              <w:t>et al</w:t>
            </w:r>
            <w:r w:rsidR="008131E7" w:rsidRPr="00173DCF">
              <w:rPr>
                <w:rFonts w:ascii="Times New Roman" w:hAnsi="Times New Roman" w:cs="Times New Roman"/>
                <w:sz w:val="24"/>
                <w:szCs w:val="24"/>
                <w:lang w:val="en-US"/>
              </w:rPr>
              <w:t>. (2007)</w:t>
            </w:r>
            <w:r w:rsidRPr="00173DCF">
              <w:rPr>
                <w:rFonts w:ascii="Times New Roman" w:hAnsi="Times New Roman" w:cs="Times New Roman"/>
                <w:sz w:val="24"/>
                <w:szCs w:val="24"/>
              </w:rPr>
              <w:fldChar w:fldCharType="end"/>
            </w:r>
          </w:p>
        </w:tc>
      </w:tr>
      <w:tr w:rsidR="008131E7" w:rsidRPr="00173DCF" w:rsidTr="00317A7E">
        <w:tc>
          <w:tcPr>
            <w:tcW w:w="1904" w:type="dxa"/>
          </w:tcPr>
          <w:p w:rsidR="008131E7" w:rsidRDefault="008131E7" w:rsidP="004F4F64">
            <w:pPr>
              <w:autoSpaceDE w:val="0"/>
              <w:autoSpaceDN w:val="0"/>
              <w:adjustRightInd w:val="0"/>
              <w:spacing w:before="120"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Bean</w:t>
            </w:r>
            <w:r>
              <w:rPr>
                <w:rFonts w:ascii="Times New Roman" w:hAnsi="Times New Roman" w:cs="Times New Roman"/>
                <w:bCs/>
                <w:sz w:val="24"/>
                <w:szCs w:val="24"/>
                <w:lang w:val="en-US"/>
              </w:rPr>
              <w:t xml:space="preserve"> </w:t>
            </w:r>
            <w:r w:rsidRPr="00173DCF">
              <w:rPr>
                <w:rFonts w:ascii="Times New Roman" w:hAnsi="Times New Roman" w:cs="Times New Roman"/>
                <w:bCs/>
                <w:sz w:val="24"/>
                <w:szCs w:val="24"/>
                <w:lang w:val="en-US"/>
              </w:rPr>
              <w:t>(</w:t>
            </w:r>
            <w:proofErr w:type="spellStart"/>
            <w:r w:rsidRPr="00173DCF">
              <w:rPr>
                <w:rFonts w:ascii="Times New Roman" w:hAnsi="Times New Roman" w:cs="Times New Roman"/>
                <w:bCs/>
                <w:i/>
                <w:iCs/>
                <w:sz w:val="24"/>
                <w:szCs w:val="24"/>
                <w:lang w:val="en-US"/>
              </w:rPr>
              <w:t>Phaseolus</w:t>
            </w:r>
            <w:proofErr w:type="spellEnd"/>
            <w:r w:rsidRPr="00173DCF">
              <w:rPr>
                <w:rFonts w:ascii="Times New Roman" w:hAnsi="Times New Roman" w:cs="Times New Roman"/>
                <w:bCs/>
                <w:i/>
                <w:iCs/>
                <w:sz w:val="24"/>
                <w:szCs w:val="24"/>
                <w:lang w:val="en-US"/>
              </w:rPr>
              <w:t xml:space="preserve"> </w:t>
            </w:r>
            <w:proofErr w:type="spellStart"/>
            <w:r w:rsidRPr="00173DCF">
              <w:rPr>
                <w:rFonts w:ascii="Times New Roman" w:hAnsi="Times New Roman" w:cs="Times New Roman"/>
                <w:bCs/>
                <w:i/>
                <w:iCs/>
                <w:sz w:val="24"/>
                <w:szCs w:val="24"/>
                <w:lang w:val="en-US"/>
              </w:rPr>
              <w:t>vulgaris</w:t>
            </w:r>
            <w:proofErr w:type="spellEnd"/>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Selected genotypes</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48 – 74</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17 – 28</w:t>
            </w:r>
          </w:p>
        </w:tc>
        <w:tc>
          <w:tcPr>
            <w:tcW w:w="1276"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1390 – 2040</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1470 – 1960</w:t>
            </w:r>
          </w:p>
        </w:tc>
        <w:tc>
          <w:tcPr>
            <w:tcW w:w="1276" w:type="dxa"/>
            <w:vAlign w:val="center"/>
          </w:tcPr>
          <w:p w:rsidR="008131E7" w:rsidRDefault="008131E7" w:rsidP="004F4F64">
            <w:pPr>
              <w:tabs>
                <w:tab w:val="right" w:pos="779"/>
              </w:tabs>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8</w:t>
            </w:r>
          </w:p>
        </w:tc>
        <w:tc>
          <w:tcPr>
            <w:tcW w:w="1276" w:type="dxa"/>
          </w:tcPr>
          <w:p w:rsidR="008131E7" w:rsidRDefault="001146EC"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rPr>
              <w:fldChar w:fldCharType="begin"/>
            </w:r>
            <w:r w:rsidR="008131E7">
              <w:rPr>
                <w:rFonts w:ascii="Times New Roman" w:hAnsi="Times New Roman" w:cs="Times New Roman"/>
                <w:sz w:val="24"/>
                <w:szCs w:val="24"/>
                <w:lang w:val="en-US"/>
              </w:rPr>
              <w:instrText xml:space="preserve"> ADDIN ZOTERO_ITEM CSL_CITATION {"citationID":"2j0o4qmmt3","properties":{"formattedCitation":"(Ariza-Nieto et al., 2007)","plainCitation":"(Ariza-Nieto et al., 2007)"},"citationItems":[{"id":895,"uris":["http://zotero.org/users/456335/items/ARABTM9E"],"uri":["http://zotero.org/users/456335/items/ARABTM9E"],"itemData":{"id":895,"type":"article-journal","title":"Screening of iron bioavailability patterns in eight bean (Phaseolus vulgaris L.) genotypes using the Caco-2 cell in vitro model","container-title":"Journal of agricultural and food chemistry","page":"7950-7956","volume":"55","issue":"19","source":"NCBI PubMed","abstract":"The common bean ( Phaseolus vulgaris) is an important staple plant food in the diets of people of Latin America, East Africa,and other regions of the developing world. It is also a major source of dietary iron. The primary goal of this research was to use an in vitro digestion/Caco-2 model to study iron bioavailability in eight genotypes (three Mesoamerican and five Andean) that represent the diversity of grain types in this crop. Complementing this goal, we measured the distribution of both iron and phytate in different bean grain tissues (cotyledon, seed coats, and embryos). Seed coats were confirmed to be the exclusive tissue containing polyphenols. The removal of the seed coat and associated polyphenols improved Caco-2 iron bioavailability, and significant differences were observed between genotypes. The addition of ascorbate enhanced iron bioavailability and exposed additional differences in Fe availability among the genotypes. These results indicate that iron accumulation and in vitro iron bioavailability vary among bean genotypes and that polyphenols had greater inhibitory effects on Caco-2 iron bioavailability as compared to phytate.","DOI":"10.1021/jf070023y","ISSN":"0021-8561","note":"PMID: 17705438","journalAbbreviation":"J. Agric. Food Chem.","author":[{"family":"Ariza-Nieto","given":"Magnolia"},{"family":"Blair","given":"Matthew W"},{"family":"Welch","given":"Ross M"},{"family":"Glahn","given":"Raymond P"}],"issued":{"date-parts":[["2007",9,19]]}}}],"schema":"https://github.com/citation-style-language/schema/raw/master/csl-citation.json"} </w:instrText>
            </w:r>
            <w:r w:rsidRPr="00173DCF">
              <w:rPr>
                <w:rFonts w:ascii="Times New Roman" w:hAnsi="Times New Roman" w:cs="Times New Roman"/>
                <w:sz w:val="24"/>
                <w:szCs w:val="24"/>
              </w:rPr>
              <w:fldChar w:fldCharType="separate"/>
            </w:r>
            <w:r w:rsidR="008131E7" w:rsidRPr="00173DCF">
              <w:rPr>
                <w:rFonts w:ascii="Times New Roman" w:hAnsi="Times New Roman" w:cs="Times New Roman"/>
                <w:sz w:val="24"/>
                <w:szCs w:val="24"/>
                <w:lang w:val="en-US"/>
              </w:rPr>
              <w:t xml:space="preserve">Ariza-Nieto </w:t>
            </w:r>
            <w:r w:rsidR="008131E7" w:rsidRPr="00173DCF">
              <w:rPr>
                <w:rFonts w:ascii="Times New Roman" w:hAnsi="Times New Roman" w:cs="Times New Roman"/>
                <w:i/>
                <w:sz w:val="24"/>
                <w:szCs w:val="24"/>
                <w:lang w:val="en-US"/>
              </w:rPr>
              <w:t>et al</w:t>
            </w:r>
            <w:r w:rsidR="008131E7" w:rsidRPr="00173DCF">
              <w:rPr>
                <w:rFonts w:ascii="Times New Roman" w:hAnsi="Times New Roman" w:cs="Times New Roman"/>
                <w:sz w:val="24"/>
                <w:szCs w:val="24"/>
                <w:lang w:val="en-US"/>
              </w:rPr>
              <w:t>. (2007)</w:t>
            </w:r>
            <w:r w:rsidRPr="00173DCF">
              <w:rPr>
                <w:rFonts w:ascii="Times New Roman" w:hAnsi="Times New Roman" w:cs="Times New Roman"/>
                <w:sz w:val="24"/>
                <w:szCs w:val="24"/>
              </w:rPr>
              <w:fldChar w:fldCharType="end"/>
            </w:r>
          </w:p>
        </w:tc>
      </w:tr>
      <w:tr w:rsidR="008131E7" w:rsidRPr="00173DCF" w:rsidTr="00317A7E">
        <w:tc>
          <w:tcPr>
            <w:tcW w:w="1904" w:type="dxa"/>
          </w:tcPr>
          <w:p w:rsidR="008131E7" w:rsidRDefault="008131E7" w:rsidP="004F4F64">
            <w:pPr>
              <w:autoSpaceDE w:val="0"/>
              <w:autoSpaceDN w:val="0"/>
              <w:adjustRightInd w:val="0"/>
              <w:spacing w:before="120"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Chickpea</w:t>
            </w:r>
            <w:r>
              <w:rPr>
                <w:rFonts w:ascii="Times New Roman" w:hAnsi="Times New Roman" w:cs="Times New Roman"/>
                <w:bCs/>
                <w:sz w:val="24"/>
                <w:szCs w:val="24"/>
                <w:lang w:val="en-US"/>
              </w:rPr>
              <w:t xml:space="preserve"> </w:t>
            </w:r>
            <w:r w:rsidRPr="00173DCF">
              <w:rPr>
                <w:rFonts w:ascii="Times New Roman" w:hAnsi="Times New Roman" w:cs="Times New Roman"/>
                <w:bCs/>
                <w:sz w:val="24"/>
                <w:szCs w:val="24"/>
                <w:lang w:val="en-US"/>
              </w:rPr>
              <w:t>(</w:t>
            </w:r>
            <w:proofErr w:type="spellStart"/>
            <w:r w:rsidRPr="00173DCF">
              <w:rPr>
                <w:rFonts w:ascii="Times New Roman" w:hAnsi="Times New Roman" w:cs="Times New Roman"/>
                <w:bCs/>
                <w:i/>
                <w:iCs/>
                <w:sz w:val="24"/>
                <w:szCs w:val="24"/>
                <w:lang w:val="en-US"/>
              </w:rPr>
              <w:t>Cicer</w:t>
            </w:r>
            <w:proofErr w:type="spellEnd"/>
            <w:r w:rsidRPr="00173DCF">
              <w:rPr>
                <w:rFonts w:ascii="Times New Roman" w:hAnsi="Times New Roman" w:cs="Times New Roman"/>
                <w:bCs/>
                <w:i/>
                <w:iCs/>
                <w:sz w:val="24"/>
                <w:szCs w:val="24"/>
                <w:lang w:val="en-US"/>
              </w:rPr>
              <w:t xml:space="preserve"> </w:t>
            </w:r>
            <w:proofErr w:type="spellStart"/>
            <w:r w:rsidRPr="00173DCF">
              <w:rPr>
                <w:rFonts w:ascii="Times New Roman" w:hAnsi="Times New Roman" w:cs="Times New Roman"/>
                <w:bCs/>
                <w:i/>
                <w:iCs/>
                <w:sz w:val="24"/>
                <w:szCs w:val="24"/>
                <w:lang w:val="en-US"/>
              </w:rPr>
              <w:t>arietinum</w:t>
            </w:r>
            <w:proofErr w:type="spellEnd"/>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Commer</w:t>
            </w:r>
            <w:r>
              <w:rPr>
                <w:rFonts w:ascii="Times New Roman" w:hAnsi="Times New Roman" w:cs="Times New Roman"/>
                <w:sz w:val="24"/>
                <w:szCs w:val="24"/>
                <w:lang w:val="en-US"/>
              </w:rPr>
              <w:softHyphen/>
            </w:r>
            <w:r w:rsidRPr="00173DCF">
              <w:rPr>
                <w:rFonts w:ascii="Times New Roman" w:hAnsi="Times New Roman" w:cs="Times New Roman"/>
                <w:sz w:val="24"/>
                <w:szCs w:val="24"/>
                <w:lang w:val="en-US"/>
              </w:rPr>
              <w:t>cial cultivars</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24 – 41</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35 – 60</w:t>
            </w:r>
          </w:p>
        </w:tc>
        <w:tc>
          <w:tcPr>
            <w:tcW w:w="1276"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1900 – 2200</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40 – 50</w:t>
            </w:r>
          </w:p>
        </w:tc>
        <w:tc>
          <w:tcPr>
            <w:tcW w:w="1276" w:type="dxa"/>
            <w:vAlign w:val="center"/>
          </w:tcPr>
          <w:p w:rsidR="008131E7" w:rsidRDefault="008131E7" w:rsidP="004F4F64">
            <w:pPr>
              <w:tabs>
                <w:tab w:val="right" w:pos="779"/>
              </w:tabs>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4</w:t>
            </w:r>
          </w:p>
        </w:tc>
        <w:tc>
          <w:tcPr>
            <w:tcW w:w="1276" w:type="dxa"/>
          </w:tcPr>
          <w:p w:rsidR="008131E7" w:rsidRDefault="001146EC"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lang w:val="en-US"/>
              </w:rPr>
              <w:fldChar w:fldCharType="begin"/>
            </w:r>
            <w:r w:rsidR="008131E7" w:rsidRPr="00173DCF">
              <w:rPr>
                <w:rFonts w:ascii="Times New Roman" w:hAnsi="Times New Roman" w:cs="Times New Roman"/>
                <w:sz w:val="24"/>
                <w:szCs w:val="24"/>
              </w:rPr>
              <w:instrText xml:space="preserve"> ADDIN ZOTERO_ITEM CSL_CITATION {"citationID":"26ugg1iafk","properties":{"formattedCitation":"(Zia-Ul-Haq et al., 2007)","plainCitation":"(Zia-Ul-Haq et al., 2007)"},"citationItems":[{"id":900,"uris":["http://zotero.org/users/456335/items/W79NAMCN"],"uri":["http://zotero.org/users/456335/items/W79NAMCN"],"itemData":{"id":900,"type":"article-journal","title":"Nutritional and compositional study of Desi chickpea (Cicer arietinum L.) cultivars grown in Punjab, Pakistan","container-title":"Food Chemistry","page":"1357-1363","volume":"105","issue":"4","abstract":"Four indigenous Desi chickpea (Cicer arietinum L.) cultivars grown in the Punjab Province of Pakistan have been analyzed to determine and compare their nutritional and compositional properties and to assess their role in human nutrition. Variability was observed among investigated cultivars in terms of physical characteristics of seeds, such as seed size, seed volume, seed density, hydration capacity, hydration index, swelling capacity and swelling index. Mineral composition showed that sufficient amounts of Ca, P, K, Cu, Zn and Mg were present to meet the macronutrient and micronutrient demand in human diets. Despite variations, potassium and manganese were noted as being present in highest and lowest concentrations, respectively, in all cultivars. The distribution patterns of various amino acids in these cultivars suggested sulfur-containing amino acids as limiting amino acids. Fatty acid profile indicated unsaturated fatty acids as major fatty acids in all cultivars. The levels of some of the anti-nutritional factors were also determined. The analysis showed almost similar proportions of biochemical constituents among all cultivars. The data show that, in terms of both quality and quantity, the Desi chickpea cultivars can serve as a significant source of essential amino acids, essential fatty acids and trace minerals to meet the demand of populations living in Punjab Province of Pakistan.","DOI":"10.1016/j.foodchem.2007.05.004","journalAbbreviation":"Food Chemistry","author":[{"family":"Zia-Ul-Haq","given":"Muhammad"},{"family":"Iqbal","given":"Shahid"},{"family":"Ahmad","given":"Shakeel"},{"family":"Imran","given":"Muhammad"},{"family":"Niaz","given":"Abdul"},{"family":"Bhanger","given":"M.I."}],"issued":{"year":2007},"accessed":{"year":2012,"month":10,"day":22},"page-first":"1357"}}],"schema":"https://github.com/citation-style-language/schema/raw/master/csl-citation.json"} </w:instrText>
            </w:r>
            <w:r w:rsidRPr="00173DCF">
              <w:rPr>
                <w:rFonts w:ascii="Times New Roman" w:hAnsi="Times New Roman" w:cs="Times New Roman"/>
                <w:sz w:val="24"/>
                <w:szCs w:val="24"/>
                <w:lang w:val="en-US"/>
              </w:rPr>
              <w:fldChar w:fldCharType="separate"/>
            </w:r>
            <w:r w:rsidR="008131E7" w:rsidRPr="00173DCF">
              <w:rPr>
                <w:rFonts w:ascii="Times New Roman" w:hAnsi="Times New Roman" w:cs="Times New Roman"/>
                <w:sz w:val="24"/>
                <w:szCs w:val="24"/>
              </w:rPr>
              <w:t xml:space="preserve">Zia-Ul-Haq </w:t>
            </w:r>
            <w:r w:rsidR="008131E7" w:rsidRPr="00173DCF">
              <w:rPr>
                <w:rFonts w:ascii="Times New Roman" w:hAnsi="Times New Roman" w:cs="Times New Roman"/>
                <w:i/>
                <w:sz w:val="24"/>
                <w:szCs w:val="24"/>
              </w:rPr>
              <w:t>et al</w:t>
            </w:r>
            <w:r w:rsidR="008131E7" w:rsidRPr="00173DCF">
              <w:rPr>
                <w:rFonts w:ascii="Times New Roman" w:hAnsi="Times New Roman" w:cs="Times New Roman"/>
                <w:sz w:val="24"/>
                <w:szCs w:val="24"/>
              </w:rPr>
              <w:t>. (2007)</w:t>
            </w:r>
            <w:r w:rsidRPr="00173DCF">
              <w:rPr>
                <w:rFonts w:ascii="Times New Roman" w:hAnsi="Times New Roman" w:cs="Times New Roman"/>
                <w:sz w:val="24"/>
                <w:szCs w:val="24"/>
                <w:lang w:val="en-US"/>
              </w:rPr>
              <w:fldChar w:fldCharType="end"/>
            </w:r>
          </w:p>
        </w:tc>
      </w:tr>
      <w:tr w:rsidR="008131E7" w:rsidRPr="00173DCF" w:rsidTr="00317A7E">
        <w:tc>
          <w:tcPr>
            <w:tcW w:w="1904" w:type="dxa"/>
          </w:tcPr>
          <w:p w:rsidR="008131E7" w:rsidRDefault="008131E7" w:rsidP="004F4F64">
            <w:pPr>
              <w:autoSpaceDE w:val="0"/>
              <w:autoSpaceDN w:val="0"/>
              <w:adjustRightInd w:val="0"/>
              <w:spacing w:before="120" w:after="120"/>
              <w:rPr>
                <w:rFonts w:ascii="Times New Roman" w:hAnsi="Times New Roman" w:cs="Times New Roman"/>
                <w:bCs/>
                <w:sz w:val="24"/>
                <w:szCs w:val="24"/>
                <w:lang w:val="en-US"/>
              </w:rPr>
            </w:pPr>
            <w:r w:rsidRPr="00173DCF">
              <w:rPr>
                <w:rFonts w:ascii="Times New Roman" w:hAnsi="Times New Roman" w:cs="Times New Roman"/>
                <w:bCs/>
                <w:sz w:val="24"/>
                <w:szCs w:val="24"/>
                <w:lang w:val="en-US"/>
              </w:rPr>
              <w:t>Cowpea</w:t>
            </w:r>
            <w:r>
              <w:rPr>
                <w:rFonts w:ascii="Times New Roman" w:hAnsi="Times New Roman" w:cs="Times New Roman"/>
                <w:bCs/>
                <w:sz w:val="24"/>
                <w:szCs w:val="24"/>
                <w:lang w:val="en-US"/>
              </w:rPr>
              <w:t xml:space="preserve"> </w:t>
            </w:r>
            <w:r w:rsidRPr="00173DCF">
              <w:rPr>
                <w:rFonts w:ascii="Times New Roman" w:hAnsi="Times New Roman" w:cs="Times New Roman"/>
                <w:bCs/>
                <w:sz w:val="24"/>
                <w:szCs w:val="24"/>
                <w:lang w:val="en-US"/>
              </w:rPr>
              <w:t>(</w:t>
            </w:r>
            <w:proofErr w:type="spellStart"/>
            <w:r w:rsidRPr="00173DCF">
              <w:rPr>
                <w:rFonts w:ascii="Times New Roman" w:hAnsi="Times New Roman" w:cs="Times New Roman"/>
                <w:bCs/>
                <w:i/>
                <w:sz w:val="24"/>
                <w:szCs w:val="24"/>
                <w:lang w:val="en-US"/>
              </w:rPr>
              <w:t>Vigna</w:t>
            </w:r>
            <w:proofErr w:type="spellEnd"/>
            <w:r w:rsidRPr="00173DCF">
              <w:rPr>
                <w:rFonts w:ascii="Times New Roman" w:hAnsi="Times New Roman" w:cs="Times New Roman"/>
                <w:bCs/>
                <w:i/>
                <w:sz w:val="24"/>
                <w:szCs w:val="24"/>
                <w:lang w:val="en-US"/>
              </w:rPr>
              <w:t xml:space="preserve"> </w:t>
            </w:r>
            <w:proofErr w:type="spellStart"/>
            <w:r w:rsidRPr="00173DCF">
              <w:rPr>
                <w:rFonts w:ascii="Times New Roman" w:hAnsi="Times New Roman" w:cs="Times New Roman"/>
                <w:bCs/>
                <w:i/>
                <w:sz w:val="24"/>
                <w:szCs w:val="24"/>
                <w:lang w:val="en-US"/>
              </w:rPr>
              <w:t>unguiculata</w:t>
            </w:r>
            <w:proofErr w:type="spellEnd"/>
            <w:r w:rsidRPr="00173DCF">
              <w:rPr>
                <w:rFonts w:ascii="Times New Roman" w:hAnsi="Times New Roman" w:cs="Times New Roman"/>
                <w:bCs/>
                <w:sz w:val="24"/>
                <w:szCs w:val="24"/>
                <w:lang w:val="en-US"/>
              </w:rPr>
              <w:t>)</w:t>
            </w:r>
          </w:p>
        </w:tc>
        <w:tc>
          <w:tcPr>
            <w:tcW w:w="1275" w:type="dxa"/>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Collected accessions</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34 – 80</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22 – 58</w:t>
            </w:r>
          </w:p>
        </w:tc>
        <w:tc>
          <w:tcPr>
            <w:tcW w:w="1276"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310 – 1395</w:t>
            </w:r>
          </w:p>
        </w:tc>
        <w:tc>
          <w:tcPr>
            <w:tcW w:w="1134" w:type="dxa"/>
            <w:vAlign w:val="center"/>
          </w:tcPr>
          <w:p w:rsidR="008131E7" w:rsidRDefault="008131E7" w:rsidP="004F4F64">
            <w:pPr>
              <w:spacing w:before="120" w:after="120"/>
              <w:rPr>
                <w:rFonts w:ascii="Times New Roman" w:hAnsi="Times New Roman" w:cs="Times New Roman"/>
                <w:sz w:val="24"/>
                <w:szCs w:val="24"/>
                <w:lang w:val="en-US"/>
              </w:rPr>
            </w:pPr>
            <w:r w:rsidRPr="00173DCF">
              <w:rPr>
                <w:rFonts w:ascii="Times New Roman" w:hAnsi="Times New Roman" w:cs="Times New Roman"/>
                <w:sz w:val="24"/>
                <w:szCs w:val="24"/>
                <w:lang w:val="en-US"/>
              </w:rPr>
              <w:t>1515 – 2500</w:t>
            </w:r>
          </w:p>
        </w:tc>
        <w:tc>
          <w:tcPr>
            <w:tcW w:w="1276" w:type="dxa"/>
            <w:vAlign w:val="center"/>
          </w:tcPr>
          <w:p w:rsidR="008131E7" w:rsidRDefault="008131E7" w:rsidP="004F4F64">
            <w:pPr>
              <w:tabs>
                <w:tab w:val="right" w:pos="779"/>
              </w:tabs>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ab/>
            </w:r>
            <w:r w:rsidRPr="00173DCF">
              <w:rPr>
                <w:rFonts w:ascii="Times New Roman" w:hAnsi="Times New Roman" w:cs="Times New Roman"/>
                <w:sz w:val="24"/>
                <w:szCs w:val="24"/>
                <w:lang w:val="en-US"/>
              </w:rPr>
              <w:t>1541</w:t>
            </w:r>
          </w:p>
        </w:tc>
        <w:tc>
          <w:tcPr>
            <w:tcW w:w="1276" w:type="dxa"/>
          </w:tcPr>
          <w:p w:rsidR="008131E7" w:rsidRDefault="001146EC" w:rsidP="004F4F64">
            <w:pPr>
              <w:spacing w:before="120" w:after="120"/>
              <w:rPr>
                <w:rFonts w:ascii="Times New Roman" w:hAnsi="Times New Roman" w:cs="Times New Roman"/>
                <w:sz w:val="24"/>
                <w:szCs w:val="24"/>
              </w:rPr>
            </w:pPr>
            <w:r w:rsidRPr="00173DCF">
              <w:rPr>
                <w:rFonts w:ascii="Times New Roman" w:hAnsi="Times New Roman" w:cs="Times New Roman"/>
                <w:sz w:val="24"/>
                <w:szCs w:val="24"/>
              </w:rPr>
              <w:fldChar w:fldCharType="begin"/>
            </w:r>
            <w:r w:rsidR="008131E7" w:rsidRPr="00173DCF">
              <w:rPr>
                <w:rFonts w:ascii="Times New Roman" w:hAnsi="Times New Roman" w:cs="Times New Roman"/>
                <w:sz w:val="24"/>
                <w:szCs w:val="24"/>
                <w:lang w:val="en-US"/>
              </w:rPr>
              <w:instrText xml:space="preserve"> ADDIN ZOTERO_ITEM CSL_CITATION {"citationID":"m29yHwc3","properties":{"formattedCitation":"(Boukar et al., 2011)","plainCitation":"(Boukar et al., 2011)"},"citationItems":[{"id":178,"uris":["http://zotero.org/users/456335/items/RPRVBC4D"],"uri":["http://zotero.org/users/456335/items/RPRVBC4D"],"itemData":{"id":178,"type":"article-journal","title":"Evaluation of Cowpea Germplasm Lines for Protein and Mineral Concentrations in Grains","container-title":"Plant Genetic Resources","page":"515-522","volume":"9","issue":"04","abstract":"Cowpea, an indigenous crop to sub-Saharan Africa, is found mainly in the dry savanna regions along with cereals such as millets and sorghum. Cowpea is grown primarily for human consumption of the grains, which are rich in protein, carbohydrates and contain some minerals. The development and deployment of cowpea varieties with higher nutritional value will be of immense benefit to consumers. As a first step in the enhancement of mineral content in cowpea grains, several germplasm lines (1541) of different origins and obtained from the genetic resources unit at IITA were sown in the experimental field in Minjibir, Kano State, Nigeria. The grains were analysed for protein and nine mineral contents. However, in this study, we shall report data on crude protein, Fe, Zn, Ca, Mg, K and P. The data generated from the chemical analysis were subjected to the ‘mixture of normal distributions’ clustering method, which distributed the cowpea lines into nine groups. Groups G7 and G9 contained 174 genotypes and these were characterized by high mineral concentrations. The mean nutritional content values for group G9 were 24.7% for protein, and 58.9, 41.5, 1107, 2132, 15,282 and 5664 mg/kg for Fe, Zn, Ca, Mg, K and P, respectively. On the other hand, the 363 lines making up groups G2, G3 and G6 showed low amounts of nutrients in their grains. Some of the lines in G7 and G9 would be good as parents to use in breeding programmes that aimed at developing nutrient-dense cowpea varieties.","DOI":"10.1017/S1479262111000815","author":[{"family":"Boukar","given":"Ousmane"},{"family":"Massawe","given":"Festo"},{"family":"Muranaka","given":"Satoru"},{"family":"Franco","given":"Jorge"},{"family":"Maziya-Dixon","given":"Bussie"},{"family":"Singh","given":"Bir"},{"family":"Fatokun","given":"Christian"}],"issued":{"year":2011},"page-first":"515"}}],"schema":"https://github.com/citation-style-language/schema/raw/master/csl-citation.json"} </w:instrText>
            </w:r>
            <w:r w:rsidRPr="00173DCF">
              <w:rPr>
                <w:rFonts w:ascii="Times New Roman" w:hAnsi="Times New Roman" w:cs="Times New Roman"/>
                <w:sz w:val="24"/>
                <w:szCs w:val="24"/>
              </w:rPr>
              <w:fldChar w:fldCharType="separate"/>
            </w:r>
            <w:r w:rsidR="008131E7" w:rsidRPr="00173DCF">
              <w:rPr>
                <w:rFonts w:ascii="Times New Roman" w:hAnsi="Times New Roman" w:cs="Times New Roman"/>
                <w:sz w:val="24"/>
                <w:szCs w:val="24"/>
              </w:rPr>
              <w:t xml:space="preserve">Boukar </w:t>
            </w:r>
            <w:r w:rsidR="008131E7" w:rsidRPr="00173DCF">
              <w:rPr>
                <w:rFonts w:ascii="Times New Roman" w:hAnsi="Times New Roman" w:cs="Times New Roman"/>
                <w:i/>
                <w:sz w:val="24"/>
                <w:szCs w:val="24"/>
              </w:rPr>
              <w:t>et al</w:t>
            </w:r>
            <w:r w:rsidR="008131E7" w:rsidRPr="00173DCF">
              <w:rPr>
                <w:rFonts w:ascii="Times New Roman" w:hAnsi="Times New Roman" w:cs="Times New Roman"/>
                <w:sz w:val="24"/>
                <w:szCs w:val="24"/>
              </w:rPr>
              <w:t>. (2011)</w:t>
            </w:r>
            <w:r w:rsidRPr="00173DCF">
              <w:rPr>
                <w:rFonts w:ascii="Times New Roman" w:hAnsi="Times New Roman" w:cs="Times New Roman"/>
                <w:sz w:val="24"/>
                <w:szCs w:val="24"/>
              </w:rPr>
              <w:fldChar w:fldCharType="end"/>
            </w:r>
          </w:p>
        </w:tc>
      </w:tr>
    </w:tbl>
    <w:p w:rsidR="00430C34" w:rsidRDefault="00430C34" w:rsidP="00B8502C">
      <w:pPr>
        <w:rPr>
          <w:rFonts w:ascii="Times New Roman" w:eastAsia="Times New Roman" w:hAnsi="Times New Roman" w:cs="Times New Roman"/>
          <w:color w:val="000000"/>
          <w:sz w:val="20"/>
          <w:szCs w:val="20"/>
          <w:lang w:val="en-US" w:eastAsia="de-DE"/>
        </w:rPr>
      </w:pPr>
    </w:p>
    <w:p w:rsidR="00430C34" w:rsidRDefault="00430C34">
      <w:pPr>
        <w:rPr>
          <w:rFonts w:ascii="Times New Roman" w:eastAsia="Times New Roman" w:hAnsi="Times New Roman" w:cs="Times New Roman"/>
          <w:color w:val="000000"/>
          <w:sz w:val="20"/>
          <w:szCs w:val="20"/>
          <w:lang w:val="en-US" w:eastAsia="de-DE"/>
        </w:rPr>
      </w:pPr>
      <w:r>
        <w:rPr>
          <w:rFonts w:ascii="Times New Roman" w:eastAsia="Times New Roman" w:hAnsi="Times New Roman" w:cs="Times New Roman"/>
          <w:color w:val="000000"/>
          <w:sz w:val="20"/>
          <w:szCs w:val="20"/>
          <w:lang w:val="en-US" w:eastAsia="de-DE"/>
        </w:rPr>
        <w:br w:type="page"/>
      </w:r>
    </w:p>
    <w:p w:rsidR="00263270" w:rsidRDefault="00263270" w:rsidP="00263270">
      <w:pPr>
        <w:rPr>
          <w:rFonts w:ascii="Times New Roman" w:hAnsi="Times New Roman" w:cs="Times New Roman"/>
          <w:sz w:val="18"/>
          <w:szCs w:val="18"/>
          <w:lang w:val="en-US"/>
        </w:rPr>
      </w:pPr>
      <w:r w:rsidRPr="00D01863">
        <w:rPr>
          <w:rFonts w:ascii="Times New Roman" w:hAnsi="Times New Roman" w:cs="Times New Roman"/>
          <w:noProof/>
          <w:sz w:val="18"/>
          <w:szCs w:val="18"/>
          <w:lang w:eastAsia="de-DE"/>
        </w:rPr>
        <w:lastRenderedPageBreak/>
        <w:drawing>
          <wp:inline distT="0" distB="0" distL="0" distR="0">
            <wp:extent cx="1944216" cy="2304256"/>
            <wp:effectExtent l="0" t="0" r="0" b="0"/>
            <wp:docPr id="48"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Pr="00D01863">
        <w:rPr>
          <w:rFonts w:ascii="Times New Roman" w:hAnsi="Times New Roman" w:cs="Times New Roman"/>
          <w:noProof/>
          <w:sz w:val="18"/>
          <w:szCs w:val="18"/>
          <w:lang w:eastAsia="de-DE"/>
        </w:rPr>
        <w:drawing>
          <wp:inline distT="0" distB="0" distL="0" distR="0">
            <wp:extent cx="1944216" cy="2304256"/>
            <wp:effectExtent l="0" t="0" r="0" b="0"/>
            <wp:docPr id="49"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D01863">
        <w:rPr>
          <w:rFonts w:ascii="Times New Roman" w:hAnsi="Times New Roman" w:cs="Times New Roman"/>
          <w:noProof/>
          <w:sz w:val="18"/>
          <w:szCs w:val="18"/>
          <w:lang w:eastAsia="de-DE"/>
        </w:rPr>
        <w:drawing>
          <wp:inline distT="0" distB="0" distL="0" distR="0">
            <wp:extent cx="1944216" cy="2232248"/>
            <wp:effectExtent l="0" t="0" r="0" b="0"/>
            <wp:docPr id="50" name="Chart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D01863">
        <w:rPr>
          <w:rFonts w:ascii="Times New Roman" w:hAnsi="Times New Roman" w:cs="Times New Roman"/>
          <w:noProof/>
          <w:sz w:val="18"/>
          <w:szCs w:val="18"/>
          <w:lang w:eastAsia="de-DE"/>
        </w:rPr>
        <w:drawing>
          <wp:inline distT="0" distB="0" distL="0" distR="0">
            <wp:extent cx="1944215" cy="2232248"/>
            <wp:effectExtent l="0" t="0" r="0" b="0"/>
            <wp:docPr id="51"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3270" w:rsidRDefault="00263270" w:rsidP="00263270">
      <w:pPr>
        <w:rPr>
          <w:rFonts w:ascii="Times New Roman" w:eastAsia="Times New Roman" w:hAnsi="Times New Roman" w:cs="Times New Roman"/>
          <w:b/>
          <w:color w:val="000000"/>
          <w:sz w:val="24"/>
          <w:szCs w:val="24"/>
          <w:lang w:val="en-US" w:eastAsia="de-DE"/>
        </w:rPr>
      </w:pPr>
      <w:proofErr w:type="gramStart"/>
      <w:r w:rsidRPr="00895CE4">
        <w:rPr>
          <w:rFonts w:ascii="Times New Roman" w:hAnsi="Times New Roman" w:cs="Times New Roman"/>
          <w:b/>
          <w:sz w:val="24"/>
          <w:szCs w:val="24"/>
          <w:lang w:val="en-US"/>
        </w:rPr>
        <w:t>Fig.</w:t>
      </w:r>
      <w:proofErr w:type="gramEnd"/>
      <w:r w:rsidRPr="00895CE4">
        <w:rPr>
          <w:rFonts w:ascii="Times New Roman" w:hAnsi="Times New Roman" w:cs="Times New Roman"/>
          <w:b/>
          <w:sz w:val="24"/>
          <w:szCs w:val="24"/>
          <w:lang w:val="en-US"/>
        </w:rPr>
        <w:t xml:space="preserve"> S1.</w:t>
      </w:r>
      <w:r w:rsidRPr="00D94BF9">
        <w:rPr>
          <w:rFonts w:ascii="Times New Roman" w:hAnsi="Times New Roman" w:cs="Times New Roman"/>
          <w:sz w:val="24"/>
          <w:szCs w:val="24"/>
          <w:lang w:val="en-US"/>
        </w:rPr>
        <w:t xml:space="preserve"> Frequency distribution </w:t>
      </w:r>
      <w:r w:rsidR="00507902">
        <w:rPr>
          <w:rFonts w:ascii="Times New Roman" w:hAnsi="Times New Roman" w:cs="Times New Roman"/>
          <w:sz w:val="24"/>
          <w:szCs w:val="24"/>
          <w:lang w:val="en-US"/>
        </w:rPr>
        <w:t>of</w:t>
      </w:r>
      <w:r w:rsidR="00507902" w:rsidRPr="00D94BF9">
        <w:rPr>
          <w:rFonts w:ascii="Times New Roman" w:hAnsi="Times New Roman" w:cs="Times New Roman"/>
          <w:sz w:val="24"/>
          <w:szCs w:val="24"/>
          <w:lang w:val="en-US"/>
        </w:rPr>
        <w:t xml:space="preserve"> 225 pearl millet accessions </w:t>
      </w:r>
      <w:r w:rsidRPr="00D94BF9">
        <w:rPr>
          <w:rFonts w:ascii="Times New Roman" w:hAnsi="Times New Roman" w:cs="Times New Roman"/>
          <w:sz w:val="24"/>
          <w:szCs w:val="24"/>
          <w:lang w:val="en-US"/>
        </w:rPr>
        <w:t>f</w:t>
      </w:r>
      <w:r w:rsidR="00507902">
        <w:rPr>
          <w:rFonts w:ascii="Times New Roman" w:hAnsi="Times New Roman" w:cs="Times New Roman"/>
          <w:sz w:val="24"/>
          <w:szCs w:val="24"/>
          <w:lang w:val="en-US"/>
        </w:rPr>
        <w:t>or</w:t>
      </w:r>
      <w:r w:rsidRPr="00D94BF9">
        <w:rPr>
          <w:rFonts w:ascii="Times New Roman" w:hAnsi="Times New Roman" w:cs="Times New Roman"/>
          <w:sz w:val="24"/>
          <w:szCs w:val="24"/>
          <w:lang w:val="en-US"/>
        </w:rPr>
        <w:t xml:space="preserve"> </w:t>
      </w:r>
      <w:r w:rsidR="00BB287D" w:rsidRPr="00895CE4">
        <w:rPr>
          <w:rFonts w:ascii="Times New Roman" w:hAnsi="Times New Roman" w:cs="Times New Roman"/>
          <w:sz w:val="24"/>
          <w:szCs w:val="24"/>
          <w:lang w:val="en-US"/>
        </w:rPr>
        <w:t>panicle</w:t>
      </w:r>
      <w:r w:rsidR="00BB287D" w:rsidRPr="00D94BF9">
        <w:rPr>
          <w:rFonts w:ascii="Times New Roman" w:hAnsi="Times New Roman" w:cs="Times New Roman"/>
          <w:sz w:val="24"/>
          <w:szCs w:val="24"/>
          <w:lang w:val="en-US"/>
        </w:rPr>
        <w:t xml:space="preserve"> </w:t>
      </w:r>
      <w:r w:rsidRPr="00D94BF9">
        <w:rPr>
          <w:rFonts w:ascii="Times New Roman" w:hAnsi="Times New Roman" w:cs="Times New Roman"/>
          <w:sz w:val="24"/>
          <w:szCs w:val="24"/>
          <w:lang w:val="en-US"/>
        </w:rPr>
        <w:t xml:space="preserve">density, panicle length, plant height and days </w:t>
      </w:r>
      <w:r w:rsidRPr="0031416B">
        <w:rPr>
          <w:rFonts w:ascii="Times New Roman" w:hAnsi="Times New Roman" w:cs="Times New Roman"/>
          <w:sz w:val="24"/>
          <w:szCs w:val="24"/>
          <w:lang w:val="en-US"/>
        </w:rPr>
        <w:t xml:space="preserve">to </w:t>
      </w:r>
      <w:r w:rsidR="005D489E" w:rsidRPr="0031416B">
        <w:rPr>
          <w:rFonts w:ascii="Times New Roman" w:hAnsi="Times New Roman" w:cs="Times New Roman"/>
          <w:sz w:val="24"/>
          <w:szCs w:val="24"/>
          <w:lang w:val="en-US"/>
        </w:rPr>
        <w:t>50%</w:t>
      </w:r>
      <w:r w:rsidR="005D489E">
        <w:rPr>
          <w:rFonts w:ascii="Times New Roman" w:hAnsi="Times New Roman" w:cs="Times New Roman"/>
          <w:sz w:val="24"/>
          <w:szCs w:val="24"/>
          <w:lang w:val="en-US"/>
        </w:rPr>
        <w:t xml:space="preserve"> </w:t>
      </w:r>
      <w:bookmarkStart w:id="0" w:name="_GoBack"/>
      <w:bookmarkEnd w:id="0"/>
      <w:r w:rsidRPr="00D94BF9">
        <w:rPr>
          <w:rFonts w:ascii="Times New Roman" w:hAnsi="Times New Roman" w:cs="Times New Roman"/>
          <w:sz w:val="24"/>
          <w:szCs w:val="24"/>
          <w:lang w:val="en-US"/>
        </w:rPr>
        <w:t>flowering.</w:t>
      </w:r>
    </w:p>
    <w:p w:rsidR="003B56C5" w:rsidRDefault="003B56C5" w:rsidP="00734714">
      <w:pPr>
        <w:jc w:val="both"/>
        <w:rPr>
          <w:rFonts w:ascii="Times New Roman" w:eastAsia="Times New Roman" w:hAnsi="Times New Roman" w:cs="Times New Roman"/>
          <w:color w:val="000000"/>
          <w:sz w:val="20"/>
          <w:szCs w:val="20"/>
          <w:lang w:val="en-US" w:eastAsia="de-DE"/>
        </w:rPr>
      </w:pPr>
    </w:p>
    <w:p w:rsidR="003B56C5" w:rsidRDefault="003B56C5">
      <w:pPr>
        <w:rPr>
          <w:rFonts w:ascii="Times New Roman" w:eastAsia="Times New Roman" w:hAnsi="Times New Roman" w:cs="Times New Roman"/>
          <w:color w:val="000000"/>
          <w:sz w:val="20"/>
          <w:szCs w:val="20"/>
          <w:lang w:val="en-US" w:eastAsia="de-DE"/>
        </w:rPr>
      </w:pPr>
      <w:r>
        <w:rPr>
          <w:rFonts w:ascii="Times New Roman" w:eastAsia="Times New Roman" w:hAnsi="Times New Roman" w:cs="Times New Roman"/>
          <w:color w:val="000000"/>
          <w:sz w:val="20"/>
          <w:szCs w:val="20"/>
          <w:lang w:val="en-US" w:eastAsia="de-DE"/>
        </w:rPr>
        <w:br w:type="page"/>
      </w:r>
    </w:p>
    <w:p w:rsidR="00BC3427" w:rsidRDefault="00BC3427" w:rsidP="00BC3427">
      <w:pPr>
        <w:spacing w:after="0" w:line="360" w:lineRule="auto"/>
        <w:rPr>
          <w:rFonts w:ascii="Times New Roman" w:hAnsi="Times New Roman" w:cs="Times New Roman"/>
          <w:sz w:val="18"/>
          <w:szCs w:val="18"/>
          <w:lang w:val="en-US"/>
        </w:rPr>
      </w:pPr>
    </w:p>
    <w:p w:rsidR="00BC3427" w:rsidRDefault="00A22CEC" w:rsidP="00BC3427">
      <w:pPr>
        <w:spacing w:after="0" w:line="360" w:lineRule="auto"/>
        <w:rPr>
          <w:rFonts w:ascii="Times New Roman" w:hAnsi="Times New Roman" w:cs="Times New Roman"/>
          <w:sz w:val="18"/>
          <w:szCs w:val="18"/>
          <w:lang w:val="en-US"/>
        </w:rPr>
      </w:pPr>
      <w:r w:rsidRPr="00A22CEC">
        <w:rPr>
          <w:rFonts w:ascii="Times New Roman" w:hAnsi="Times New Roman" w:cs="Times New Roman"/>
          <w:noProof/>
          <w:sz w:val="18"/>
          <w:szCs w:val="18"/>
          <w:lang w:eastAsia="de-DE"/>
        </w:rPr>
        <w:drawing>
          <wp:inline distT="0" distB="0" distL="0" distR="0">
            <wp:extent cx="5234940" cy="3749040"/>
            <wp:effectExtent l="19050" t="0" r="3810" b="0"/>
            <wp:docPr id="30" name="Picture 30"/>
            <wp:cNvGraphicFramePr/>
            <a:graphic xmlns:a="http://schemas.openxmlformats.org/drawingml/2006/main">
              <a:graphicData uri="http://schemas.openxmlformats.org/drawingml/2006/picture">
                <pic:pic xmlns:pic="http://schemas.openxmlformats.org/drawingml/2006/picture">
                  <pic:nvPicPr>
                    <pic:cNvPr id="79" name="Picture 78"/>
                    <pic:cNvPicPr>
                      <a:picLocks noChangeAspect="1"/>
                    </pic:cNvPicPr>
                  </pic:nvPicPr>
                  <pic:blipFill>
                    <a:blip r:embed="rId8" cstate="print"/>
                    <a:stretch>
                      <a:fillRect/>
                    </a:stretch>
                  </pic:blipFill>
                  <pic:spPr>
                    <a:xfrm>
                      <a:off x="0" y="0"/>
                      <a:ext cx="5234940" cy="3749040"/>
                    </a:xfrm>
                    <a:prstGeom prst="rect">
                      <a:avLst/>
                    </a:prstGeom>
                  </pic:spPr>
                </pic:pic>
              </a:graphicData>
            </a:graphic>
          </wp:inline>
        </w:drawing>
      </w:r>
    </w:p>
    <w:p w:rsidR="00E802D2" w:rsidRDefault="00BC3427" w:rsidP="003B56C5">
      <w:pPr>
        <w:rPr>
          <w:rFonts w:ascii="Times New Roman" w:hAnsi="Times New Roman" w:cs="Times New Roman"/>
          <w:sz w:val="24"/>
          <w:szCs w:val="24"/>
          <w:lang w:val="en-US"/>
        </w:rPr>
      </w:pPr>
      <w:proofErr w:type="gramStart"/>
      <w:r w:rsidRPr="00895CE4">
        <w:rPr>
          <w:rFonts w:ascii="Times New Roman" w:hAnsi="Times New Roman" w:cs="Times New Roman"/>
          <w:b/>
          <w:sz w:val="24"/>
          <w:szCs w:val="24"/>
          <w:lang w:val="en-US"/>
        </w:rPr>
        <w:t>Fig.</w:t>
      </w:r>
      <w:proofErr w:type="gramEnd"/>
      <w:r w:rsidRPr="00895CE4">
        <w:rPr>
          <w:rFonts w:ascii="Times New Roman" w:hAnsi="Times New Roman" w:cs="Times New Roman"/>
          <w:b/>
          <w:sz w:val="24"/>
          <w:szCs w:val="24"/>
          <w:lang w:val="en-US"/>
        </w:rPr>
        <w:t xml:space="preserve"> S2.</w:t>
      </w:r>
      <w:r w:rsidRPr="00BC3427">
        <w:rPr>
          <w:rFonts w:ascii="Times New Roman" w:hAnsi="Times New Roman" w:cs="Times New Roman"/>
          <w:sz w:val="24"/>
          <w:szCs w:val="24"/>
          <w:lang w:val="en-US"/>
        </w:rPr>
        <w:t xml:space="preserve"> Box-plots of mean grain Fe content of </w:t>
      </w:r>
      <w:r w:rsidRPr="0031416B">
        <w:rPr>
          <w:rFonts w:ascii="Times New Roman" w:hAnsi="Times New Roman" w:cs="Times New Roman"/>
          <w:sz w:val="24"/>
          <w:szCs w:val="24"/>
          <w:lang w:val="en-US"/>
        </w:rPr>
        <w:t xml:space="preserve">different </w:t>
      </w:r>
      <w:r w:rsidR="002243B1" w:rsidRPr="0031416B">
        <w:rPr>
          <w:rFonts w:ascii="Times New Roman" w:hAnsi="Times New Roman" w:cs="Times New Roman"/>
          <w:sz w:val="24"/>
          <w:szCs w:val="24"/>
          <w:lang w:val="en-US"/>
        </w:rPr>
        <w:t xml:space="preserve">color </w:t>
      </w:r>
      <w:r w:rsidRPr="0031416B">
        <w:rPr>
          <w:rFonts w:ascii="Times New Roman" w:hAnsi="Times New Roman" w:cs="Times New Roman"/>
          <w:sz w:val="24"/>
          <w:szCs w:val="24"/>
          <w:lang w:val="en-US"/>
        </w:rPr>
        <w:t>grain</w:t>
      </w:r>
      <w:r w:rsidR="002243B1" w:rsidRPr="0031416B">
        <w:rPr>
          <w:rFonts w:ascii="Times New Roman" w:hAnsi="Times New Roman" w:cs="Times New Roman"/>
          <w:sz w:val="24"/>
          <w:szCs w:val="24"/>
          <w:lang w:val="en-US"/>
        </w:rPr>
        <w:t>s</w:t>
      </w:r>
      <w:r w:rsidRPr="0031416B">
        <w:rPr>
          <w:rFonts w:ascii="Times New Roman" w:hAnsi="Times New Roman" w:cs="Times New Roman"/>
          <w:sz w:val="24"/>
          <w:szCs w:val="24"/>
          <w:lang w:val="en-US"/>
        </w:rPr>
        <w:t xml:space="preserve"> of Sudanese</w:t>
      </w:r>
      <w:r w:rsidRPr="00BC3427">
        <w:rPr>
          <w:rFonts w:ascii="Times New Roman" w:hAnsi="Times New Roman" w:cs="Times New Roman"/>
          <w:sz w:val="24"/>
          <w:szCs w:val="24"/>
          <w:lang w:val="en-US"/>
        </w:rPr>
        <w:t xml:space="preserve"> pearl millet.</w:t>
      </w:r>
    </w:p>
    <w:p w:rsidR="00E802D2" w:rsidRDefault="00E802D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802D2" w:rsidRDefault="00C01D91" w:rsidP="003B56C5">
      <w:pPr>
        <w:rPr>
          <w:rFonts w:ascii="Times New Roman" w:hAnsi="Times New Roman" w:cs="Times New Roman"/>
          <w:sz w:val="24"/>
          <w:szCs w:val="24"/>
          <w:lang w:val="en-US"/>
        </w:rPr>
      </w:pPr>
      <w:r w:rsidRPr="00C01D91">
        <w:rPr>
          <w:rFonts w:ascii="Times New Roman" w:hAnsi="Times New Roman" w:cs="Times New Roman"/>
          <w:noProof/>
          <w:sz w:val="24"/>
          <w:szCs w:val="24"/>
          <w:lang w:eastAsia="de-DE"/>
        </w:rPr>
        <w:lastRenderedPageBreak/>
        <w:drawing>
          <wp:inline distT="0" distB="0" distL="0" distR="0">
            <wp:extent cx="5414645" cy="8438515"/>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73" name="Picture 72"/>
                    <pic:cNvPicPr>
                      <a:picLocks noChangeAspect="1"/>
                    </pic:cNvPicPr>
                  </pic:nvPicPr>
                  <pic:blipFill>
                    <a:blip r:embed="rId9" cstate="print"/>
                    <a:stretch>
                      <a:fillRect/>
                    </a:stretch>
                  </pic:blipFill>
                  <pic:spPr>
                    <a:xfrm>
                      <a:off x="0" y="0"/>
                      <a:ext cx="5414645" cy="8438515"/>
                    </a:xfrm>
                    <a:prstGeom prst="rect">
                      <a:avLst/>
                    </a:prstGeom>
                  </pic:spPr>
                </pic:pic>
              </a:graphicData>
            </a:graphic>
          </wp:inline>
        </w:drawing>
      </w:r>
    </w:p>
    <w:p w:rsidR="001F1076" w:rsidRDefault="003B56C5" w:rsidP="007A35F1">
      <w:pPr>
        <w:rPr>
          <w:lang w:val="en-US"/>
        </w:rPr>
      </w:pPr>
      <w:proofErr w:type="gramStart"/>
      <w:r w:rsidRPr="00895CE4">
        <w:rPr>
          <w:rFonts w:ascii="Times New Roman" w:hAnsi="Times New Roman" w:cs="Times New Roman"/>
          <w:b/>
          <w:sz w:val="24"/>
          <w:szCs w:val="24"/>
          <w:lang w:val="en-US"/>
        </w:rPr>
        <w:t>Fig.</w:t>
      </w:r>
      <w:proofErr w:type="gramEnd"/>
      <w:r w:rsidRPr="00895CE4">
        <w:rPr>
          <w:rFonts w:ascii="Times New Roman" w:hAnsi="Times New Roman" w:cs="Times New Roman"/>
          <w:b/>
          <w:sz w:val="24"/>
          <w:szCs w:val="24"/>
          <w:lang w:val="en-US"/>
        </w:rPr>
        <w:t xml:space="preserve"> S</w:t>
      </w:r>
      <w:r w:rsidR="00BC3427" w:rsidRPr="00895CE4">
        <w:rPr>
          <w:rFonts w:ascii="Times New Roman" w:hAnsi="Times New Roman" w:cs="Times New Roman"/>
          <w:b/>
          <w:sz w:val="24"/>
          <w:szCs w:val="24"/>
          <w:lang w:val="en-US"/>
        </w:rPr>
        <w:t>3</w:t>
      </w:r>
      <w:r w:rsidRPr="00895CE4">
        <w:rPr>
          <w:rFonts w:ascii="Times New Roman" w:hAnsi="Times New Roman" w:cs="Times New Roman"/>
          <w:b/>
          <w:sz w:val="24"/>
          <w:szCs w:val="24"/>
          <w:lang w:val="en-US"/>
        </w:rPr>
        <w:t>.</w:t>
      </w:r>
      <w:r w:rsidRPr="00BA6D8E">
        <w:rPr>
          <w:rFonts w:ascii="Times New Roman" w:hAnsi="Times New Roman" w:cs="Times New Roman"/>
          <w:sz w:val="24"/>
          <w:szCs w:val="24"/>
          <w:lang w:val="en-US"/>
        </w:rPr>
        <w:t xml:space="preserve"> Neighbor-joining tree showing the phenotypic relationship of 225 pearl millet accessions based on 16 agro-morphological traits.</w:t>
      </w:r>
    </w:p>
    <w:sectPr w:rsidR="001F1076" w:rsidSect="00CC5AC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8502C"/>
    <w:rsid w:val="000136F8"/>
    <w:rsid w:val="00086965"/>
    <w:rsid w:val="000F27CB"/>
    <w:rsid w:val="001146EC"/>
    <w:rsid w:val="00174AF3"/>
    <w:rsid w:val="001C61FC"/>
    <w:rsid w:val="001D04DA"/>
    <w:rsid w:val="001D38D3"/>
    <w:rsid w:val="001F1076"/>
    <w:rsid w:val="002243B1"/>
    <w:rsid w:val="0023029D"/>
    <w:rsid w:val="00263270"/>
    <w:rsid w:val="0031416B"/>
    <w:rsid w:val="00317A7E"/>
    <w:rsid w:val="00321F8A"/>
    <w:rsid w:val="00337D72"/>
    <w:rsid w:val="00346412"/>
    <w:rsid w:val="003B56C5"/>
    <w:rsid w:val="00410CC6"/>
    <w:rsid w:val="00426367"/>
    <w:rsid w:val="00430C34"/>
    <w:rsid w:val="00461047"/>
    <w:rsid w:val="004611AC"/>
    <w:rsid w:val="00470D5F"/>
    <w:rsid w:val="004F2EE4"/>
    <w:rsid w:val="004F4F64"/>
    <w:rsid w:val="00507902"/>
    <w:rsid w:val="00507DEA"/>
    <w:rsid w:val="005537C6"/>
    <w:rsid w:val="00554497"/>
    <w:rsid w:val="005C65C4"/>
    <w:rsid w:val="005D489E"/>
    <w:rsid w:val="005E6201"/>
    <w:rsid w:val="005F402F"/>
    <w:rsid w:val="00644106"/>
    <w:rsid w:val="00675B63"/>
    <w:rsid w:val="00684F40"/>
    <w:rsid w:val="006C7234"/>
    <w:rsid w:val="006D3BC8"/>
    <w:rsid w:val="00703669"/>
    <w:rsid w:val="00720BF1"/>
    <w:rsid w:val="00734714"/>
    <w:rsid w:val="00743EBD"/>
    <w:rsid w:val="00793113"/>
    <w:rsid w:val="007A35F1"/>
    <w:rsid w:val="008131E7"/>
    <w:rsid w:val="00816429"/>
    <w:rsid w:val="00840A36"/>
    <w:rsid w:val="00895CE4"/>
    <w:rsid w:val="008A2B16"/>
    <w:rsid w:val="008F67A1"/>
    <w:rsid w:val="009104F4"/>
    <w:rsid w:val="00947F29"/>
    <w:rsid w:val="00972B8D"/>
    <w:rsid w:val="009B7964"/>
    <w:rsid w:val="009D1723"/>
    <w:rsid w:val="009E2354"/>
    <w:rsid w:val="00A22CEC"/>
    <w:rsid w:val="00A56C8E"/>
    <w:rsid w:val="00A86CEC"/>
    <w:rsid w:val="00AF441B"/>
    <w:rsid w:val="00B73382"/>
    <w:rsid w:val="00B8502C"/>
    <w:rsid w:val="00BB287D"/>
    <w:rsid w:val="00BC28F1"/>
    <w:rsid w:val="00BC3427"/>
    <w:rsid w:val="00BD54EC"/>
    <w:rsid w:val="00C01D91"/>
    <w:rsid w:val="00C24866"/>
    <w:rsid w:val="00C63109"/>
    <w:rsid w:val="00CC5AC2"/>
    <w:rsid w:val="00CD3F35"/>
    <w:rsid w:val="00D264A9"/>
    <w:rsid w:val="00D32EC1"/>
    <w:rsid w:val="00D45A13"/>
    <w:rsid w:val="00D60AF1"/>
    <w:rsid w:val="00D72A54"/>
    <w:rsid w:val="00D94BF9"/>
    <w:rsid w:val="00DA1127"/>
    <w:rsid w:val="00DC77AB"/>
    <w:rsid w:val="00DE6103"/>
    <w:rsid w:val="00E802D2"/>
    <w:rsid w:val="00E91D09"/>
    <w:rsid w:val="00EA186B"/>
    <w:rsid w:val="00EB2C56"/>
    <w:rsid w:val="00F3785F"/>
    <w:rsid w:val="00F41ED6"/>
    <w:rsid w:val="00F87C8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0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5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C5"/>
    <w:rPr>
      <w:rFonts w:ascii="Tahoma" w:hAnsi="Tahoma" w:cs="Tahoma"/>
      <w:sz w:val="16"/>
      <w:szCs w:val="16"/>
    </w:rPr>
  </w:style>
  <w:style w:type="character" w:styleId="CommentReference">
    <w:name w:val="annotation reference"/>
    <w:basedOn w:val="DefaultParagraphFont"/>
    <w:uiPriority w:val="99"/>
    <w:semiHidden/>
    <w:unhideWhenUsed/>
    <w:rsid w:val="00BC3427"/>
    <w:rPr>
      <w:sz w:val="16"/>
      <w:szCs w:val="16"/>
    </w:rPr>
  </w:style>
  <w:style w:type="paragraph" w:styleId="CommentText">
    <w:name w:val="annotation text"/>
    <w:basedOn w:val="Normal"/>
    <w:link w:val="CommentTextChar"/>
    <w:uiPriority w:val="99"/>
    <w:semiHidden/>
    <w:unhideWhenUsed/>
    <w:rsid w:val="00BC3427"/>
    <w:pPr>
      <w:spacing w:line="240" w:lineRule="auto"/>
    </w:pPr>
    <w:rPr>
      <w:sz w:val="20"/>
      <w:szCs w:val="20"/>
    </w:rPr>
  </w:style>
  <w:style w:type="character" w:customStyle="1" w:styleId="CommentTextChar">
    <w:name w:val="Comment Text Char"/>
    <w:basedOn w:val="DefaultParagraphFont"/>
    <w:link w:val="CommentText"/>
    <w:uiPriority w:val="99"/>
    <w:semiHidden/>
    <w:rsid w:val="00BC3427"/>
    <w:rPr>
      <w:sz w:val="20"/>
      <w:szCs w:val="20"/>
    </w:rPr>
  </w:style>
  <w:style w:type="paragraph" w:styleId="CommentSubject">
    <w:name w:val="annotation subject"/>
    <w:basedOn w:val="CommentText"/>
    <w:next w:val="CommentText"/>
    <w:link w:val="CommentSubjectChar"/>
    <w:uiPriority w:val="99"/>
    <w:semiHidden/>
    <w:unhideWhenUsed/>
    <w:rsid w:val="00554497"/>
    <w:rPr>
      <w:b/>
      <w:bCs/>
    </w:rPr>
  </w:style>
  <w:style w:type="character" w:customStyle="1" w:styleId="CommentSubjectChar">
    <w:name w:val="Comment Subject Char"/>
    <w:basedOn w:val="CommentTextChar"/>
    <w:link w:val="CommentSubject"/>
    <w:uiPriority w:val="99"/>
    <w:semiHidden/>
    <w:rsid w:val="005544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chart" Target="charts/chart4.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350-FS4\NSSVOL1\USER\ADAM\PhD%20program\publications\papers\graphs\correlation%20means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350-FS4\NSSVOL1\USER\ADAM\PhD%20program\publications\papers\graphs\correlation%20means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350-FS4\NSSVOL1\USER\ADAM\PhD%20program\publications\papers\graphs\correlation%20means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350-FS4\NSSVOL1\USER\ADAM\PhD%20program\publications\papers\graphs\correlation%20mean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autoTitleDeleted val="1"/>
    <c:plotArea>
      <c:layout/>
      <c:barChart>
        <c:barDir val="col"/>
        <c:grouping val="clustered"/>
        <c:ser>
          <c:idx val="0"/>
          <c:order val="0"/>
          <c:tx>
            <c:v>Häufigkeit</c:v>
          </c:tx>
          <c:spPr>
            <a:solidFill>
              <a:schemeClr val="tx1"/>
            </a:solidFill>
          </c:spPr>
          <c:cat>
            <c:numRef>
              <c:f>Sheet29!$A$2:$A$8</c:f>
              <c:numCache>
                <c:formatCode>0</c:formatCode>
                <c:ptCount val="7"/>
                <c:pt idx="0">
                  <c:v>3</c:v>
                </c:pt>
                <c:pt idx="1">
                  <c:v>4</c:v>
                </c:pt>
                <c:pt idx="2">
                  <c:v>5</c:v>
                </c:pt>
                <c:pt idx="3">
                  <c:v>6</c:v>
                </c:pt>
                <c:pt idx="4">
                  <c:v>7</c:v>
                </c:pt>
                <c:pt idx="5">
                  <c:v>8</c:v>
                </c:pt>
                <c:pt idx="6" formatCode="General">
                  <c:v>9</c:v>
                </c:pt>
              </c:numCache>
            </c:numRef>
          </c:cat>
          <c:val>
            <c:numRef>
              <c:f>Sheet29!$B$2:$B$8</c:f>
              <c:numCache>
                <c:formatCode>General</c:formatCode>
                <c:ptCount val="7"/>
                <c:pt idx="0">
                  <c:v>5</c:v>
                </c:pt>
                <c:pt idx="1">
                  <c:v>21</c:v>
                </c:pt>
                <c:pt idx="2">
                  <c:v>59</c:v>
                </c:pt>
                <c:pt idx="3">
                  <c:v>62</c:v>
                </c:pt>
                <c:pt idx="4">
                  <c:v>56</c:v>
                </c:pt>
                <c:pt idx="5">
                  <c:v>18</c:v>
                </c:pt>
                <c:pt idx="6">
                  <c:v>3</c:v>
                </c:pt>
              </c:numCache>
            </c:numRef>
          </c:val>
        </c:ser>
        <c:axId val="214571264"/>
        <c:axId val="216356352"/>
      </c:barChart>
      <c:catAx>
        <c:axId val="214571264"/>
        <c:scaling>
          <c:orientation val="minMax"/>
        </c:scaling>
        <c:axPos val="b"/>
        <c:title>
          <c:tx>
            <c:rich>
              <a:bodyPr/>
              <a:lstStyle/>
              <a:p>
                <a:pPr>
                  <a:defRPr/>
                </a:pPr>
                <a:r>
                  <a:rPr lang="de-DE" sz="900" dirty="0"/>
                  <a:t>Panicle </a:t>
                </a:r>
                <a:r>
                  <a:rPr lang="de-DE" sz="900" dirty="0" err="1" smtClean="0"/>
                  <a:t>density</a:t>
                </a:r>
                <a:endParaRPr lang="de-DE" sz="900" dirty="0" smtClean="0"/>
              </a:p>
              <a:p>
                <a:pPr>
                  <a:defRPr/>
                </a:pPr>
                <a:r>
                  <a:rPr lang="de-DE" sz="900" dirty="0" smtClean="0"/>
                  <a:t>(</a:t>
                </a:r>
                <a:r>
                  <a:rPr lang="de-DE" sz="900" dirty="0"/>
                  <a:t>1=</a:t>
                </a:r>
                <a:r>
                  <a:rPr lang="de-DE" sz="900" dirty="0" err="1"/>
                  <a:t>loose</a:t>
                </a:r>
                <a:r>
                  <a:rPr lang="de-DE" sz="900" dirty="0"/>
                  <a:t>; 9=</a:t>
                </a:r>
                <a:r>
                  <a:rPr lang="de-DE" sz="900" dirty="0" err="1"/>
                  <a:t>very</a:t>
                </a:r>
                <a:r>
                  <a:rPr lang="de-DE" sz="900" baseline="0" dirty="0"/>
                  <a:t> </a:t>
                </a:r>
                <a:r>
                  <a:rPr lang="de-DE" sz="900" baseline="0" dirty="0" err="1"/>
                  <a:t>compact</a:t>
                </a:r>
                <a:r>
                  <a:rPr lang="de-DE" sz="900" baseline="0" dirty="0"/>
                  <a:t>)</a:t>
                </a:r>
                <a:endParaRPr lang="de-DE" sz="900" dirty="0"/>
              </a:p>
            </c:rich>
          </c:tx>
          <c:layout/>
        </c:title>
        <c:numFmt formatCode="0" sourceLinked="1"/>
        <c:majorTickMark val="none"/>
        <c:tickLblPos val="nextTo"/>
        <c:crossAx val="216356352"/>
        <c:crosses val="autoZero"/>
        <c:auto val="1"/>
        <c:lblAlgn val="ctr"/>
        <c:lblOffset val="100"/>
      </c:catAx>
      <c:valAx>
        <c:axId val="216356352"/>
        <c:scaling>
          <c:orientation val="minMax"/>
        </c:scaling>
        <c:axPos val="l"/>
        <c:majorGridlines/>
        <c:title>
          <c:tx>
            <c:rich>
              <a:bodyPr/>
              <a:lstStyle/>
              <a:p>
                <a:pPr>
                  <a:defRPr/>
                </a:pPr>
                <a:r>
                  <a:rPr lang="de-DE" sz="900" dirty="0" err="1"/>
                  <a:t>Number</a:t>
                </a:r>
                <a:r>
                  <a:rPr lang="de-DE" sz="900" dirty="0"/>
                  <a:t> </a:t>
                </a:r>
                <a:r>
                  <a:rPr lang="de-DE" sz="900" dirty="0" err="1"/>
                  <a:t>of</a:t>
                </a:r>
                <a:r>
                  <a:rPr lang="de-DE" sz="900" dirty="0"/>
                  <a:t> </a:t>
                </a:r>
                <a:r>
                  <a:rPr lang="de-DE" sz="900" dirty="0" err="1"/>
                  <a:t>accessions</a:t>
                </a:r>
                <a:endParaRPr lang="de-DE" sz="900" dirty="0"/>
              </a:p>
            </c:rich>
          </c:tx>
          <c:layout/>
        </c:title>
        <c:numFmt formatCode="General" sourceLinked="1"/>
        <c:tickLblPos val="nextTo"/>
        <c:crossAx val="214571264"/>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de-DE"/>
  <c:chart>
    <c:autoTitleDeleted val="1"/>
    <c:plotArea>
      <c:layout>
        <c:manualLayout>
          <c:layoutTarget val="inner"/>
          <c:xMode val="edge"/>
          <c:yMode val="edge"/>
          <c:x val="0.29983345471902301"/>
          <c:y val="6.11919856127097E-2"/>
          <c:w val="0.62831238915840626"/>
          <c:h val="0.63547105877124754"/>
        </c:manualLayout>
      </c:layout>
      <c:barChart>
        <c:barDir val="col"/>
        <c:grouping val="clustered"/>
        <c:ser>
          <c:idx val="0"/>
          <c:order val="0"/>
          <c:tx>
            <c:v>Häufigkeit</c:v>
          </c:tx>
          <c:spPr>
            <a:solidFill>
              <a:prstClr val="black"/>
            </a:solidFill>
          </c:spPr>
          <c:cat>
            <c:numRef>
              <c:f>Sheet26!$A$2:$A$11</c:f>
              <c:numCache>
                <c:formatCode>0</c:formatCode>
                <c:ptCount val="10"/>
                <c:pt idx="0">
                  <c:v>16</c:v>
                </c:pt>
                <c:pt idx="1">
                  <c:v>18</c:v>
                </c:pt>
                <c:pt idx="2">
                  <c:v>20</c:v>
                </c:pt>
                <c:pt idx="3">
                  <c:v>22</c:v>
                </c:pt>
                <c:pt idx="4">
                  <c:v>24</c:v>
                </c:pt>
                <c:pt idx="5">
                  <c:v>26</c:v>
                </c:pt>
                <c:pt idx="6">
                  <c:v>28</c:v>
                </c:pt>
                <c:pt idx="7">
                  <c:v>30</c:v>
                </c:pt>
                <c:pt idx="8">
                  <c:v>32</c:v>
                </c:pt>
                <c:pt idx="9" formatCode="General">
                  <c:v>34</c:v>
                </c:pt>
              </c:numCache>
            </c:numRef>
          </c:cat>
          <c:val>
            <c:numRef>
              <c:f>Sheet26!$B$2:$B$11</c:f>
              <c:numCache>
                <c:formatCode>General</c:formatCode>
                <c:ptCount val="10"/>
                <c:pt idx="0">
                  <c:v>0</c:v>
                </c:pt>
                <c:pt idx="1">
                  <c:v>4</c:v>
                </c:pt>
                <c:pt idx="2">
                  <c:v>25</c:v>
                </c:pt>
                <c:pt idx="3">
                  <c:v>50</c:v>
                </c:pt>
                <c:pt idx="4">
                  <c:v>66</c:v>
                </c:pt>
                <c:pt idx="5">
                  <c:v>52</c:v>
                </c:pt>
                <c:pt idx="6">
                  <c:v>16</c:v>
                </c:pt>
                <c:pt idx="7">
                  <c:v>8</c:v>
                </c:pt>
                <c:pt idx="8">
                  <c:v>2</c:v>
                </c:pt>
                <c:pt idx="9">
                  <c:v>1</c:v>
                </c:pt>
              </c:numCache>
            </c:numRef>
          </c:val>
        </c:ser>
        <c:gapWidth val="100"/>
        <c:axId val="216384640"/>
        <c:axId val="216386560"/>
      </c:barChart>
      <c:catAx>
        <c:axId val="216384640"/>
        <c:scaling>
          <c:orientation val="minMax"/>
        </c:scaling>
        <c:axPos val="b"/>
        <c:title>
          <c:tx>
            <c:rich>
              <a:bodyPr/>
              <a:lstStyle/>
              <a:p>
                <a:pPr>
                  <a:defRPr/>
                </a:pPr>
                <a:r>
                  <a:rPr lang="de-DE" sz="900" dirty="0" err="1"/>
                  <a:t>Panicle</a:t>
                </a:r>
                <a:r>
                  <a:rPr lang="de-DE" sz="900" baseline="0" dirty="0"/>
                  <a:t> </a:t>
                </a:r>
                <a:r>
                  <a:rPr lang="de-DE" sz="900" baseline="0" dirty="0" err="1"/>
                  <a:t>length</a:t>
                </a:r>
                <a:r>
                  <a:rPr lang="de-DE" sz="900" baseline="0" dirty="0"/>
                  <a:t> (cm)</a:t>
                </a:r>
                <a:endParaRPr lang="de-DE" sz="900" dirty="0"/>
              </a:p>
            </c:rich>
          </c:tx>
          <c:layout/>
        </c:title>
        <c:numFmt formatCode="0" sourceLinked="1"/>
        <c:majorTickMark val="none"/>
        <c:tickLblPos val="nextTo"/>
        <c:crossAx val="216386560"/>
        <c:crosses val="autoZero"/>
        <c:auto val="1"/>
        <c:lblAlgn val="ctr"/>
        <c:lblOffset val="100"/>
      </c:catAx>
      <c:valAx>
        <c:axId val="216386560"/>
        <c:scaling>
          <c:orientation val="minMax"/>
        </c:scaling>
        <c:axPos val="l"/>
        <c:majorGridlines/>
        <c:title>
          <c:tx>
            <c:rich>
              <a:bodyPr/>
              <a:lstStyle/>
              <a:p>
                <a:pPr>
                  <a:defRPr/>
                </a:pPr>
                <a:r>
                  <a:rPr lang="de-DE" sz="900" dirty="0" err="1"/>
                  <a:t>Number</a:t>
                </a:r>
                <a:r>
                  <a:rPr lang="de-DE" sz="900" dirty="0"/>
                  <a:t> </a:t>
                </a:r>
                <a:r>
                  <a:rPr lang="de-DE" sz="900" dirty="0" err="1"/>
                  <a:t>of</a:t>
                </a:r>
                <a:r>
                  <a:rPr lang="de-DE" sz="900" dirty="0"/>
                  <a:t> </a:t>
                </a:r>
                <a:r>
                  <a:rPr lang="de-DE" sz="900" dirty="0" err="1"/>
                  <a:t>accessions</a:t>
                </a:r>
                <a:endParaRPr lang="de-DE" sz="900" dirty="0"/>
              </a:p>
            </c:rich>
          </c:tx>
          <c:layout/>
        </c:title>
        <c:numFmt formatCode="General" sourceLinked="1"/>
        <c:tickLblPos val="nextTo"/>
        <c:crossAx val="216384640"/>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de-DE"/>
  <c:chart>
    <c:autoTitleDeleted val="1"/>
    <c:plotArea>
      <c:layout/>
      <c:barChart>
        <c:barDir val="col"/>
        <c:grouping val="clustered"/>
        <c:ser>
          <c:idx val="0"/>
          <c:order val="0"/>
          <c:tx>
            <c:v>Häufigkeit</c:v>
          </c:tx>
          <c:spPr>
            <a:solidFill>
              <a:prstClr val="black"/>
            </a:solidFill>
          </c:spPr>
          <c:cat>
            <c:numRef>
              <c:f>Sheet24!$A$2:$A$8</c:f>
              <c:numCache>
                <c:formatCode>0</c:formatCode>
                <c:ptCount val="7"/>
                <c:pt idx="0">
                  <c:v>130</c:v>
                </c:pt>
                <c:pt idx="1">
                  <c:v>140</c:v>
                </c:pt>
                <c:pt idx="2">
                  <c:v>150</c:v>
                </c:pt>
                <c:pt idx="3">
                  <c:v>160</c:v>
                </c:pt>
                <c:pt idx="4">
                  <c:v>170</c:v>
                </c:pt>
                <c:pt idx="5">
                  <c:v>180</c:v>
                </c:pt>
                <c:pt idx="6" formatCode="General">
                  <c:v>190</c:v>
                </c:pt>
              </c:numCache>
            </c:numRef>
          </c:cat>
          <c:val>
            <c:numRef>
              <c:f>Sheet24!$B$2:$B$8</c:f>
              <c:numCache>
                <c:formatCode>General</c:formatCode>
                <c:ptCount val="7"/>
                <c:pt idx="0">
                  <c:v>18</c:v>
                </c:pt>
                <c:pt idx="1">
                  <c:v>23</c:v>
                </c:pt>
                <c:pt idx="2">
                  <c:v>52</c:v>
                </c:pt>
                <c:pt idx="3">
                  <c:v>68</c:v>
                </c:pt>
                <c:pt idx="4">
                  <c:v>46</c:v>
                </c:pt>
                <c:pt idx="5">
                  <c:v>14</c:v>
                </c:pt>
                <c:pt idx="6">
                  <c:v>3</c:v>
                </c:pt>
              </c:numCache>
            </c:numRef>
          </c:val>
        </c:ser>
        <c:axId val="216426752"/>
        <c:axId val="216433024"/>
      </c:barChart>
      <c:catAx>
        <c:axId val="216426752"/>
        <c:scaling>
          <c:orientation val="minMax"/>
        </c:scaling>
        <c:axPos val="b"/>
        <c:title>
          <c:tx>
            <c:rich>
              <a:bodyPr/>
              <a:lstStyle/>
              <a:p>
                <a:pPr>
                  <a:defRPr/>
                </a:pPr>
                <a:r>
                  <a:rPr lang="de-DE" sz="900" dirty="0"/>
                  <a:t>Plant </a:t>
                </a:r>
                <a:r>
                  <a:rPr lang="de-DE" sz="900" dirty="0" err="1"/>
                  <a:t>height</a:t>
                </a:r>
                <a:r>
                  <a:rPr lang="de-DE" sz="900" dirty="0"/>
                  <a:t> (cm)</a:t>
                </a:r>
              </a:p>
            </c:rich>
          </c:tx>
          <c:layout/>
        </c:title>
        <c:numFmt formatCode="0" sourceLinked="1"/>
        <c:majorTickMark val="none"/>
        <c:tickLblPos val="nextTo"/>
        <c:crossAx val="216433024"/>
        <c:crosses val="autoZero"/>
        <c:auto val="1"/>
        <c:lblAlgn val="ctr"/>
        <c:lblOffset val="100"/>
      </c:catAx>
      <c:valAx>
        <c:axId val="216433024"/>
        <c:scaling>
          <c:orientation val="minMax"/>
        </c:scaling>
        <c:axPos val="l"/>
        <c:majorGridlines/>
        <c:title>
          <c:tx>
            <c:rich>
              <a:bodyPr/>
              <a:lstStyle/>
              <a:p>
                <a:pPr>
                  <a:defRPr/>
                </a:pPr>
                <a:r>
                  <a:rPr lang="de-DE" sz="900" dirty="0" err="1"/>
                  <a:t>Number</a:t>
                </a:r>
                <a:r>
                  <a:rPr lang="de-DE" sz="900" dirty="0"/>
                  <a:t> </a:t>
                </a:r>
                <a:r>
                  <a:rPr lang="de-DE" sz="900" dirty="0" err="1"/>
                  <a:t>of</a:t>
                </a:r>
                <a:r>
                  <a:rPr lang="de-DE" sz="900" dirty="0"/>
                  <a:t> </a:t>
                </a:r>
                <a:r>
                  <a:rPr lang="de-DE" sz="900" dirty="0" err="1"/>
                  <a:t>accessions</a:t>
                </a:r>
                <a:endParaRPr lang="de-DE" sz="900" dirty="0"/>
              </a:p>
            </c:rich>
          </c:tx>
          <c:layout/>
        </c:title>
        <c:numFmt formatCode="General" sourceLinked="1"/>
        <c:tickLblPos val="nextTo"/>
        <c:crossAx val="216426752"/>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de-DE"/>
  <c:chart>
    <c:autoTitleDeleted val="1"/>
    <c:plotArea>
      <c:layout>
        <c:manualLayout>
          <c:layoutTarget val="inner"/>
          <c:xMode val="edge"/>
          <c:yMode val="edge"/>
          <c:x val="0.29983360893728506"/>
          <c:y val="6.3165920632474518E-2"/>
          <c:w val="0.62831219798221327"/>
          <c:h val="0.66959674731481833"/>
        </c:manualLayout>
      </c:layout>
      <c:barChart>
        <c:barDir val="col"/>
        <c:grouping val="clustered"/>
        <c:ser>
          <c:idx val="0"/>
          <c:order val="0"/>
          <c:tx>
            <c:v>Häufigkeit</c:v>
          </c:tx>
          <c:spPr>
            <a:solidFill>
              <a:prstClr val="black"/>
            </a:solidFill>
          </c:spPr>
          <c:cat>
            <c:numRef>
              <c:f>Sheet20!$A$2:$A$10</c:f>
              <c:numCache>
                <c:formatCode>0</c:formatCode>
                <c:ptCount val="9"/>
                <c:pt idx="0">
                  <c:v>62</c:v>
                </c:pt>
                <c:pt idx="1">
                  <c:v>64</c:v>
                </c:pt>
                <c:pt idx="2">
                  <c:v>66</c:v>
                </c:pt>
                <c:pt idx="3">
                  <c:v>68</c:v>
                </c:pt>
                <c:pt idx="4">
                  <c:v>70</c:v>
                </c:pt>
                <c:pt idx="5">
                  <c:v>72</c:v>
                </c:pt>
                <c:pt idx="6">
                  <c:v>74</c:v>
                </c:pt>
                <c:pt idx="7">
                  <c:v>76</c:v>
                </c:pt>
                <c:pt idx="8" formatCode="General">
                  <c:v>78</c:v>
                </c:pt>
              </c:numCache>
            </c:numRef>
          </c:cat>
          <c:val>
            <c:numRef>
              <c:f>Sheet20!$B$2:$B$10</c:f>
              <c:numCache>
                <c:formatCode>General</c:formatCode>
                <c:ptCount val="9"/>
                <c:pt idx="0">
                  <c:v>0</c:v>
                </c:pt>
                <c:pt idx="1">
                  <c:v>5</c:v>
                </c:pt>
                <c:pt idx="2">
                  <c:v>22</c:v>
                </c:pt>
                <c:pt idx="3">
                  <c:v>47</c:v>
                </c:pt>
                <c:pt idx="4">
                  <c:v>76</c:v>
                </c:pt>
                <c:pt idx="5">
                  <c:v>44</c:v>
                </c:pt>
                <c:pt idx="6">
                  <c:v>21</c:v>
                </c:pt>
                <c:pt idx="7">
                  <c:v>8</c:v>
                </c:pt>
                <c:pt idx="8">
                  <c:v>1</c:v>
                </c:pt>
              </c:numCache>
            </c:numRef>
          </c:val>
        </c:ser>
        <c:gapWidth val="100"/>
        <c:axId val="216867584"/>
        <c:axId val="216869504"/>
      </c:barChart>
      <c:catAx>
        <c:axId val="216867584"/>
        <c:scaling>
          <c:orientation val="minMax"/>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900" b="1" i="0" u="none" strike="noStrike" kern="1200" baseline="0" dirty="0">
                    <a:solidFill>
                      <a:sysClr val="windowText" lastClr="000000"/>
                    </a:solidFill>
                    <a:latin typeface="+mn-lt"/>
                    <a:ea typeface="+mn-ea"/>
                    <a:cs typeface="+mn-cs"/>
                  </a:rPr>
                  <a:t>Day to 50% </a:t>
                </a:r>
                <a:r>
                  <a:rPr lang="en-US" sz="900" b="1" i="0" u="none" strike="noStrike" kern="1200" baseline="0" dirty="0" smtClean="0">
                    <a:solidFill>
                      <a:sysClr val="windowText" lastClr="000000"/>
                    </a:solidFill>
                    <a:latin typeface="+mn-lt"/>
                    <a:ea typeface="+mn-ea"/>
                    <a:cs typeface="+mn-cs"/>
                  </a:rPr>
                  <a:t>flowering (days) </a:t>
                </a:r>
                <a:endParaRPr lang="de-DE" sz="900" b="1" i="0" u="none" strike="noStrike" kern="1200" baseline="0" dirty="0">
                  <a:solidFill>
                    <a:sysClr val="windowText" lastClr="000000"/>
                  </a:solidFill>
                  <a:latin typeface="+mn-lt"/>
                  <a:ea typeface="+mn-ea"/>
                  <a:cs typeface="+mn-cs"/>
                </a:endParaRPr>
              </a:p>
            </c:rich>
          </c:tx>
          <c:layout/>
          <c:spPr>
            <a:ln>
              <a:noFill/>
            </a:ln>
          </c:spPr>
        </c:title>
        <c:numFmt formatCode="0" sourceLinked="1"/>
        <c:majorTickMark val="none"/>
        <c:tickLblPos val="nextTo"/>
        <c:txPr>
          <a:bodyPr rot="-5400000" vert="horz"/>
          <a:lstStyle/>
          <a:p>
            <a:pPr>
              <a:defRPr/>
            </a:pPr>
            <a:endParaRPr lang="de-DE"/>
          </a:p>
        </c:txPr>
        <c:crossAx val="216869504"/>
        <c:crosses val="autoZero"/>
        <c:auto val="1"/>
        <c:lblAlgn val="ctr"/>
        <c:lblOffset val="100"/>
      </c:catAx>
      <c:valAx>
        <c:axId val="216869504"/>
        <c:scaling>
          <c:orientation val="minMax"/>
        </c:scaling>
        <c:axPos val="l"/>
        <c:majorGridlines/>
        <c:title>
          <c:tx>
            <c:rich>
              <a:bodyPr/>
              <a:lstStyle/>
              <a:p>
                <a:pPr>
                  <a:defRPr/>
                </a:pPr>
                <a:r>
                  <a:rPr lang="de-DE" sz="900" b="1" dirty="0" err="1"/>
                  <a:t>Number</a:t>
                </a:r>
                <a:r>
                  <a:rPr lang="de-DE" sz="900" b="1" dirty="0"/>
                  <a:t> </a:t>
                </a:r>
                <a:r>
                  <a:rPr lang="de-DE" sz="900" b="1" dirty="0" err="1"/>
                  <a:t>of</a:t>
                </a:r>
                <a:r>
                  <a:rPr lang="de-DE" sz="900" b="1" dirty="0"/>
                  <a:t> </a:t>
                </a:r>
                <a:r>
                  <a:rPr lang="de-DE" sz="900" b="1" dirty="0" err="1"/>
                  <a:t>accessions</a:t>
                </a:r>
                <a:endParaRPr lang="de-DE" sz="900" b="1" dirty="0"/>
              </a:p>
            </c:rich>
          </c:tx>
          <c:layout/>
        </c:title>
        <c:numFmt formatCode="General" sourceLinked="1"/>
        <c:tickLblPos val="nextTo"/>
        <c:crossAx val="216867584"/>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3110</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Universität Hohenheim (303, 350, 720 &amp; 762)</Company>
  <LinksUpToDate>false</LinksUpToDate>
  <CharactersWithSpaces>22658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4</cp:revision>
  <cp:lastPrinted>2012-12-17T11:25:00Z</cp:lastPrinted>
  <dcterms:created xsi:type="dcterms:W3CDTF">2013-05-01T18:53:00Z</dcterms:created>
  <dcterms:modified xsi:type="dcterms:W3CDTF">2013-06-24T09:42:00Z</dcterms:modified>
</cp:coreProperties>
</file>