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BA" w:rsidRPr="00A30572" w:rsidRDefault="00453DBA" w:rsidP="00453DBA">
      <w:pPr>
        <w:spacing w:after="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SUPPLEMENT</w:t>
      </w: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Table S1. Overview of all the herbaria and </w:t>
      </w:r>
      <w:proofErr w:type="spellStart"/>
      <w:r>
        <w:rPr>
          <w:rFonts w:ascii="Times New Roman" w:hAnsi="Times New Roman" w:cs="Times New Roman"/>
          <w:sz w:val="22"/>
        </w:rPr>
        <w:t>genebanks</w:t>
      </w:r>
      <w:proofErr w:type="spellEnd"/>
      <w:r>
        <w:rPr>
          <w:rFonts w:ascii="Times New Roman" w:hAnsi="Times New Roman" w:cs="Times New Roman"/>
          <w:sz w:val="22"/>
        </w:rPr>
        <w:t xml:space="preserve"> from which </w:t>
      </w:r>
      <w:proofErr w:type="spellStart"/>
      <w:r w:rsidRPr="005636AC">
        <w:rPr>
          <w:rFonts w:ascii="Times New Roman" w:hAnsi="Times New Roman" w:cs="Times New Roman"/>
          <w:i/>
          <w:sz w:val="22"/>
        </w:rPr>
        <w:t>Lactuca</w:t>
      </w:r>
      <w:proofErr w:type="spellEnd"/>
      <w:r>
        <w:rPr>
          <w:rFonts w:ascii="Times New Roman" w:hAnsi="Times New Roman" w:cs="Times New Roman"/>
          <w:sz w:val="22"/>
        </w:rPr>
        <w:t xml:space="preserve"> samples were retrieved.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</w:tblGrid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Academy of Natural Sciences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Australia's Virtual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Botanical Society of the British Isles Herbaria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California Academy of Sciences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Centro de Referência em Informação Ambiental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Consortium of Pacific Northwest Herbaria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Denver Botanic Gardens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Eurisco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Field Museum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Florida State University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Global Biodiversity Information Facility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Harvard University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Instituto Superior de Agronomia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International Lactuca Database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Jardim Botanico do Rio de Janeiro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Manchester University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Museum National d'Histoire Naturelle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Nationaal Herbarium Nederland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New York Botanical Garden Herbarium</w:t>
            </w:r>
          </w:p>
        </w:tc>
      </w:tr>
      <w:tr w:rsidR="00453DBA" w:rsidRPr="00EA6920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Real Jardin Botanico de Madrid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Royal Botanic Gardens Edinburgh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Royal Botanic Gardens, Kew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Smithsonian Institution, National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DBA" w:rsidRPr="00563147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 xml:space="preserve">United States Department of Agriculture, National Plant </w:t>
            </w:r>
            <w:proofErr w:type="spellStart"/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Germplasm</w:t>
            </w:r>
            <w:proofErr w:type="spellEnd"/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 xml:space="preserve"> System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Universidad del Valle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Universidade Lisboa Museu Nacional de Historia Natural e da Ciência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University of California and Jepson Herbaria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University of California, Riverside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University of Coimbra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V. L. Komarov Botanical Institute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Wageningen University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West Virginia University Herbarium</w:t>
            </w:r>
          </w:p>
        </w:tc>
      </w:tr>
      <w:tr w:rsidR="00453DBA" w:rsidRPr="00EB410A" w:rsidTr="006F41B3">
        <w:trPr>
          <w:trHeight w:val="30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F7180B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7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World Vegetable Center</w:t>
            </w:r>
          </w:p>
        </w:tc>
      </w:tr>
    </w:tbl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Table S2. </w:t>
      </w:r>
      <w:r w:rsidR="00307A2B">
        <w:rPr>
          <w:rFonts w:ascii="Times New Roman" w:hAnsi="Times New Roman" w:cs="Times New Roman"/>
          <w:sz w:val="22"/>
        </w:rPr>
        <w:t xml:space="preserve">The species in the </w:t>
      </w:r>
      <w:proofErr w:type="spellStart"/>
      <w:r w:rsidR="001A6FA4">
        <w:rPr>
          <w:rFonts w:ascii="Times New Roman" w:hAnsi="Times New Roman" w:cs="Times New Roman"/>
          <w:sz w:val="22"/>
        </w:rPr>
        <w:t>Lactuca</w:t>
      </w:r>
      <w:proofErr w:type="spellEnd"/>
      <w:r w:rsidR="001A6FA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07A2B">
        <w:rPr>
          <w:rFonts w:ascii="Times New Roman" w:hAnsi="Times New Roman" w:cs="Times New Roman"/>
          <w:sz w:val="22"/>
        </w:rPr>
        <w:t>genepool</w:t>
      </w:r>
      <w:proofErr w:type="spellEnd"/>
      <w:r w:rsidR="00307A2B">
        <w:rPr>
          <w:rFonts w:ascii="Times New Roman" w:hAnsi="Times New Roman" w:cs="Times New Roman"/>
          <w:sz w:val="22"/>
        </w:rPr>
        <w:t xml:space="preserve"> (Table 1) and their synonyms (Van Treuren </w:t>
      </w:r>
      <w:r w:rsidR="00307A2B" w:rsidRPr="0023023D">
        <w:rPr>
          <w:rFonts w:ascii="Times New Roman" w:hAnsi="Times New Roman" w:cs="Times New Roman"/>
          <w:i/>
          <w:sz w:val="22"/>
        </w:rPr>
        <w:t>et al</w:t>
      </w:r>
      <w:r w:rsidR="0023023D">
        <w:rPr>
          <w:rFonts w:ascii="Times New Roman" w:hAnsi="Times New Roman" w:cs="Times New Roman"/>
          <w:sz w:val="22"/>
        </w:rPr>
        <w:t xml:space="preserve">., </w:t>
      </w:r>
      <w:bookmarkStart w:id="0" w:name="_GoBack"/>
      <w:bookmarkEnd w:id="0"/>
      <w:r w:rsidR="00307A2B">
        <w:rPr>
          <w:rFonts w:ascii="Times New Roman" w:hAnsi="Times New Roman" w:cs="Times New Roman"/>
          <w:sz w:val="22"/>
        </w:rPr>
        <w:t>2012)</w:t>
      </w:r>
      <w:r w:rsidR="0023023D">
        <w:rPr>
          <w:rFonts w:ascii="Times New Roman" w:hAnsi="Times New Roman" w:cs="Times New Roman"/>
          <w:sz w:val="22"/>
        </w:rPr>
        <w:t>. Author names were included only when they distinguish between different synonyms in the consulted databases (Table S1).</w:t>
      </w:r>
    </w:p>
    <w:tbl>
      <w:tblPr>
        <w:tblW w:w="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520"/>
      </w:tblGrid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color w:val="000000"/>
                <w:sz w:val="22"/>
                <w:lang w:val="nl-NL" w:eastAsia="nl-NL"/>
              </w:rPr>
              <w:t>accepted names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color w:val="000000"/>
                <w:sz w:val="22"/>
                <w:lang w:val="nl-NL" w:eastAsia="nl-NL"/>
              </w:rPr>
              <w:t>synonyms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acanthifolia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amorgina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eburnea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aculeata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altaica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aurea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azerbaijanica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dregeana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virosa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Thunb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.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georgica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longidentata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Scariola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longidentata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orientalis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quercina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altissima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armena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chaixii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sagittata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stricta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vialea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wilhelmsiana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cracoviensis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cyanea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decorticata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saligna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adulteriana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angustifolia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caucasica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cracoviensis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cyanea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salicifolia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spiciformis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tommasiniana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virgata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virosa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Habl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.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wallrothii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scarioloides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kotschyana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serriola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albicaulis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augustana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coriacea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dubia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latifolia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plicata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scariola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sylvestris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tephrocarpa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virosa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Luce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sibirica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  <w:r w:rsidRPr="00F11838"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  <w:t> 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taraxacifolia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alaica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kotschyi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pentaphylla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tatarica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clarkei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multipes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oblongifolia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pulchella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(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Pursh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) DC.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pulchella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DC.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viminea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alpestris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chondrilliflora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decorticata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numidica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ramosissima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virosa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agrestis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ambigua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cornigera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flavida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lactucarii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livida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serratifolia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sinuata</w:t>
            </w:r>
            <w:proofErr w:type="spellEnd"/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virosa</w:t>
            </w:r>
            <w:proofErr w:type="spellEnd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 L.</w:t>
            </w:r>
          </w:p>
        </w:tc>
      </w:tr>
      <w:tr w:rsidR="00F11838" w:rsidRPr="00F11838" w:rsidTr="00F1183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val="nl-NL" w:eastAsia="nl-NL"/>
              </w:rPr>
            </w:pPr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 xml:space="preserve">L. </w:t>
            </w:r>
            <w:proofErr w:type="spellStart"/>
            <w:r w:rsidRPr="00F11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nl-NL"/>
              </w:rPr>
              <w:t>watsoniana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838" w:rsidRPr="00F11838" w:rsidRDefault="00F11838" w:rsidP="00F1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nl-NL" w:eastAsia="nl-NL"/>
              </w:rPr>
            </w:pPr>
          </w:p>
        </w:tc>
      </w:tr>
    </w:tbl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 w:rsidRPr="00D02CB8">
        <w:rPr>
          <w:rFonts w:ascii="Times New Roman" w:hAnsi="Times New Roman" w:cs="Times New Roman"/>
          <w:sz w:val="22"/>
        </w:rPr>
        <w:lastRenderedPageBreak/>
        <w:t>Table S</w:t>
      </w:r>
      <w:r>
        <w:rPr>
          <w:rFonts w:ascii="Times New Roman" w:hAnsi="Times New Roman" w:cs="Times New Roman"/>
          <w:sz w:val="22"/>
        </w:rPr>
        <w:t xml:space="preserve">3. The </w:t>
      </w:r>
      <w:proofErr w:type="spellStart"/>
      <w:r>
        <w:rPr>
          <w:rFonts w:ascii="Times New Roman" w:hAnsi="Times New Roman" w:cs="Times New Roman"/>
          <w:sz w:val="22"/>
        </w:rPr>
        <w:t>Maxent</w:t>
      </w:r>
      <w:proofErr w:type="spellEnd"/>
      <w:r>
        <w:rPr>
          <w:rFonts w:ascii="Times New Roman" w:hAnsi="Times New Roman" w:cs="Times New Roman"/>
          <w:sz w:val="22"/>
        </w:rPr>
        <w:t xml:space="preserve"> model statistics for each of the investigated species of the lettuce </w:t>
      </w:r>
      <w:proofErr w:type="spellStart"/>
      <w:r>
        <w:rPr>
          <w:rFonts w:ascii="Times New Roman" w:hAnsi="Times New Roman" w:cs="Times New Roman"/>
          <w:sz w:val="22"/>
        </w:rPr>
        <w:t>genepool</w:t>
      </w:r>
      <w:proofErr w:type="spellEnd"/>
      <w:r>
        <w:rPr>
          <w:rFonts w:ascii="Times New Roman" w:hAnsi="Times New Roman" w:cs="Times New Roman"/>
          <w:sz w:val="22"/>
        </w:rPr>
        <w:t xml:space="preserve">. ATAUC: the 10-fold average test AUC (area under the curve), STAUC: the standard deviation of the test AUC of the 10 different folds, ASD15: the percentage of the potential distribution coverage with standard deviation above 0.15. For the </w:t>
      </w:r>
      <w:proofErr w:type="spellStart"/>
      <w:r>
        <w:rPr>
          <w:rFonts w:ascii="Times New Roman" w:hAnsi="Times New Roman" w:cs="Times New Roman"/>
          <w:sz w:val="22"/>
        </w:rPr>
        <w:t>gray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colored</w:t>
      </w:r>
      <w:proofErr w:type="spellEnd"/>
      <w:r>
        <w:rPr>
          <w:rFonts w:ascii="Times New Roman" w:hAnsi="Times New Roman" w:cs="Times New Roman"/>
          <w:sz w:val="22"/>
        </w:rPr>
        <w:t xml:space="preserve"> species, the total number of samples is smaller than 10 (Table 1), meaning that the number of folds is equal to the number of samples.</w:t>
      </w:r>
    </w:p>
    <w:tbl>
      <w:tblPr>
        <w:tblW w:w="7316" w:type="dxa"/>
        <w:tblInd w:w="93" w:type="dxa"/>
        <w:tblLook w:val="04A0" w:firstRow="1" w:lastRow="0" w:firstColumn="1" w:lastColumn="0" w:noHBand="0" w:noVBand="1"/>
      </w:tblPr>
      <w:tblGrid>
        <w:gridCol w:w="2288"/>
        <w:gridCol w:w="974"/>
        <w:gridCol w:w="1387"/>
        <w:gridCol w:w="1387"/>
        <w:gridCol w:w="1280"/>
      </w:tblGrid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Taxon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ATAUC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STAUC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ASD15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ValidModel</w:t>
            </w:r>
            <w:proofErr w:type="spellEnd"/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acanthifolia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0.9984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aculeata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0.9599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0.0667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altaica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0.8728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0.0571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44.195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dregeana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0.9896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0.0061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4.433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georgica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0.9973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orientalis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0.9736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0.0240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0.610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quercina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0.9810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0.0341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saligna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0.9183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saligna_EUR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0.9422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saligna_GRC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0.9208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0.0057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saligna_ISR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0.9191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scarioloides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serriola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0.6490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0.0046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serriola_TC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0.9895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1.450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sibirica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0.9596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0.0038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taraxacifolia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no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tatarica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0.9169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0.0061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0.126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viminea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0.9637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0.0043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  <w:tr w:rsidR="00453DBA" w:rsidRPr="002A2A0E" w:rsidTr="006F41B3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</w:pP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Lactuca</w:t>
            </w:r>
            <w:proofErr w:type="spellEnd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2A2A0E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en-GB"/>
              </w:rPr>
              <w:t>virosa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0.8806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0.0042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DBA" w:rsidRPr="002A2A0E" w:rsidRDefault="00453DBA" w:rsidP="006F4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</w:pPr>
            <w:r w:rsidRPr="002A2A0E">
              <w:rPr>
                <w:rFonts w:ascii="Times New Roman" w:eastAsia="Times New Roman" w:hAnsi="Times New Roman" w:cs="Times New Roman"/>
                <w:color w:val="000000"/>
                <w:sz w:val="22"/>
                <w:lang w:eastAsia="en-GB"/>
              </w:rPr>
              <w:t>yes</w:t>
            </w:r>
          </w:p>
        </w:tc>
      </w:tr>
    </w:tbl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Figure S1a. T</w:t>
      </w:r>
      <w:r w:rsidRPr="007D0B69">
        <w:rPr>
          <w:rFonts w:ascii="Times New Roman" w:hAnsi="Times New Roman" w:cs="Times New Roman"/>
          <w:sz w:val="22"/>
        </w:rPr>
        <w:t xml:space="preserve">he </w:t>
      </w:r>
      <w:r>
        <w:rPr>
          <w:rFonts w:ascii="Times New Roman" w:hAnsi="Times New Roman" w:cs="Times New Roman"/>
          <w:sz w:val="22"/>
        </w:rPr>
        <w:t>global region of analysis (ALL) and all</w:t>
      </w:r>
      <w:r w:rsidRPr="007D0B69">
        <w:rPr>
          <w:rFonts w:ascii="Times New Roman" w:hAnsi="Times New Roman" w:cs="Times New Roman"/>
          <w:sz w:val="22"/>
        </w:rPr>
        <w:t xml:space="preserve"> </w:t>
      </w:r>
      <w:r w:rsidRPr="007D0B69">
        <w:rPr>
          <w:rFonts w:ascii="Times New Roman" w:hAnsi="Times New Roman" w:cs="Times New Roman"/>
          <w:i/>
          <w:iCs/>
          <w:sz w:val="22"/>
        </w:rPr>
        <w:t xml:space="preserve">L. </w:t>
      </w:r>
      <w:proofErr w:type="spellStart"/>
      <w:r w:rsidRPr="007D0B69">
        <w:rPr>
          <w:rFonts w:ascii="Times New Roman" w:hAnsi="Times New Roman" w:cs="Times New Roman"/>
          <w:i/>
          <w:iCs/>
          <w:sz w:val="22"/>
        </w:rPr>
        <w:t>saligna</w:t>
      </w:r>
      <w:proofErr w:type="spellEnd"/>
      <w:r w:rsidRPr="007D0B69">
        <w:rPr>
          <w:rFonts w:ascii="Times New Roman" w:hAnsi="Times New Roman" w:cs="Times New Roman"/>
          <w:sz w:val="22"/>
        </w:rPr>
        <w:t xml:space="preserve"> occurrences</w:t>
      </w:r>
      <w:r>
        <w:rPr>
          <w:rFonts w:ascii="Times New Roman" w:hAnsi="Times New Roman" w:cs="Times New Roman"/>
          <w:sz w:val="22"/>
        </w:rPr>
        <w:t xml:space="preserve">. </w:t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Figure S1b. T</w:t>
      </w:r>
      <w:r w:rsidRPr="007D0B69">
        <w:rPr>
          <w:rFonts w:ascii="Times New Roman" w:hAnsi="Times New Roman" w:cs="Times New Roman"/>
          <w:sz w:val="22"/>
        </w:rPr>
        <w:t xml:space="preserve">he </w:t>
      </w:r>
      <w:r>
        <w:rPr>
          <w:rFonts w:ascii="Times New Roman" w:hAnsi="Times New Roman" w:cs="Times New Roman"/>
          <w:sz w:val="22"/>
        </w:rPr>
        <w:t>Eurasian region of analysis (EUR) and its</w:t>
      </w:r>
      <w:r w:rsidRPr="007D0B69">
        <w:rPr>
          <w:rFonts w:ascii="Times New Roman" w:hAnsi="Times New Roman" w:cs="Times New Roman"/>
          <w:sz w:val="22"/>
        </w:rPr>
        <w:t xml:space="preserve"> </w:t>
      </w:r>
      <w:r w:rsidRPr="007D0B69">
        <w:rPr>
          <w:rFonts w:ascii="Times New Roman" w:hAnsi="Times New Roman" w:cs="Times New Roman"/>
          <w:i/>
          <w:iCs/>
          <w:sz w:val="22"/>
        </w:rPr>
        <w:t xml:space="preserve">L. </w:t>
      </w:r>
      <w:proofErr w:type="spellStart"/>
      <w:r w:rsidRPr="007D0B69">
        <w:rPr>
          <w:rFonts w:ascii="Times New Roman" w:hAnsi="Times New Roman" w:cs="Times New Roman"/>
          <w:i/>
          <w:iCs/>
          <w:sz w:val="22"/>
        </w:rPr>
        <w:t>saligna</w:t>
      </w:r>
      <w:proofErr w:type="spellEnd"/>
      <w:r w:rsidRPr="007D0B69">
        <w:rPr>
          <w:rFonts w:ascii="Times New Roman" w:hAnsi="Times New Roman" w:cs="Times New Roman"/>
          <w:sz w:val="22"/>
        </w:rPr>
        <w:t xml:space="preserve"> occurrences</w:t>
      </w:r>
      <w:r>
        <w:rPr>
          <w:rFonts w:ascii="Times New Roman" w:hAnsi="Times New Roman" w:cs="Times New Roman"/>
          <w:sz w:val="22"/>
        </w:rPr>
        <w:t xml:space="preserve">. </w:t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Figure S1c. T</w:t>
      </w:r>
      <w:r w:rsidRPr="007D0B69">
        <w:rPr>
          <w:rFonts w:ascii="Times New Roman" w:hAnsi="Times New Roman" w:cs="Times New Roman"/>
          <w:sz w:val="22"/>
        </w:rPr>
        <w:t xml:space="preserve">he </w:t>
      </w:r>
      <w:r>
        <w:rPr>
          <w:rFonts w:ascii="Times New Roman" w:hAnsi="Times New Roman" w:cs="Times New Roman"/>
          <w:sz w:val="22"/>
        </w:rPr>
        <w:t>Greek region of analysis (GRC) and its</w:t>
      </w:r>
      <w:r w:rsidRPr="007D0B69">
        <w:rPr>
          <w:rFonts w:ascii="Times New Roman" w:hAnsi="Times New Roman" w:cs="Times New Roman"/>
          <w:sz w:val="22"/>
        </w:rPr>
        <w:t xml:space="preserve"> </w:t>
      </w:r>
      <w:r w:rsidRPr="007D0B69">
        <w:rPr>
          <w:rFonts w:ascii="Times New Roman" w:hAnsi="Times New Roman" w:cs="Times New Roman"/>
          <w:i/>
          <w:iCs/>
          <w:sz w:val="22"/>
        </w:rPr>
        <w:t xml:space="preserve">L. </w:t>
      </w:r>
      <w:proofErr w:type="spellStart"/>
      <w:r w:rsidRPr="007D0B69">
        <w:rPr>
          <w:rFonts w:ascii="Times New Roman" w:hAnsi="Times New Roman" w:cs="Times New Roman"/>
          <w:i/>
          <w:iCs/>
          <w:sz w:val="22"/>
        </w:rPr>
        <w:t>saligna</w:t>
      </w:r>
      <w:proofErr w:type="spellEnd"/>
      <w:r w:rsidRPr="007D0B69">
        <w:rPr>
          <w:rFonts w:ascii="Times New Roman" w:hAnsi="Times New Roman" w:cs="Times New Roman"/>
          <w:sz w:val="22"/>
        </w:rPr>
        <w:t xml:space="preserve"> occurrences</w:t>
      </w:r>
      <w:r>
        <w:rPr>
          <w:rFonts w:ascii="Times New Roman" w:hAnsi="Times New Roman" w:cs="Times New Roman"/>
          <w:sz w:val="22"/>
        </w:rPr>
        <w:t xml:space="preserve">. </w:t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Figure S1d. T</w:t>
      </w:r>
      <w:r w:rsidRPr="007D0B69">
        <w:rPr>
          <w:rFonts w:ascii="Times New Roman" w:hAnsi="Times New Roman" w:cs="Times New Roman"/>
          <w:sz w:val="22"/>
        </w:rPr>
        <w:t xml:space="preserve">he </w:t>
      </w:r>
      <w:r>
        <w:rPr>
          <w:rFonts w:ascii="Times New Roman" w:hAnsi="Times New Roman" w:cs="Times New Roman"/>
          <w:sz w:val="22"/>
        </w:rPr>
        <w:t>Israeli region of analysis (ISR) and its</w:t>
      </w:r>
      <w:r w:rsidRPr="007D0B69">
        <w:rPr>
          <w:rFonts w:ascii="Times New Roman" w:hAnsi="Times New Roman" w:cs="Times New Roman"/>
          <w:sz w:val="22"/>
        </w:rPr>
        <w:t xml:space="preserve"> </w:t>
      </w:r>
      <w:r w:rsidRPr="007D0B69">
        <w:rPr>
          <w:rFonts w:ascii="Times New Roman" w:hAnsi="Times New Roman" w:cs="Times New Roman"/>
          <w:i/>
          <w:iCs/>
          <w:sz w:val="22"/>
        </w:rPr>
        <w:t xml:space="preserve">L. </w:t>
      </w:r>
      <w:proofErr w:type="spellStart"/>
      <w:r w:rsidRPr="007D0B69">
        <w:rPr>
          <w:rFonts w:ascii="Times New Roman" w:hAnsi="Times New Roman" w:cs="Times New Roman"/>
          <w:i/>
          <w:iCs/>
          <w:sz w:val="22"/>
        </w:rPr>
        <w:t>saligna</w:t>
      </w:r>
      <w:proofErr w:type="spellEnd"/>
      <w:r w:rsidRPr="007D0B69">
        <w:rPr>
          <w:rFonts w:ascii="Times New Roman" w:hAnsi="Times New Roman" w:cs="Times New Roman"/>
          <w:sz w:val="22"/>
        </w:rPr>
        <w:t xml:space="preserve"> occurrences</w:t>
      </w:r>
      <w:r>
        <w:rPr>
          <w:rFonts w:ascii="Times New Roman" w:hAnsi="Times New Roman" w:cs="Times New Roman"/>
          <w:sz w:val="22"/>
        </w:rPr>
        <w:t xml:space="preserve">. </w:t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Figure S1a</w:t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 w:rsidRPr="00FC710D">
        <w:rPr>
          <w:rFonts w:ascii="Times New Roman" w:hAnsi="Times New Roman" w:cs="Times New Roman"/>
          <w:noProof/>
          <w:sz w:val="22"/>
          <w:lang w:val="nl-NL" w:eastAsia="nl-NL"/>
        </w:rPr>
        <w:drawing>
          <wp:inline distT="0" distB="0" distL="0" distR="0" wp14:anchorId="15A93097" wp14:editId="16B9D75E">
            <wp:extent cx="5760720" cy="2255659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77" t="37315" r="5361" b="33618"/>
                    <a:stretch/>
                  </pic:blipFill>
                  <pic:spPr bwMode="auto">
                    <a:xfrm>
                      <a:off x="0" y="0"/>
                      <a:ext cx="5760720" cy="225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Figure S1b</w:t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 w:rsidRPr="007D0B69">
        <w:rPr>
          <w:rFonts w:ascii="Times New Roman" w:hAnsi="Times New Roman" w:cs="Times New Roman"/>
          <w:noProof/>
          <w:sz w:val="22"/>
          <w:lang w:val="nl-NL" w:eastAsia="nl-NL"/>
        </w:rPr>
        <w:drawing>
          <wp:inline distT="0" distB="0" distL="0" distR="0" wp14:anchorId="7287E1B3" wp14:editId="61EA84D7">
            <wp:extent cx="5760000" cy="177480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9" t="42281" r="3222" b="33078"/>
                    <a:stretch/>
                  </pic:blipFill>
                  <pic:spPr bwMode="auto">
                    <a:xfrm>
                      <a:off x="0" y="0"/>
                      <a:ext cx="57600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Figure S1c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Figure S1d</w:t>
      </w:r>
    </w:p>
    <w:p w:rsidR="00453DBA" w:rsidRPr="002D7351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  <w:r w:rsidRPr="007D0B69">
        <w:rPr>
          <w:rFonts w:ascii="Times New Roman" w:hAnsi="Times New Roman" w:cs="Times New Roman"/>
          <w:noProof/>
          <w:sz w:val="22"/>
          <w:lang w:val="nl-NL" w:eastAsia="nl-NL"/>
        </w:rPr>
        <w:drawing>
          <wp:inline distT="0" distB="0" distL="0" distR="0" wp14:anchorId="7CF70CD6" wp14:editId="2CB45AB0">
            <wp:extent cx="2879828" cy="2409246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1" t="25546" r="6753" b="14710"/>
                    <a:stretch/>
                  </pic:blipFill>
                  <pic:spPr bwMode="auto">
                    <a:xfrm>
                      <a:off x="0" y="0"/>
                      <a:ext cx="2881817" cy="24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7D0B69">
        <w:rPr>
          <w:rFonts w:ascii="Times New Roman" w:hAnsi="Times New Roman" w:cs="Times New Roman"/>
          <w:noProof/>
          <w:sz w:val="22"/>
          <w:lang w:val="nl-NL" w:eastAsia="nl-NL"/>
        </w:rPr>
        <w:drawing>
          <wp:inline distT="0" distB="0" distL="0" distR="0" wp14:anchorId="1E07EFFA" wp14:editId="318DFBB9">
            <wp:extent cx="1755793" cy="2414215"/>
            <wp:effectExtent l="0" t="0" r="0" b="571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76" t="19311" r="14485" b="18733"/>
                    <a:stretch/>
                  </pic:blipFill>
                  <pic:spPr bwMode="auto">
                    <a:xfrm>
                      <a:off x="0" y="0"/>
                      <a:ext cx="1760524" cy="24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spacing w:after="0" w:line="480" w:lineRule="auto"/>
        <w:rPr>
          <w:rFonts w:ascii="Times New Roman" w:hAnsi="Times New Roman" w:cs="Times New Roman"/>
          <w:sz w:val="22"/>
        </w:rPr>
      </w:pP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Pr="003A1718" w:rsidRDefault="00453DBA" w:rsidP="00453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1718">
        <w:rPr>
          <w:rFonts w:ascii="Times New Roman" w:hAnsi="Times New Roman" w:cs="Times New Roman"/>
          <w:sz w:val="24"/>
          <w:szCs w:val="24"/>
        </w:rPr>
        <w:lastRenderedPageBreak/>
        <w:t xml:space="preserve">Figure S2a. The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Maxent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 response curves to BIO_1 for the model based on all occurrences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 and the model for which the Israeli occurrences were omitted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Lactuca_salignaISR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).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 xml:space="preserve">The curves show how the logistic prediction changes as the </w:t>
      </w:r>
      <w:r w:rsidRPr="003A1718">
        <w:rPr>
          <w:rFonts w:ascii="Times New Roman" w:hAnsi="Times New Roman" w:cs="Times New Roman"/>
          <w:sz w:val="24"/>
          <w:szCs w:val="24"/>
        </w:rPr>
        <w:t xml:space="preserve">mean annual temperature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>is varied, keeping all other environmental variables at their average sample value.</w:t>
      </w:r>
    </w:p>
    <w:p w:rsidR="00453DBA" w:rsidRPr="003A1718" w:rsidRDefault="00453DBA" w:rsidP="00453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1718">
        <w:rPr>
          <w:rFonts w:ascii="Times New Roman" w:hAnsi="Times New Roman" w:cs="Times New Roman"/>
          <w:sz w:val="24"/>
          <w:szCs w:val="24"/>
        </w:rPr>
        <w:t xml:space="preserve">Figure S2b. The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Maxent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 response curves to BIO_5 for the model based on all occurrences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 and the model for which the Israeli occurrences were omitted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Lactuca_salignaISR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).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 xml:space="preserve">The curves show how the logistic prediction changes as </w:t>
      </w:r>
      <w:r w:rsidRPr="003A1718">
        <w:rPr>
          <w:rFonts w:ascii="Times New Roman" w:hAnsi="Times New Roman" w:cs="Times New Roman"/>
          <w:sz w:val="24"/>
          <w:szCs w:val="24"/>
        </w:rPr>
        <w:t xml:space="preserve">the maximum temperature of the warmest month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>is varied, keeping all other environmental variables at their average sample value.</w:t>
      </w:r>
    </w:p>
    <w:p w:rsidR="00453DBA" w:rsidRPr="003A1718" w:rsidRDefault="00453DBA" w:rsidP="00453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1718">
        <w:rPr>
          <w:rFonts w:ascii="Times New Roman" w:hAnsi="Times New Roman" w:cs="Times New Roman"/>
          <w:sz w:val="24"/>
          <w:szCs w:val="24"/>
        </w:rPr>
        <w:t xml:space="preserve">Figure S2c. The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Maxent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 response curves to BIO_15 for the model based on all occurrences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 and the model for which the Israeli occurrences were omitted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Lactuca_salignaISR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).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 xml:space="preserve">The curves show how the logistic prediction changes as </w:t>
      </w:r>
      <w:r w:rsidRPr="003A1718">
        <w:rPr>
          <w:rFonts w:ascii="Times New Roman" w:hAnsi="Times New Roman" w:cs="Times New Roman"/>
          <w:sz w:val="24"/>
          <w:szCs w:val="24"/>
        </w:rPr>
        <w:t xml:space="preserve">the variation in the precipitation over the seasons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>is varied, keeping all other environmental variables at their average sample value.</w:t>
      </w:r>
    </w:p>
    <w:p w:rsidR="00453DBA" w:rsidRPr="003A1718" w:rsidRDefault="00453DBA" w:rsidP="00453D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1718">
        <w:rPr>
          <w:rFonts w:ascii="Times New Roman" w:hAnsi="Times New Roman" w:cs="Times New Roman"/>
          <w:sz w:val="24"/>
          <w:szCs w:val="24"/>
        </w:rPr>
        <w:t xml:space="preserve">Figure S2d. The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Maxent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 response curves to BIO_18 for the model based on all occurrences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 and the model for which the Israeli occurrences were omitted (model </w:t>
      </w:r>
      <w:proofErr w:type="spellStart"/>
      <w:r w:rsidRPr="003A1718">
        <w:rPr>
          <w:rFonts w:ascii="Times New Roman" w:hAnsi="Times New Roman" w:cs="Times New Roman"/>
          <w:sz w:val="24"/>
          <w:szCs w:val="24"/>
        </w:rPr>
        <w:t>Lactuca_salignaISR</w:t>
      </w:r>
      <w:proofErr w:type="spellEnd"/>
      <w:r w:rsidRPr="003A1718">
        <w:rPr>
          <w:rFonts w:ascii="Times New Roman" w:hAnsi="Times New Roman" w:cs="Times New Roman"/>
          <w:sz w:val="24"/>
          <w:szCs w:val="24"/>
        </w:rPr>
        <w:t xml:space="preserve">).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 xml:space="preserve">The curves show how the logistic prediction changes as </w:t>
      </w:r>
      <w:r w:rsidRPr="003A1718">
        <w:rPr>
          <w:rFonts w:ascii="Times New Roman" w:hAnsi="Times New Roman" w:cs="Times New Roman"/>
          <w:sz w:val="24"/>
          <w:szCs w:val="24"/>
        </w:rPr>
        <w:t xml:space="preserve">the total precipitation of the warmest quarter </w:t>
      </w:r>
      <w:r w:rsidRPr="003A1718">
        <w:rPr>
          <w:rFonts w:ascii="Times New Roman" w:hAnsi="Times New Roman" w:cs="Times New Roman"/>
          <w:color w:val="000000"/>
          <w:sz w:val="24"/>
          <w:szCs w:val="24"/>
        </w:rPr>
        <w:t>is varied, keeping all other environmental variables at their average sample value.</w:t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 w:rsidRPr="003A1718">
        <w:rPr>
          <w:rFonts w:ascii="Times New Roman" w:hAnsi="Times New Roman" w:cs="Times New Roman"/>
          <w:sz w:val="24"/>
          <w:szCs w:val="24"/>
        </w:rPr>
        <w:lastRenderedPageBreak/>
        <w:t>Figure S2a</w:t>
      </w:r>
      <w:r>
        <w:rPr>
          <w:noProof/>
          <w:lang w:val="nl-NL" w:eastAsia="nl-NL"/>
        </w:rPr>
        <w:t xml:space="preserve"> </w:t>
      </w:r>
      <w:r>
        <w:rPr>
          <w:noProof/>
          <w:lang w:val="nl-NL" w:eastAsia="nl-NL"/>
        </w:rPr>
        <w:drawing>
          <wp:inline distT="0" distB="0" distL="0" distR="0" wp14:anchorId="2EFEC100" wp14:editId="7E3ED9D7">
            <wp:extent cx="5715000" cy="3810000"/>
            <wp:effectExtent l="0" t="0" r="0" b="0"/>
            <wp:docPr id="5" name="Picture 5" descr="G:\Marleen_CGN\CIAT\gap-analysis\gap_Lactuca\maxent_modeling\models\Lactuca_salignaISR\crossval\plots\Lactuca_salignaISR_bi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leen_CGN\CIAT\gap-analysis\gap_Lactuca\maxent_modeling\models\Lactuca_salignaISR\crossval\plots\Lactuca_salignaISR_bio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  <w:lang w:val="nl-NL" w:eastAsia="nl-NL"/>
        </w:rPr>
        <w:drawing>
          <wp:inline distT="0" distB="0" distL="0" distR="0" wp14:anchorId="4C37F9D3" wp14:editId="1A780313">
            <wp:extent cx="5715000" cy="3810000"/>
            <wp:effectExtent l="0" t="0" r="0" b="0"/>
            <wp:docPr id="6" name="Picture 6" descr="G:\Marleen_CGN\CIAT\gap-analysis\gap_Lactuca\maxent_modeling\models\Lactuca_saligna\crossval\plots\Lactuca_saligna_bi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arleen_CGN\CIAT\gap-analysis\gap_Lactuca\maxent_modeling\models\Lactuca_saligna\crossval\plots\Lactuca_saligna_bio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Figure S2b</w:t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  <w:lang w:val="nl-NL" w:eastAsia="nl-NL"/>
        </w:rPr>
        <w:drawing>
          <wp:inline distT="0" distB="0" distL="0" distR="0" wp14:anchorId="091AA734" wp14:editId="5E8D2B50">
            <wp:extent cx="5715000" cy="3810000"/>
            <wp:effectExtent l="0" t="0" r="0" b="0"/>
            <wp:docPr id="7" name="Picture 7" descr="G:\Marleen_CGN\CIAT\gap-analysis\gap_Lactuca\maxent_modeling\models\Lactuca_salignaISR\crossval\plots\Lactuca_salignaISR_bio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Marleen_CGN\CIAT\gap-analysis\gap_Lactuca\maxent_modeling\models\Lactuca_salignaISR\crossval\plots\Lactuca_salignaISR_bio_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  <w:lang w:val="nl-NL" w:eastAsia="nl-NL"/>
        </w:rPr>
        <w:drawing>
          <wp:inline distT="0" distB="0" distL="0" distR="0" wp14:anchorId="68C38975" wp14:editId="307D2ED6">
            <wp:extent cx="5715000" cy="3810000"/>
            <wp:effectExtent l="0" t="0" r="0" b="0"/>
            <wp:docPr id="8" name="Picture 8" descr="G:\Marleen_CGN\CIAT\gap-analysis\gap_Lactuca\maxent_modeling\models\Lactuca_saligna\crossval\plots\Lactuca_saligna_bio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Marleen_CGN\CIAT\gap-analysis\gap_Lactuca\maxent_modeling\models\Lactuca_saligna\crossval\plots\Lactuca_saligna_bio_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Figure S2c</w:t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  <w:lang w:val="nl-NL" w:eastAsia="nl-NL"/>
        </w:rPr>
        <w:drawing>
          <wp:inline distT="0" distB="0" distL="0" distR="0" wp14:anchorId="4D7A9FB5" wp14:editId="744DC608">
            <wp:extent cx="5715000" cy="3810000"/>
            <wp:effectExtent l="0" t="0" r="0" b="0"/>
            <wp:docPr id="9" name="Picture 9" descr="G:\Marleen_CGN\CIAT\gap-analysis\gap_Lactuca\maxent_modeling\models\Lactuca_salignaISR\crossval\plots\Lactuca_salignaISR_bio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Marleen_CGN\CIAT\gap-analysis\gap_Lactuca\maxent_modeling\models\Lactuca_salignaISR\crossval\plots\Lactuca_salignaISR_bio_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  <w:lang w:val="nl-NL" w:eastAsia="nl-NL"/>
        </w:rPr>
        <w:drawing>
          <wp:inline distT="0" distB="0" distL="0" distR="0" wp14:anchorId="66B31498" wp14:editId="7F29F670">
            <wp:extent cx="5715000" cy="3810000"/>
            <wp:effectExtent l="0" t="0" r="0" b="0"/>
            <wp:docPr id="10" name="Picture 10" descr="G:\Marleen_CGN\CIAT\gap-analysis\gap_Lactuca\maxent_modeling\models\Lactuca_saligna\crossval\plots\Lactuca_saligna_bio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Marleen_CGN\CIAT\gap-analysis\gap_Lactuca\maxent_modeling\models\Lactuca_saligna\crossval\plots\Lactuca_saligna_bio_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A" w:rsidRDefault="00453DBA" w:rsidP="00453DB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Figure S2d</w:t>
      </w:r>
    </w:p>
    <w:p w:rsidR="00453DBA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  <w:lang w:val="nl-NL" w:eastAsia="nl-NL"/>
        </w:rPr>
        <w:drawing>
          <wp:inline distT="0" distB="0" distL="0" distR="0" wp14:anchorId="07E0241F" wp14:editId="3CD66F6F">
            <wp:extent cx="5715000" cy="3810000"/>
            <wp:effectExtent l="0" t="0" r="0" b="0"/>
            <wp:docPr id="11" name="Picture 11" descr="G:\Marleen_CGN\CIAT\gap-analysis\gap_Lactuca\maxent_modeling\models\Lactuca_salignaISR\crossval\plots\Lactuca_salignaISR_bio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Marleen_CGN\CIAT\gap-analysis\gap_Lactuca\maxent_modeling\models\Lactuca_salignaISR\crossval\plots\Lactuca_salignaISR_bio_1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A" w:rsidRPr="00CE3749" w:rsidRDefault="00453DBA" w:rsidP="00453DB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  <w:lang w:val="nl-NL" w:eastAsia="nl-NL"/>
        </w:rPr>
        <w:drawing>
          <wp:inline distT="0" distB="0" distL="0" distR="0" wp14:anchorId="097DDBAE" wp14:editId="3C615A55">
            <wp:extent cx="5715000" cy="3810000"/>
            <wp:effectExtent l="0" t="0" r="0" b="0"/>
            <wp:docPr id="12" name="Picture 12" descr="G:\Marleen_CGN\CIAT\gap-analysis\gap_Lactuca\maxent_modeling\models\Lactuca_saligna\crossval\plots\Lactuca_saligna_bio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Marleen_CGN\CIAT\gap-analysis\gap_Lactuca\maxent_modeling\models\Lactuca_saligna\crossval\plots\Lactuca_saligna_bio_1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C5" w:rsidRDefault="00F8308C"/>
    <w:sectPr w:rsidR="005857C5" w:rsidSect="00113FCD">
      <w:footerReference w:type="default" r:id="rId19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08C">
      <w:pPr>
        <w:spacing w:after="0" w:line="240" w:lineRule="auto"/>
      </w:pPr>
      <w:r>
        <w:separator/>
      </w:r>
    </w:p>
  </w:endnote>
  <w:endnote w:type="continuationSeparator" w:id="0">
    <w:p w:rsidR="00000000" w:rsidRDefault="00F8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373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4D3" w:rsidRDefault="00453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34D3" w:rsidRDefault="00F83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08C">
      <w:pPr>
        <w:spacing w:after="0" w:line="240" w:lineRule="auto"/>
      </w:pPr>
      <w:r>
        <w:separator/>
      </w:r>
    </w:p>
  </w:footnote>
  <w:footnote w:type="continuationSeparator" w:id="0">
    <w:p w:rsidR="00000000" w:rsidRDefault="00F83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BA"/>
    <w:rsid w:val="000B77B5"/>
    <w:rsid w:val="001A6FA4"/>
    <w:rsid w:val="0023023D"/>
    <w:rsid w:val="00307A2B"/>
    <w:rsid w:val="00453DBA"/>
    <w:rsid w:val="00D162A2"/>
    <w:rsid w:val="00D86AF2"/>
    <w:rsid w:val="00EA6920"/>
    <w:rsid w:val="00F11838"/>
    <w:rsid w:val="00F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BA"/>
    <w:rPr>
      <w:rFonts w:ascii="Verdana" w:hAnsi="Verdana"/>
      <w:sz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BA"/>
    <w:rPr>
      <w:rFonts w:ascii="Verdana" w:hAnsi="Verdana"/>
      <w:sz w:val="17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53DBA"/>
  </w:style>
  <w:style w:type="paragraph" w:styleId="BalloonText">
    <w:name w:val="Balloon Text"/>
    <w:basedOn w:val="Normal"/>
    <w:link w:val="BalloonTextChar"/>
    <w:uiPriority w:val="99"/>
    <w:semiHidden/>
    <w:unhideWhenUsed/>
    <w:rsid w:val="0045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B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BA"/>
    <w:rPr>
      <w:rFonts w:ascii="Verdana" w:hAnsi="Verdana"/>
      <w:sz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BA"/>
    <w:rPr>
      <w:rFonts w:ascii="Verdana" w:hAnsi="Verdana"/>
      <w:sz w:val="17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53DBA"/>
  </w:style>
  <w:style w:type="paragraph" w:styleId="BalloonText">
    <w:name w:val="Balloon Text"/>
    <w:basedOn w:val="Normal"/>
    <w:link w:val="BalloonTextChar"/>
    <w:uiPriority w:val="99"/>
    <w:semiHidden/>
    <w:unhideWhenUsed/>
    <w:rsid w:val="0045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B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NIOO-KNAW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Cobben, Marleen</dc:creator>
  <cp:lastModifiedBy>Cobben, Marleen</cp:lastModifiedBy>
  <cp:revision>4</cp:revision>
  <dcterms:created xsi:type="dcterms:W3CDTF">2014-05-30T08:04:00Z</dcterms:created>
  <dcterms:modified xsi:type="dcterms:W3CDTF">2014-05-30T14:08:00Z</dcterms:modified>
</cp:coreProperties>
</file>