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7D" w:rsidRPr="00A7067D" w:rsidRDefault="00A7067D" w:rsidP="00A7067D">
      <w:pPr>
        <w:spacing w:line="480" w:lineRule="auto"/>
        <w:rPr>
          <w:rFonts w:ascii="Times New Roman" w:hAnsi="Times New Roman" w:cs="Times New Roman"/>
          <w:b/>
          <w:sz w:val="22"/>
          <w:szCs w:val="22"/>
        </w:rPr>
      </w:pPr>
      <w:r w:rsidRPr="00A7067D">
        <w:rPr>
          <w:rFonts w:ascii="Times New Roman" w:hAnsi="Times New Roman" w:cs="Times New Roman"/>
          <w:b/>
          <w:sz w:val="22"/>
          <w:szCs w:val="22"/>
        </w:rPr>
        <w:t>Appendix 1</w:t>
      </w:r>
      <w:r>
        <w:rPr>
          <w:rFonts w:ascii="Times New Roman" w:hAnsi="Times New Roman" w:cs="Times New Roman"/>
          <w:b/>
          <w:sz w:val="22"/>
          <w:szCs w:val="22"/>
        </w:rPr>
        <w:t xml:space="preserve"> – Scenarios</w:t>
      </w:r>
    </w:p>
    <w:p w:rsidR="00A7067D" w:rsidRDefault="00A7067D" w:rsidP="00A7067D">
      <w:pPr>
        <w:spacing w:line="480" w:lineRule="auto"/>
        <w:rPr>
          <w:rFonts w:ascii="Times New Roman" w:hAnsi="Times New Roman" w:cs="Times New Roman"/>
          <w:sz w:val="22"/>
          <w:szCs w:val="22"/>
        </w:rPr>
      </w:pPr>
    </w:p>
    <w:p w:rsidR="00A7067D" w:rsidRDefault="00A7067D" w:rsidP="00A7067D">
      <w:pPr>
        <w:spacing w:line="480" w:lineRule="auto"/>
        <w:ind w:firstLine="720"/>
        <w:rPr>
          <w:rFonts w:ascii="Times New Roman" w:hAnsi="Times New Roman" w:cs="Times New Roman"/>
          <w:sz w:val="22"/>
          <w:szCs w:val="22"/>
        </w:rPr>
      </w:pPr>
      <w:r w:rsidRPr="00313538">
        <w:rPr>
          <w:rFonts w:ascii="Times New Roman" w:hAnsi="Times New Roman" w:cs="Times New Roman"/>
          <w:sz w:val="22"/>
          <w:szCs w:val="22"/>
        </w:rPr>
        <w:t>Scenario 1</w:t>
      </w:r>
      <w:r>
        <w:rPr>
          <w:rFonts w:ascii="Times New Roman" w:hAnsi="Times New Roman" w:cs="Times New Roman"/>
          <w:sz w:val="22"/>
          <w:szCs w:val="22"/>
        </w:rPr>
        <w:t xml:space="preserve"> involved a 25-year-old male patient who was discovered unresponsive by his spouse after an apparent multi-drug overdose. The patient presented in an obtunded state with slow and ineffective respirations and evidence of frank hypoxia (e.g., initial oxygen saturation of 85%). Bag-valve mask ventilation was in progress and was ineffective at achieving ventilation.</w:t>
      </w:r>
    </w:p>
    <w:p w:rsidR="00A7067D" w:rsidRDefault="00A7067D" w:rsidP="00A7067D">
      <w:pPr>
        <w:spacing w:line="480" w:lineRule="auto"/>
        <w:ind w:firstLine="720"/>
        <w:rPr>
          <w:rFonts w:ascii="Times New Roman" w:hAnsi="Times New Roman" w:cs="Times New Roman"/>
          <w:sz w:val="22"/>
          <w:szCs w:val="22"/>
        </w:rPr>
      </w:pPr>
    </w:p>
    <w:p w:rsidR="00A7067D" w:rsidRDefault="00A7067D" w:rsidP="00A7067D">
      <w:pPr>
        <w:spacing w:line="480" w:lineRule="auto"/>
        <w:ind w:firstLine="720"/>
        <w:rPr>
          <w:rFonts w:ascii="Times New Roman" w:hAnsi="Times New Roman" w:cs="Times New Roman"/>
          <w:sz w:val="22"/>
          <w:szCs w:val="22"/>
        </w:rPr>
      </w:pPr>
      <w:r w:rsidRPr="00313538">
        <w:rPr>
          <w:rFonts w:ascii="Times New Roman" w:hAnsi="Times New Roman" w:cs="Times New Roman"/>
          <w:sz w:val="22"/>
          <w:szCs w:val="22"/>
        </w:rPr>
        <w:t>Scenario 2</w:t>
      </w:r>
      <w:r>
        <w:rPr>
          <w:rFonts w:ascii="Times New Roman" w:hAnsi="Times New Roman" w:cs="Times New Roman"/>
          <w:sz w:val="22"/>
          <w:szCs w:val="22"/>
        </w:rPr>
        <w:t xml:space="preserve"> involved a 16-year-old male patient who was discovered unresponsive at the bottom of a residential swimming pool, the victim of an apparent drowning. Bystanders promptly rescued the patient and performed cardiopulmonary resuscitation, achieving a return of spontaneous circulation, thus when the patient was presented to the participants, he was in an unconscious state with ineffective respirations.  </w:t>
      </w:r>
    </w:p>
    <w:p w:rsidR="00A7067D" w:rsidRDefault="00A7067D" w:rsidP="00A7067D">
      <w:pPr>
        <w:spacing w:line="480" w:lineRule="auto"/>
        <w:ind w:firstLine="720"/>
        <w:rPr>
          <w:rFonts w:ascii="Times New Roman" w:hAnsi="Times New Roman" w:cs="Times New Roman"/>
          <w:sz w:val="22"/>
          <w:szCs w:val="22"/>
        </w:rPr>
      </w:pPr>
    </w:p>
    <w:p w:rsidR="00A7067D" w:rsidRDefault="00A7067D" w:rsidP="00A7067D">
      <w:pPr>
        <w:spacing w:line="480" w:lineRule="auto"/>
        <w:rPr>
          <w:rFonts w:ascii="Times New Roman" w:hAnsi="Times New Roman" w:cs="Times New Roman"/>
          <w:sz w:val="22"/>
          <w:szCs w:val="22"/>
        </w:rPr>
      </w:pPr>
      <w:r>
        <w:rPr>
          <w:rFonts w:ascii="Times New Roman" w:hAnsi="Times New Roman" w:cs="Times New Roman"/>
          <w:sz w:val="22"/>
          <w:szCs w:val="22"/>
        </w:rPr>
        <w:t>In both scenarios, the patient’s vital signs were scripted to deteriorate every three minutes until a patent airway was established (i.e., surgical airway in Scenario 1; successful advanced airway placement in Scenario 2). Failure to establish a patent airway by 12 minutes resulted in cardiac arrest. For both scenarios, the participant was informed that they were providing advanced life support “back up” to a basic life support paramedic crew that was already on scene and had loaded the patient into their ambulance. Thus the participant had two paramedics (played by trained student confederates) to assist with patient care. Where elements of the scenario were difficult to simulate, these details were provided to the participant by the confederates (e.g., “there is cyanosis”) who were in contact with members of the research team via radio headset. All scenarios were audio and video recorded from the moment of patient contact until completion (defined as the point at which a patent airway was achieved or 15-minutes had elapsed; whichever occurred first).</w:t>
      </w:r>
    </w:p>
    <w:p w:rsidR="00A7067D" w:rsidRDefault="00A7067D" w:rsidP="00A7067D">
      <w:pPr>
        <w:spacing w:line="480" w:lineRule="auto"/>
        <w:rPr>
          <w:rFonts w:ascii="Times New Roman" w:hAnsi="Times New Roman" w:cs="Times New Roman"/>
          <w:sz w:val="16"/>
          <w:szCs w:val="16"/>
        </w:rPr>
        <w:sectPr w:rsidR="00A7067D" w:rsidSect="00570DDE">
          <w:pgSz w:w="12240" w:h="15840"/>
          <w:pgMar w:top="1440" w:right="1440" w:bottom="1440" w:left="1440" w:header="708" w:footer="708" w:gutter="0"/>
          <w:cols w:space="708"/>
          <w:titlePg/>
          <w:docGrid w:linePitch="360"/>
        </w:sectPr>
      </w:pPr>
    </w:p>
    <w:p w:rsidR="00A7067D" w:rsidRPr="00A7067D" w:rsidRDefault="00A7067D" w:rsidP="00A7067D">
      <w:pPr>
        <w:spacing w:line="480" w:lineRule="auto"/>
        <w:rPr>
          <w:rFonts w:ascii="Times New Roman" w:hAnsi="Times New Roman" w:cs="Times New Roman"/>
          <w:b/>
          <w:sz w:val="22"/>
          <w:szCs w:val="22"/>
        </w:rPr>
      </w:pPr>
      <w:r w:rsidRPr="00A7067D">
        <w:rPr>
          <w:rFonts w:ascii="Times New Roman" w:hAnsi="Times New Roman" w:cs="Times New Roman"/>
          <w:b/>
          <w:sz w:val="22"/>
          <w:szCs w:val="22"/>
        </w:rPr>
        <w:lastRenderedPageBreak/>
        <w:t>Appendix 2 – Global Rating Scale – Front Page</w:t>
      </w:r>
    </w:p>
    <w:p w:rsidR="00A7067D" w:rsidRPr="009D6DD2" w:rsidRDefault="00A7067D" w:rsidP="00A7067D">
      <w:pPr>
        <w:spacing w:line="480" w:lineRule="auto"/>
        <w:rPr>
          <w:rFonts w:ascii="Times New Roman" w:hAnsi="Times New Roman" w:cs="Times New Roman"/>
          <w:sz w:val="22"/>
          <w:szCs w:val="22"/>
        </w:rPr>
      </w:pPr>
      <w:r w:rsidRPr="00981B24">
        <w:rPr>
          <w:rFonts w:ascii="Times New Roman" w:hAnsi="Times New Roman" w:cs="Times New Roman"/>
          <w:noProof/>
          <w:sz w:val="22"/>
          <w:szCs w:val="22"/>
        </w:rPr>
        <w:drawing>
          <wp:anchor distT="0" distB="0" distL="114300" distR="114300" simplePos="0" relativeHeight="251659264" behindDoc="0" locked="0" layoutInCell="1" allowOverlap="1" wp14:anchorId="59D5ED45" wp14:editId="7EFC4A5A">
            <wp:simplePos x="0" y="0"/>
            <wp:positionH relativeFrom="column">
              <wp:posOffset>0</wp:posOffset>
            </wp:positionH>
            <wp:positionV relativeFrom="paragraph">
              <wp:posOffset>67945</wp:posOffset>
            </wp:positionV>
            <wp:extent cx="4800600" cy="7896860"/>
            <wp:effectExtent l="0" t="0" r="0" b="2540"/>
            <wp:wrapTight wrapText="bothSides">
              <wp:wrapPolygon edited="0">
                <wp:start x="0" y="0"/>
                <wp:lineTo x="0" y="21537"/>
                <wp:lineTo x="21486" y="21537"/>
                <wp:lineTo x="21486" y="0"/>
                <wp:lineTo x="0" y="0"/>
              </wp:wrapPolygon>
            </wp:wrapTight>
            <wp:docPr id="1" name="Picture 1" descr="Macintosh HD:Users:justinmausz:Dropbox:Airway Study Folder:Publication:Images:GRS Fron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stinmausz:Dropbox:Airway Study Folder:Publication:Images:GRS Front P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7896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67D" w:rsidRDefault="00A7067D" w:rsidP="00A7067D">
      <w:pPr>
        <w:spacing w:line="480" w:lineRule="auto"/>
        <w:rPr>
          <w:rFonts w:ascii="Times New Roman" w:hAnsi="Times New Roman" w:cs="Times New Roman"/>
          <w:sz w:val="22"/>
          <w:szCs w:val="22"/>
        </w:rPr>
        <w:sectPr w:rsidR="00A7067D" w:rsidSect="00570DDE">
          <w:pgSz w:w="12240" w:h="15840"/>
          <w:pgMar w:top="1440" w:right="1440" w:bottom="1440" w:left="1440" w:header="708" w:footer="708" w:gutter="0"/>
          <w:cols w:space="708"/>
          <w:titlePg/>
          <w:docGrid w:linePitch="360"/>
        </w:sectPr>
      </w:pPr>
    </w:p>
    <w:p w:rsidR="00A7067D" w:rsidRPr="00A7067D" w:rsidRDefault="00A7067D" w:rsidP="00A7067D">
      <w:pPr>
        <w:spacing w:line="480" w:lineRule="auto"/>
        <w:rPr>
          <w:rFonts w:ascii="Times New Roman" w:hAnsi="Times New Roman" w:cs="Times New Roman"/>
          <w:b/>
          <w:sz w:val="22"/>
          <w:szCs w:val="22"/>
        </w:rPr>
      </w:pPr>
      <w:r w:rsidRPr="00A7067D">
        <w:rPr>
          <w:rFonts w:ascii="Times New Roman" w:hAnsi="Times New Roman" w:cs="Times New Roman"/>
          <w:b/>
          <w:sz w:val="22"/>
          <w:szCs w:val="22"/>
        </w:rPr>
        <w:lastRenderedPageBreak/>
        <w:t>Appendix 2 – Global Rating Scale – Back Page</w:t>
      </w:r>
      <w:bookmarkStart w:id="0" w:name="_GoBack"/>
      <w:bookmarkEnd w:id="0"/>
    </w:p>
    <w:p w:rsidR="00A7067D" w:rsidRDefault="00A7067D" w:rsidP="00A7067D">
      <w:pPr>
        <w:spacing w:line="480" w:lineRule="auto"/>
        <w:rPr>
          <w:rFonts w:ascii="Times New Roman" w:hAnsi="Times New Roman" w:cs="Times New Roman"/>
          <w:sz w:val="22"/>
          <w:szCs w:val="22"/>
        </w:rPr>
      </w:pPr>
    </w:p>
    <w:p w:rsidR="00A7067D" w:rsidRDefault="00A7067D" w:rsidP="00A7067D">
      <w:pPr>
        <w:spacing w:line="480" w:lineRule="auto"/>
        <w:rPr>
          <w:rFonts w:ascii="Times New Roman" w:hAnsi="Times New Roman" w:cs="Times New Roman"/>
          <w:sz w:val="22"/>
          <w:szCs w:val="22"/>
        </w:rPr>
      </w:pPr>
      <w:r w:rsidRPr="00981B24">
        <w:rPr>
          <w:rFonts w:ascii="Times New Roman" w:hAnsi="Times New Roman" w:cs="Times New Roman"/>
          <w:noProof/>
          <w:sz w:val="22"/>
          <w:szCs w:val="22"/>
        </w:rPr>
        <w:drawing>
          <wp:anchor distT="0" distB="0" distL="114300" distR="114300" simplePos="0" relativeHeight="251660288" behindDoc="0" locked="0" layoutInCell="1" allowOverlap="1" wp14:anchorId="2FBD5A2E" wp14:editId="0E395761">
            <wp:simplePos x="0" y="0"/>
            <wp:positionH relativeFrom="column">
              <wp:posOffset>461645</wp:posOffset>
            </wp:positionH>
            <wp:positionV relativeFrom="paragraph">
              <wp:posOffset>160655</wp:posOffset>
            </wp:positionV>
            <wp:extent cx="4910455" cy="7933055"/>
            <wp:effectExtent l="0" t="0" r="0" b="0"/>
            <wp:wrapTight wrapText="bothSides">
              <wp:wrapPolygon edited="0">
                <wp:start x="0" y="0"/>
                <wp:lineTo x="0" y="21508"/>
                <wp:lineTo x="21452" y="21508"/>
                <wp:lineTo x="21452" y="0"/>
                <wp:lineTo x="0" y="0"/>
              </wp:wrapPolygon>
            </wp:wrapTight>
            <wp:docPr id="2" name="Picture 2" descr="Macintosh HD:Users:justinmausz:Dropbox:Airway Study Folder:Publication:Images:GRS Back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stinmausz:Dropbox:Airway Study Folder:Publication:Images:GRS Back P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0455" cy="793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67D" w:rsidRDefault="00A7067D" w:rsidP="00A7067D">
      <w:pPr>
        <w:spacing w:line="480" w:lineRule="auto"/>
        <w:ind w:firstLine="720"/>
        <w:rPr>
          <w:rFonts w:ascii="Times New Roman" w:hAnsi="Times New Roman" w:cs="Times New Roman"/>
          <w:sz w:val="22"/>
          <w:szCs w:val="22"/>
        </w:rPr>
        <w:sectPr w:rsidR="00A7067D" w:rsidSect="00570DDE">
          <w:pgSz w:w="12240" w:h="15840"/>
          <w:pgMar w:top="1440" w:right="1440" w:bottom="1440" w:left="1440" w:header="708" w:footer="708" w:gutter="0"/>
          <w:cols w:space="708"/>
          <w:titlePg/>
          <w:docGrid w:linePitch="360"/>
        </w:sectPr>
      </w:pPr>
    </w:p>
    <w:p w:rsidR="00A7067D" w:rsidRPr="00A7067D" w:rsidRDefault="00A7067D" w:rsidP="00A7067D">
      <w:pPr>
        <w:spacing w:line="480" w:lineRule="auto"/>
        <w:rPr>
          <w:rFonts w:ascii="Times New Roman" w:hAnsi="Times New Roman" w:cs="Times New Roman"/>
          <w:b/>
          <w:sz w:val="22"/>
          <w:szCs w:val="22"/>
        </w:rPr>
      </w:pPr>
      <w:r w:rsidRPr="00A7067D">
        <w:rPr>
          <w:rFonts w:ascii="Times New Roman" w:hAnsi="Times New Roman" w:cs="Times New Roman"/>
          <w:b/>
          <w:sz w:val="22"/>
          <w:szCs w:val="22"/>
        </w:rPr>
        <w:lastRenderedPageBreak/>
        <w:t>Appendix 3 – Scenario Content Validity Check</w:t>
      </w:r>
    </w:p>
    <w:p w:rsidR="00A7067D" w:rsidRDefault="00A7067D" w:rsidP="00A7067D">
      <w:pPr>
        <w:spacing w:line="480" w:lineRule="auto"/>
        <w:ind w:firstLine="720"/>
        <w:rPr>
          <w:rFonts w:ascii="Times New Roman" w:hAnsi="Times New Roman" w:cs="Times New Roman"/>
          <w:sz w:val="22"/>
          <w:szCs w:val="22"/>
        </w:rPr>
      </w:pPr>
    </w:p>
    <w:p w:rsidR="00A7067D" w:rsidRPr="00362AAB" w:rsidRDefault="00A7067D" w:rsidP="00A7067D">
      <w:pPr>
        <w:spacing w:line="480" w:lineRule="auto"/>
        <w:ind w:firstLine="720"/>
        <w:rPr>
          <w:rFonts w:ascii="Times New Roman" w:hAnsi="Times New Roman" w:cs="Times New Roman"/>
          <w:sz w:val="22"/>
          <w:szCs w:val="22"/>
        </w:rPr>
      </w:pPr>
      <w:r w:rsidRPr="00C95811">
        <w:rPr>
          <w:rFonts w:ascii="Times New Roman" w:hAnsi="Times New Roman" w:cs="Times New Roman"/>
        </w:rPr>
        <w:t xml:space="preserve">As a manipulation check, we evaluated whether the cases we created differed in difficulty and whether we had achieved a reasonable degree of realism to promote internal and external validity. A paired sample </w:t>
      </w:r>
      <w:r w:rsidRPr="00313538">
        <w:rPr>
          <w:rFonts w:ascii="Times New Roman" w:hAnsi="Times New Roman" w:cs="Times New Roman"/>
          <w:i/>
        </w:rPr>
        <w:t>t</w:t>
      </w:r>
      <w:r w:rsidRPr="00C95811">
        <w:rPr>
          <w:rFonts w:ascii="Times New Roman" w:hAnsi="Times New Roman" w:cs="Times New Roman"/>
        </w:rPr>
        <w:t>-test</w:t>
      </w:r>
      <w:r w:rsidRPr="00C95811">
        <w:rPr>
          <w:rFonts w:ascii="Times New Roman" w:hAnsi="Times New Roman" w:cs="Times New Roman"/>
          <w:color w:val="FF0000"/>
        </w:rPr>
        <w:t xml:space="preserve"> </w:t>
      </w:r>
      <w:r w:rsidRPr="00C95811">
        <w:rPr>
          <w:rFonts w:ascii="Times New Roman" w:hAnsi="Times New Roman" w:cs="Times New Roman"/>
        </w:rPr>
        <w:t xml:space="preserve">revealed significantly lower mean GRS scores for </w:t>
      </w:r>
      <w:r w:rsidRPr="00313538">
        <w:rPr>
          <w:rFonts w:ascii="Times New Roman" w:hAnsi="Times New Roman" w:cs="Times New Roman"/>
        </w:rPr>
        <w:t>Scenario 1</w:t>
      </w:r>
      <w:r w:rsidRPr="00C95811">
        <w:rPr>
          <w:rFonts w:ascii="Times New Roman" w:hAnsi="Times New Roman" w:cs="Times New Roman"/>
        </w:rPr>
        <w:t xml:space="preserve"> compared to </w:t>
      </w:r>
      <w:r w:rsidRPr="00313538">
        <w:rPr>
          <w:rFonts w:ascii="Times New Roman" w:hAnsi="Times New Roman" w:cs="Times New Roman"/>
        </w:rPr>
        <w:t>Scenario 2</w:t>
      </w:r>
      <w:r w:rsidRPr="00C95811">
        <w:rPr>
          <w:rFonts w:ascii="Times New Roman" w:hAnsi="Times New Roman" w:cs="Times New Roman"/>
        </w:rPr>
        <w:t xml:space="preserve"> (</w:t>
      </w:r>
      <w:r>
        <w:rPr>
          <w:rFonts w:ascii="Times New Roman" w:hAnsi="Times New Roman" w:cs="Times New Roman"/>
        </w:rPr>
        <w:t>m</w:t>
      </w:r>
      <w:r w:rsidRPr="00C95811">
        <w:rPr>
          <w:rFonts w:ascii="Times New Roman" w:hAnsi="Times New Roman" w:cs="Times New Roman"/>
        </w:rPr>
        <w:t>ean (SD) = 4.2 (</w:t>
      </w:r>
      <w:r>
        <w:rPr>
          <w:rFonts w:ascii="Times New Roman" w:hAnsi="Times New Roman" w:cs="Times New Roman"/>
        </w:rPr>
        <w:t>1.01</w:t>
      </w:r>
      <w:r w:rsidRPr="00C95811">
        <w:rPr>
          <w:rFonts w:ascii="Times New Roman" w:hAnsi="Times New Roman" w:cs="Times New Roman"/>
        </w:rPr>
        <w:t>) v. 4.9 (</w:t>
      </w:r>
      <w:r>
        <w:rPr>
          <w:rFonts w:ascii="Times New Roman" w:hAnsi="Times New Roman" w:cs="Times New Roman"/>
        </w:rPr>
        <w:t>1.22</w:t>
      </w:r>
      <w:r w:rsidRPr="00C95811">
        <w:rPr>
          <w:rFonts w:ascii="Times New Roman" w:hAnsi="Times New Roman" w:cs="Times New Roman"/>
        </w:rPr>
        <w:t xml:space="preserve">) respectively; </w:t>
      </w:r>
      <w:r w:rsidRPr="00C95811">
        <w:rPr>
          <w:rFonts w:ascii="Times New Roman" w:hAnsi="Times New Roman" w:cs="Times New Roman"/>
          <w:i/>
        </w:rPr>
        <w:t>t</w:t>
      </w:r>
      <w:r w:rsidRPr="00C95811">
        <w:rPr>
          <w:rFonts w:ascii="Times New Roman" w:hAnsi="Times New Roman" w:cs="Times New Roman"/>
        </w:rPr>
        <w:t>(29)</w:t>
      </w:r>
      <w:r>
        <w:rPr>
          <w:rFonts w:ascii="Times New Roman" w:hAnsi="Times New Roman" w:cs="Times New Roman"/>
        </w:rPr>
        <w:t xml:space="preserve"> </w:t>
      </w:r>
      <w:r w:rsidRPr="00C95811">
        <w:rPr>
          <w:rFonts w:ascii="Times New Roman" w:hAnsi="Times New Roman" w:cs="Times New Roman"/>
        </w:rPr>
        <w:t>=</w:t>
      </w:r>
      <w:r>
        <w:rPr>
          <w:rFonts w:ascii="Times New Roman" w:hAnsi="Times New Roman" w:cs="Times New Roman"/>
        </w:rPr>
        <w:t xml:space="preserve"> </w:t>
      </w:r>
      <w:r w:rsidRPr="00C95811">
        <w:rPr>
          <w:rFonts w:ascii="Times New Roman" w:hAnsi="Times New Roman" w:cs="Times New Roman"/>
        </w:rPr>
        <w:t xml:space="preserve">2.9, </w:t>
      </w:r>
      <w:r w:rsidRPr="00C95811">
        <w:rPr>
          <w:rFonts w:ascii="Times New Roman" w:hAnsi="Times New Roman" w:cs="Times New Roman"/>
          <w:i/>
        </w:rPr>
        <w:t>p</w:t>
      </w:r>
      <w:r>
        <w:rPr>
          <w:rFonts w:ascii="Times New Roman" w:hAnsi="Times New Roman" w:cs="Times New Roman"/>
          <w:i/>
        </w:rPr>
        <w:t xml:space="preserve"> </w:t>
      </w:r>
      <w:r w:rsidRPr="00C95811">
        <w:rPr>
          <w:rFonts w:ascii="Times New Roman" w:hAnsi="Times New Roman" w:cs="Times New Roman"/>
        </w:rPr>
        <w:t>=</w:t>
      </w:r>
      <w:r>
        <w:rPr>
          <w:rFonts w:ascii="Times New Roman" w:hAnsi="Times New Roman" w:cs="Times New Roman"/>
        </w:rPr>
        <w:t xml:space="preserve"> 0</w:t>
      </w:r>
      <w:r w:rsidRPr="00C95811">
        <w:rPr>
          <w:rFonts w:ascii="Times New Roman" w:hAnsi="Times New Roman" w:cs="Times New Roman"/>
        </w:rPr>
        <w:t>.007</w:t>
      </w:r>
      <w:r>
        <w:rPr>
          <w:rFonts w:ascii="Times New Roman" w:hAnsi="Times New Roman" w:cs="Times New Roman"/>
        </w:rPr>
        <w:t>, d = 0.53</w:t>
      </w:r>
      <w:r w:rsidRPr="00C95811">
        <w:rPr>
          <w:rFonts w:ascii="Times New Roman" w:hAnsi="Times New Roman" w:cs="Times New Roman"/>
        </w:rPr>
        <w:t xml:space="preserve">). Similarly, </w:t>
      </w:r>
      <w:r>
        <w:rPr>
          <w:rFonts w:ascii="Times New Roman" w:hAnsi="Times New Roman" w:cs="Times New Roman"/>
        </w:rPr>
        <w:t xml:space="preserve">more errors were committee in </w:t>
      </w:r>
      <w:r w:rsidRPr="00313538">
        <w:rPr>
          <w:rFonts w:ascii="Times New Roman" w:hAnsi="Times New Roman" w:cs="Times New Roman"/>
        </w:rPr>
        <w:t>Scenario 1</w:t>
      </w:r>
      <w:r w:rsidRPr="00C95811">
        <w:rPr>
          <w:rFonts w:ascii="Times New Roman" w:hAnsi="Times New Roman" w:cs="Times New Roman"/>
        </w:rPr>
        <w:t xml:space="preserve"> compared to </w:t>
      </w:r>
      <w:r w:rsidRPr="00313538">
        <w:rPr>
          <w:rFonts w:ascii="Times New Roman" w:hAnsi="Times New Roman" w:cs="Times New Roman"/>
        </w:rPr>
        <w:t>Scenario 2</w:t>
      </w:r>
      <w:r w:rsidRPr="00C95811">
        <w:rPr>
          <w:rFonts w:ascii="Times New Roman" w:hAnsi="Times New Roman" w:cs="Times New Roman"/>
        </w:rPr>
        <w:t xml:space="preserve"> (</w:t>
      </w:r>
      <w:r>
        <w:rPr>
          <w:rFonts w:ascii="Times New Roman" w:hAnsi="Times New Roman" w:cs="Times New Roman"/>
        </w:rPr>
        <w:t>m</w:t>
      </w:r>
      <w:r w:rsidRPr="00C95811">
        <w:rPr>
          <w:rFonts w:ascii="Times New Roman" w:hAnsi="Times New Roman" w:cs="Times New Roman"/>
        </w:rPr>
        <w:t>ean (SD)</w:t>
      </w:r>
      <w:r>
        <w:rPr>
          <w:rFonts w:ascii="Times New Roman" w:hAnsi="Times New Roman" w:cs="Times New Roman"/>
        </w:rPr>
        <w:t xml:space="preserve"> = 5.7</w:t>
      </w:r>
      <w:r w:rsidRPr="00C95811">
        <w:rPr>
          <w:rFonts w:ascii="Times New Roman" w:hAnsi="Times New Roman" w:cs="Times New Roman"/>
        </w:rPr>
        <w:t xml:space="preserve"> (</w:t>
      </w:r>
      <w:r>
        <w:rPr>
          <w:rFonts w:ascii="Times New Roman" w:hAnsi="Times New Roman" w:cs="Times New Roman"/>
        </w:rPr>
        <w:t>2.56) v. 2</w:t>
      </w:r>
      <w:r w:rsidRPr="00C95811">
        <w:rPr>
          <w:rFonts w:ascii="Times New Roman" w:hAnsi="Times New Roman" w:cs="Times New Roman"/>
        </w:rPr>
        <w:t>.9 (</w:t>
      </w:r>
      <w:r>
        <w:rPr>
          <w:rFonts w:ascii="Times New Roman" w:hAnsi="Times New Roman" w:cs="Times New Roman"/>
        </w:rPr>
        <w:t>2.18</w:t>
      </w:r>
      <w:r w:rsidRPr="00C95811">
        <w:rPr>
          <w:rFonts w:ascii="Times New Roman" w:hAnsi="Times New Roman" w:cs="Times New Roman"/>
        </w:rPr>
        <w:t xml:space="preserve">) respectively; </w:t>
      </w:r>
      <w:proofErr w:type="gramStart"/>
      <w:r w:rsidRPr="00C95811">
        <w:rPr>
          <w:rFonts w:ascii="Times New Roman" w:hAnsi="Times New Roman" w:cs="Times New Roman"/>
          <w:i/>
        </w:rPr>
        <w:t>t</w:t>
      </w:r>
      <w:r>
        <w:rPr>
          <w:rFonts w:ascii="Times New Roman" w:hAnsi="Times New Roman" w:cs="Times New Roman"/>
        </w:rPr>
        <w:t>(</w:t>
      </w:r>
      <w:proofErr w:type="gramEnd"/>
      <w:r>
        <w:rPr>
          <w:rFonts w:ascii="Times New Roman" w:hAnsi="Times New Roman" w:cs="Times New Roman"/>
        </w:rPr>
        <w:t>29) = 5.7</w:t>
      </w:r>
      <w:r w:rsidRPr="00C95811">
        <w:rPr>
          <w:rFonts w:ascii="Times New Roman" w:hAnsi="Times New Roman" w:cs="Times New Roman"/>
        </w:rPr>
        <w:t xml:space="preserve">, </w:t>
      </w:r>
      <w:r w:rsidRPr="00C95811">
        <w:rPr>
          <w:rFonts w:ascii="Times New Roman" w:hAnsi="Times New Roman" w:cs="Times New Roman"/>
          <w:i/>
        </w:rPr>
        <w:t>p</w:t>
      </w:r>
      <w:r>
        <w:rPr>
          <w:rFonts w:ascii="Times New Roman" w:hAnsi="Times New Roman" w:cs="Times New Roman"/>
          <w:i/>
        </w:rPr>
        <w:t xml:space="preserve"> </w:t>
      </w:r>
      <w:r>
        <w:rPr>
          <w:rFonts w:ascii="Times New Roman" w:hAnsi="Times New Roman" w:cs="Times New Roman"/>
        </w:rPr>
        <w:t>&lt; 0.001, d = 1.1</w:t>
      </w:r>
      <w:r w:rsidRPr="00C95811">
        <w:rPr>
          <w:rFonts w:ascii="Times New Roman" w:hAnsi="Times New Roman" w:cs="Times New Roman"/>
        </w:rPr>
        <w:t>).</w:t>
      </w:r>
      <w:r>
        <w:rPr>
          <w:rFonts w:ascii="Times New Roman" w:hAnsi="Times New Roman" w:cs="Times New Roman"/>
        </w:rPr>
        <w:t xml:space="preserve"> And finally, </w:t>
      </w:r>
      <w:r w:rsidRPr="00C95811">
        <w:rPr>
          <w:rFonts w:ascii="Times New Roman" w:hAnsi="Times New Roman" w:cs="Times New Roman"/>
        </w:rPr>
        <w:t>the time to achieve effective ventilation was longer for</w:t>
      </w:r>
      <w:r>
        <w:rPr>
          <w:rFonts w:ascii="Times New Roman" w:hAnsi="Times New Roman" w:cs="Times New Roman"/>
        </w:rPr>
        <w:t xml:space="preserve"> </w:t>
      </w:r>
      <w:r w:rsidRPr="00313538">
        <w:rPr>
          <w:rFonts w:ascii="Times New Roman" w:hAnsi="Times New Roman" w:cs="Times New Roman"/>
        </w:rPr>
        <w:t>Scenario 1</w:t>
      </w:r>
      <w:r w:rsidRPr="00C95811">
        <w:rPr>
          <w:rFonts w:ascii="Times New Roman" w:hAnsi="Times New Roman" w:cs="Times New Roman"/>
        </w:rPr>
        <w:t xml:space="preserve"> (</w:t>
      </w:r>
      <w:r>
        <w:rPr>
          <w:rFonts w:ascii="Times New Roman" w:hAnsi="Times New Roman" w:cs="Times New Roman"/>
        </w:rPr>
        <w:t>m</w:t>
      </w:r>
      <w:r w:rsidRPr="00C95811">
        <w:rPr>
          <w:rFonts w:ascii="Times New Roman" w:hAnsi="Times New Roman" w:cs="Times New Roman"/>
        </w:rPr>
        <w:t xml:space="preserve">ean (SD) = 11:55 (3:47) minutes v. 6:58 (3:03); </w:t>
      </w:r>
      <w:proofErr w:type="gramStart"/>
      <w:r w:rsidRPr="00C95811">
        <w:rPr>
          <w:rFonts w:ascii="Times New Roman" w:hAnsi="Times New Roman" w:cs="Times New Roman"/>
          <w:i/>
        </w:rPr>
        <w:t>t</w:t>
      </w:r>
      <w:r w:rsidRPr="00C95811">
        <w:rPr>
          <w:rFonts w:ascii="Times New Roman" w:hAnsi="Times New Roman" w:cs="Times New Roman"/>
        </w:rPr>
        <w:t>(</w:t>
      </w:r>
      <w:proofErr w:type="gramEnd"/>
      <w:r w:rsidRPr="00C95811">
        <w:rPr>
          <w:rFonts w:ascii="Times New Roman" w:hAnsi="Times New Roman" w:cs="Times New Roman"/>
        </w:rPr>
        <w:t xml:space="preserve">29)=6.76, </w:t>
      </w:r>
      <w:r w:rsidRPr="00C95811">
        <w:rPr>
          <w:rFonts w:ascii="Times New Roman" w:hAnsi="Times New Roman" w:cs="Times New Roman"/>
          <w:i/>
        </w:rPr>
        <w:t>p</w:t>
      </w:r>
      <w:r w:rsidRPr="00C95811">
        <w:rPr>
          <w:rFonts w:ascii="Times New Roman" w:hAnsi="Times New Roman" w:cs="Times New Roman"/>
        </w:rPr>
        <w:t>&lt;.001</w:t>
      </w:r>
      <w:r>
        <w:rPr>
          <w:rFonts w:ascii="Times New Roman" w:hAnsi="Times New Roman" w:cs="Times New Roman"/>
        </w:rPr>
        <w:t>, d=1.30</w:t>
      </w:r>
      <w:r w:rsidRPr="00C95811">
        <w:rPr>
          <w:rFonts w:ascii="Times New Roman" w:hAnsi="Times New Roman" w:cs="Times New Roman"/>
        </w:rPr>
        <w:t xml:space="preserve">).  These data confirmed that, as expected, the </w:t>
      </w:r>
      <w:r>
        <w:rPr>
          <w:rFonts w:ascii="Times New Roman" w:hAnsi="Times New Roman" w:cs="Times New Roman"/>
        </w:rPr>
        <w:t>“</w:t>
      </w:r>
      <w:r w:rsidRPr="00313538">
        <w:rPr>
          <w:rFonts w:ascii="Times New Roman" w:hAnsi="Times New Roman" w:cs="Times New Roman"/>
        </w:rPr>
        <w:t>can’t intubate, can’t ventilate</w:t>
      </w:r>
      <w:r>
        <w:rPr>
          <w:rFonts w:ascii="Times New Roman" w:hAnsi="Times New Roman" w:cs="Times New Roman"/>
        </w:rPr>
        <w:t>”</w:t>
      </w:r>
      <w:r w:rsidRPr="00F436D1">
        <w:rPr>
          <w:rFonts w:ascii="Times New Roman" w:hAnsi="Times New Roman" w:cs="Times New Roman"/>
        </w:rPr>
        <w:t xml:space="preserve"> s</w:t>
      </w:r>
      <w:r w:rsidRPr="00C95811">
        <w:rPr>
          <w:rFonts w:ascii="Times New Roman" w:hAnsi="Times New Roman" w:cs="Times New Roman"/>
        </w:rPr>
        <w:t xml:space="preserve">cenario was more challenging than the scenario in which intubation was possible.   To assess the perceived realism of the simulations, we asked each participant to complete a questionnaire rating the realism on a </w:t>
      </w:r>
      <w:r>
        <w:rPr>
          <w:rFonts w:ascii="Times New Roman" w:hAnsi="Times New Roman" w:cs="Times New Roman"/>
        </w:rPr>
        <w:t>5-</w:t>
      </w:r>
      <w:r w:rsidRPr="00C95811">
        <w:rPr>
          <w:rFonts w:ascii="Times New Roman" w:hAnsi="Times New Roman" w:cs="Times New Roman"/>
        </w:rPr>
        <w:t xml:space="preserve">point Likert scale (1 = not at all realistic; 5 = highly realistic). The average score for </w:t>
      </w:r>
      <w:r>
        <w:rPr>
          <w:rFonts w:ascii="Times New Roman" w:hAnsi="Times New Roman" w:cs="Times New Roman"/>
        </w:rPr>
        <w:t>S</w:t>
      </w:r>
      <w:r w:rsidRPr="00C95811">
        <w:rPr>
          <w:rFonts w:ascii="Times New Roman" w:hAnsi="Times New Roman" w:cs="Times New Roman"/>
        </w:rPr>
        <w:t xml:space="preserve">cenario 1 was 4.0 (SD = 0.74) and the average score for </w:t>
      </w:r>
      <w:r>
        <w:rPr>
          <w:rFonts w:ascii="Times New Roman" w:hAnsi="Times New Roman" w:cs="Times New Roman"/>
        </w:rPr>
        <w:t>S</w:t>
      </w:r>
      <w:r w:rsidRPr="00C95811">
        <w:rPr>
          <w:rFonts w:ascii="Times New Roman" w:hAnsi="Times New Roman" w:cs="Times New Roman"/>
        </w:rPr>
        <w:t xml:space="preserve">cenario 2 was 4.5 (SD = 0.74), leading us to believe that the scenarios conveyed a high degree of physical, conceptual and emotional realism.  </w:t>
      </w:r>
    </w:p>
    <w:p w:rsidR="00B05E62" w:rsidRDefault="00B05E62"/>
    <w:sectPr w:rsidR="00B05E62" w:rsidSect="00570DDE">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7D"/>
    <w:rsid w:val="00A7067D"/>
    <w:rsid w:val="00B0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2016-08-31T20:12:00Z</dcterms:created>
  <dcterms:modified xsi:type="dcterms:W3CDTF">2016-08-31T20:13:00Z</dcterms:modified>
</cp:coreProperties>
</file>