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FED58" w14:textId="77777777" w:rsidR="005C206B" w:rsidRDefault="005C206B" w:rsidP="005C20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bdr w:val="none" w:sz="0" w:space="0" w:color="auto"/>
          <w:lang w:val="en-CA" w:eastAsia="en-CA"/>
        </w:rPr>
      </w:pPr>
      <w:r>
        <w:rPr>
          <w:rFonts w:eastAsia="Times New Roman"/>
          <w:color w:val="000000"/>
          <w:bdr w:val="none" w:sz="0" w:space="0" w:color="auto"/>
          <w:lang w:val="en-CA" w:eastAsia="en-CA"/>
        </w:rPr>
        <w:t>APPENDIX 1</w:t>
      </w:r>
    </w:p>
    <w:p w14:paraId="3030F82D" w14:textId="77777777" w:rsidR="005C206B" w:rsidRDefault="005C206B" w:rsidP="005C20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bdr w:val="none" w:sz="0" w:space="0" w:color="auto"/>
          <w:lang w:val="en-CA" w:eastAsia="en-CA"/>
        </w:rPr>
      </w:pPr>
    </w:p>
    <w:p w14:paraId="61AD9A75" w14:textId="77777777" w:rsidR="005C206B" w:rsidRDefault="005C206B" w:rsidP="005C20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bdr w:val="none" w:sz="0" w:space="0" w:color="auto"/>
          <w:lang w:val="en-CA" w:eastAsia="en-CA"/>
        </w:rPr>
      </w:pPr>
      <w:r>
        <w:rPr>
          <w:rFonts w:eastAsia="Times New Roman"/>
          <w:color w:val="000000"/>
          <w:bdr w:val="none" w:sz="0" w:space="0" w:color="auto"/>
          <w:lang w:val="en-CA" w:eastAsia="en-CA"/>
        </w:rPr>
        <w:t>Figure 1: Flow diagram</w:t>
      </w:r>
    </w:p>
    <w:p w14:paraId="5C0B589D" w14:textId="77777777" w:rsidR="005C206B" w:rsidRPr="00781347" w:rsidRDefault="005C206B" w:rsidP="005C20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bdr w:val="none" w:sz="0" w:space="0" w:color="auto"/>
          <w:lang w:val="en-CA" w:eastAsia="en-CA"/>
        </w:rPr>
      </w:pPr>
      <w:r>
        <w:rPr>
          <w:rFonts w:eastAsia="Times New Roman"/>
          <w:noProof/>
          <w:color w:val="000000"/>
          <w:bdr w:val="none" w:sz="0" w:space="0" w:color="auto"/>
        </w:rPr>
        <w:drawing>
          <wp:inline distT="0" distB="0" distL="0" distR="0" wp14:anchorId="045B6A2D" wp14:editId="4204EAE8">
            <wp:extent cx="1683945" cy="2571185"/>
            <wp:effectExtent l="0" t="0" r="0" b="1968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r w:rsidRPr="00781347">
        <w:rPr>
          <w:rFonts w:eastAsia="Times New Roman"/>
          <w:color w:val="000000"/>
          <w:bdr w:val="none" w:sz="0" w:space="0" w:color="auto"/>
          <w:lang w:val="en-CA" w:eastAsia="en-CA"/>
        </w:rPr>
        <w:t xml:space="preserve"> </w:t>
      </w:r>
    </w:p>
    <w:p w14:paraId="3A535E45" w14:textId="77777777" w:rsidR="005C206B" w:rsidRDefault="005C206B" w:rsidP="005C206B">
      <w:pPr>
        <w:ind w:hanging="284"/>
        <w:rPr>
          <w:rFonts w:eastAsia="Times New Roman"/>
          <w:b/>
          <w:bCs/>
          <w:color w:val="000000"/>
          <w:u w:color="000000"/>
          <w:lang w:val="en-CA"/>
        </w:rPr>
      </w:pPr>
    </w:p>
    <w:p w14:paraId="2B5451BD" w14:textId="77777777" w:rsidR="005C206B" w:rsidRDefault="005C206B" w:rsidP="005C206B">
      <w:pPr>
        <w:rPr>
          <w:rFonts w:eastAsia="Times New Roman"/>
          <w:b/>
          <w:bCs/>
          <w:color w:val="000000"/>
          <w:u w:color="000000"/>
          <w:lang w:val="en-CA"/>
        </w:rPr>
      </w:pPr>
      <w:r>
        <w:rPr>
          <w:rFonts w:eastAsia="Times New Roman"/>
          <w:b/>
          <w:bCs/>
          <w:color w:val="000000"/>
          <w:u w:color="000000"/>
          <w:lang w:val="en-CA"/>
        </w:rPr>
        <w:br w:type="page"/>
      </w:r>
    </w:p>
    <w:p w14:paraId="5CD07CE0" w14:textId="77777777" w:rsidR="005C206B" w:rsidRDefault="005C206B" w:rsidP="005C206B">
      <w:pPr>
        <w:rPr>
          <w:rFonts w:eastAsia="Times New Roman"/>
          <w:color w:val="000000"/>
          <w:lang w:val="en-CA"/>
        </w:rPr>
      </w:pPr>
      <w:r>
        <w:rPr>
          <w:rFonts w:eastAsia="Times New Roman"/>
          <w:color w:val="000000"/>
          <w:lang w:val="en-CA"/>
        </w:rPr>
        <w:lastRenderedPageBreak/>
        <w:t xml:space="preserve">APPENDIX 2 </w:t>
      </w:r>
    </w:p>
    <w:p w14:paraId="45538693" w14:textId="77777777" w:rsidR="005C206B" w:rsidRDefault="005C206B" w:rsidP="005C206B">
      <w:pPr>
        <w:rPr>
          <w:rFonts w:eastAsia="Times New Roman"/>
          <w:color w:val="000000"/>
          <w:lang w:val="en-CA"/>
        </w:rPr>
      </w:pPr>
    </w:p>
    <w:p w14:paraId="305E9024" w14:textId="77777777" w:rsidR="005C206B" w:rsidRDefault="005C206B" w:rsidP="005C206B">
      <w:pPr>
        <w:rPr>
          <w:rFonts w:eastAsia="Times New Roman"/>
          <w:color w:val="000000"/>
          <w:lang w:val="en-CA"/>
        </w:rPr>
      </w:pPr>
      <w:r>
        <w:rPr>
          <w:rFonts w:eastAsia="Times New Roman"/>
          <w:color w:val="000000"/>
          <w:lang w:val="en-CA"/>
        </w:rPr>
        <w:t>The Zurich Consensus Statement Concussion Definition &lt;1&gt;:</w:t>
      </w:r>
    </w:p>
    <w:p w14:paraId="36CC8DA5" w14:textId="77777777" w:rsidR="005C206B" w:rsidRDefault="005C206B" w:rsidP="005C20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r w:rsidRPr="00A1468B">
        <w:rPr>
          <w:rFonts w:eastAsia="Times New Roman"/>
          <w:bdr w:val="none" w:sz="0" w:space="0" w:color="auto"/>
        </w:rPr>
        <w:t xml:space="preserve">Sport related concussion is a traumatic brain injury induced by biomechanical forces. Several common features that may be </w:t>
      </w:r>
      <w:proofErr w:type="spellStart"/>
      <w:r w:rsidRPr="00A1468B">
        <w:rPr>
          <w:rFonts w:eastAsia="Times New Roman"/>
          <w:bdr w:val="none" w:sz="0" w:space="0" w:color="auto"/>
        </w:rPr>
        <w:t>utilised</w:t>
      </w:r>
      <w:proofErr w:type="spellEnd"/>
      <w:r w:rsidRPr="00A1468B">
        <w:rPr>
          <w:rFonts w:eastAsia="Times New Roman"/>
          <w:bdr w:val="none" w:sz="0" w:space="0" w:color="auto"/>
        </w:rPr>
        <w:t xml:space="preserve"> in clinically defining the nature of a concussive head injury include: </w:t>
      </w:r>
    </w:p>
    <w:p w14:paraId="6062C13D" w14:textId="77777777" w:rsidR="005C206B" w:rsidRPr="008F17BE" w:rsidRDefault="005C206B" w:rsidP="005C206B">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r w:rsidRPr="008F17BE">
        <w:rPr>
          <w:rFonts w:eastAsia="Times New Roman"/>
          <w:bdr w:val="none" w:sz="0" w:space="0" w:color="auto"/>
        </w:rPr>
        <w:t xml:space="preserve">SRC may be caused either by a direct blow to the head, face, neck or elsewhere on the body with an impulsive force transmitted to the head. </w:t>
      </w:r>
    </w:p>
    <w:p w14:paraId="479C3A3E" w14:textId="77777777" w:rsidR="005C206B" w:rsidRPr="008F17BE" w:rsidRDefault="005C206B" w:rsidP="005C206B">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r w:rsidRPr="008F17BE">
        <w:rPr>
          <w:rFonts w:eastAsia="Times New Roman"/>
          <w:bdr w:val="none" w:sz="0" w:space="0" w:color="auto"/>
        </w:rPr>
        <w:t xml:space="preserve">SRC typically results in the rapid onset of short-lived impairment of neurological function that resolves spontaneously. However, in some cases, signs and symptoms evolve over </w:t>
      </w:r>
      <w:proofErr w:type="gramStart"/>
      <w:r w:rsidRPr="008F17BE">
        <w:rPr>
          <w:rFonts w:eastAsia="Times New Roman"/>
          <w:bdr w:val="none" w:sz="0" w:space="0" w:color="auto"/>
        </w:rPr>
        <w:t>a number of</w:t>
      </w:r>
      <w:proofErr w:type="gramEnd"/>
      <w:r w:rsidRPr="008F17BE">
        <w:rPr>
          <w:rFonts w:eastAsia="Times New Roman"/>
          <w:bdr w:val="none" w:sz="0" w:space="0" w:color="auto"/>
        </w:rPr>
        <w:t xml:space="preserve"> minutes to hours. </w:t>
      </w:r>
    </w:p>
    <w:p w14:paraId="4F734ABE" w14:textId="77777777" w:rsidR="005C206B" w:rsidRPr="008F17BE" w:rsidRDefault="005C206B" w:rsidP="005C206B">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r w:rsidRPr="008F17BE">
        <w:rPr>
          <w:rFonts w:eastAsia="Times New Roman"/>
          <w:bdr w:val="none" w:sz="0" w:space="0" w:color="auto"/>
        </w:rPr>
        <w:t xml:space="preserve">SRC may result in neuropathological changes, but the acute clinical signs and symptoms largely reflect a functional disturbance rather than a structural injury and, as such, no abnormality is seen on standard structural neuroimaging studies. </w:t>
      </w:r>
    </w:p>
    <w:p w14:paraId="15073C49" w14:textId="77777777" w:rsidR="005C206B" w:rsidRPr="008F17BE" w:rsidRDefault="005C206B" w:rsidP="005C206B">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r w:rsidRPr="008F17BE">
        <w:rPr>
          <w:rFonts w:eastAsia="Times New Roman"/>
          <w:bdr w:val="none" w:sz="0" w:space="0" w:color="auto"/>
        </w:rPr>
        <w:t xml:space="preserve">SRC results in a range of clinical signs and symptoms that may or may not involve loss of consciousness. Resolution of the clinical and cognitive features typically follows a sequential course. However, in some cases symptoms may be prolonged. The clinical signs and symptoms cannot be explained by drug, alcohol, or medication use, other injuries (such as cervical injuries, peripheral vestibular dysfunction, </w:t>
      </w:r>
      <w:proofErr w:type="spellStart"/>
      <w:r w:rsidRPr="008F17BE">
        <w:rPr>
          <w:rFonts w:eastAsia="Times New Roman"/>
          <w:bdr w:val="none" w:sz="0" w:space="0" w:color="auto"/>
        </w:rPr>
        <w:t>etc</w:t>
      </w:r>
      <w:proofErr w:type="spellEnd"/>
      <w:r w:rsidRPr="008F17BE">
        <w:rPr>
          <w:rFonts w:eastAsia="Times New Roman"/>
          <w:bdr w:val="none" w:sz="0" w:space="0" w:color="auto"/>
        </w:rPr>
        <w:t>) or other comorbidities (</w:t>
      </w:r>
      <w:proofErr w:type="spellStart"/>
      <w:r w:rsidRPr="008F17BE">
        <w:rPr>
          <w:rFonts w:eastAsia="Times New Roman"/>
          <w:bdr w:val="none" w:sz="0" w:space="0" w:color="auto"/>
        </w:rPr>
        <w:t>eg</w:t>
      </w:r>
      <w:proofErr w:type="spellEnd"/>
      <w:r w:rsidRPr="008F17BE">
        <w:rPr>
          <w:rFonts w:eastAsia="Times New Roman"/>
          <w:bdr w:val="none" w:sz="0" w:space="0" w:color="auto"/>
        </w:rPr>
        <w:t>, psychological factors or coexisting medical conditions).</w:t>
      </w:r>
    </w:p>
    <w:p w14:paraId="51A06727" w14:textId="77777777" w:rsidR="005C206B" w:rsidRPr="008F17BE" w:rsidRDefault="005C206B" w:rsidP="005C206B">
      <w:pPr>
        <w:pStyle w:val="ListParagraph"/>
        <w:numPr>
          <w:ilvl w:val="0"/>
          <w:numId w:val="1"/>
        </w:numPr>
        <w:rPr>
          <w:rFonts w:eastAsia="Times New Roman"/>
          <w:lang w:val="en-CA"/>
        </w:rPr>
      </w:pPr>
      <w:r w:rsidRPr="008F17BE">
        <w:rPr>
          <w:rFonts w:eastAsia="Times New Roman"/>
          <w:lang w:val="en-CA"/>
        </w:rPr>
        <w:br w:type="page"/>
      </w:r>
    </w:p>
    <w:p w14:paraId="11A22A92" w14:textId="77777777" w:rsidR="005C206B" w:rsidRDefault="005C206B" w:rsidP="005C206B">
      <w:pPr>
        <w:widowControl w:val="0"/>
        <w:autoSpaceDE w:val="0"/>
        <w:autoSpaceDN w:val="0"/>
        <w:adjustRightInd w:val="0"/>
        <w:spacing w:line="480" w:lineRule="auto"/>
        <w:rPr>
          <w:rFonts w:eastAsia="Times New Roman"/>
          <w:color w:val="000000"/>
          <w:lang w:val="en-CA"/>
        </w:rPr>
      </w:pPr>
      <w:r w:rsidRPr="00292F1D">
        <w:rPr>
          <w:rFonts w:eastAsia="Times New Roman"/>
          <w:color w:val="000000"/>
          <w:lang w:val="en-CA"/>
        </w:rPr>
        <w:lastRenderedPageBreak/>
        <w:t xml:space="preserve">APPENDIX </w:t>
      </w:r>
      <w:r>
        <w:rPr>
          <w:rFonts w:eastAsia="Times New Roman"/>
          <w:color w:val="000000"/>
          <w:lang w:val="en-CA"/>
        </w:rPr>
        <w:t>3</w:t>
      </w:r>
    </w:p>
    <w:p w14:paraId="1547EFFE" w14:textId="77777777" w:rsidR="005C206B" w:rsidRPr="00470F4C" w:rsidRDefault="005C206B" w:rsidP="005C206B">
      <w:pPr>
        <w:widowControl w:val="0"/>
        <w:autoSpaceDE w:val="0"/>
        <w:autoSpaceDN w:val="0"/>
        <w:adjustRightInd w:val="0"/>
        <w:spacing w:line="480" w:lineRule="auto"/>
        <w:rPr>
          <w:rFonts w:eastAsia="Times New Roman"/>
          <w:color w:val="000000"/>
          <w:lang w:val="en-CA"/>
        </w:rPr>
      </w:pPr>
      <w:r w:rsidRPr="00470F4C">
        <w:rPr>
          <w:rFonts w:eastAsia="Times New Roman"/>
          <w:color w:val="000000"/>
          <w:lang w:val="en-CA"/>
        </w:rPr>
        <w:t>Table 2: Characteristics of return visits</w:t>
      </w:r>
    </w:p>
    <w:tbl>
      <w:tblPr>
        <w:tblStyle w:val="TableGridLight"/>
        <w:tblW w:w="6360" w:type="dxa"/>
        <w:tblLook w:val="04A0" w:firstRow="1" w:lastRow="0" w:firstColumn="1" w:lastColumn="0" w:noHBand="0" w:noVBand="1"/>
      </w:tblPr>
      <w:tblGrid>
        <w:gridCol w:w="4980"/>
        <w:gridCol w:w="1380"/>
      </w:tblGrid>
      <w:tr w:rsidR="005C206B" w:rsidRPr="009945A5" w14:paraId="4052111F" w14:textId="77777777" w:rsidTr="001B0654">
        <w:trPr>
          <w:trHeight w:val="300"/>
        </w:trPr>
        <w:tc>
          <w:tcPr>
            <w:tcW w:w="4980" w:type="dxa"/>
            <w:noWrap/>
            <w:hideMark/>
          </w:tcPr>
          <w:p w14:paraId="03CEABA8"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CA"/>
              </w:rPr>
            </w:pPr>
            <w:r w:rsidRPr="009945A5">
              <w:rPr>
                <w:rFonts w:ascii="Calibri" w:eastAsia="Times New Roman" w:hAnsi="Calibri" w:cs="Calibri"/>
                <w:b/>
                <w:bCs/>
                <w:color w:val="000000"/>
                <w:sz w:val="22"/>
                <w:szCs w:val="22"/>
                <w:bdr w:val="none" w:sz="0" w:space="0" w:color="auto"/>
                <w:lang w:val="en-CA"/>
              </w:rPr>
              <w:t>Days after index visit, median (range)</w:t>
            </w:r>
          </w:p>
        </w:tc>
        <w:tc>
          <w:tcPr>
            <w:tcW w:w="1380" w:type="dxa"/>
            <w:noWrap/>
            <w:hideMark/>
          </w:tcPr>
          <w:p w14:paraId="2A9C1157"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3 (1-14)</w:t>
            </w:r>
          </w:p>
        </w:tc>
      </w:tr>
      <w:tr w:rsidR="005C206B" w:rsidRPr="009945A5" w14:paraId="38456FA7" w14:textId="77777777" w:rsidTr="001B0654">
        <w:trPr>
          <w:trHeight w:val="300"/>
        </w:trPr>
        <w:tc>
          <w:tcPr>
            <w:tcW w:w="4980" w:type="dxa"/>
            <w:noWrap/>
            <w:hideMark/>
          </w:tcPr>
          <w:p w14:paraId="276795EC"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CA"/>
              </w:rPr>
            </w:pPr>
            <w:r w:rsidRPr="009945A5">
              <w:rPr>
                <w:rFonts w:ascii="Calibri" w:eastAsia="Times New Roman" w:hAnsi="Calibri" w:cs="Calibri"/>
                <w:b/>
                <w:bCs/>
                <w:color w:val="000000"/>
                <w:sz w:val="22"/>
                <w:szCs w:val="22"/>
                <w:bdr w:val="none" w:sz="0" w:space="0" w:color="auto"/>
                <w:lang w:val="en-CA"/>
              </w:rPr>
              <w:t xml:space="preserve">Reason for return, </w:t>
            </w:r>
            <w:r w:rsidRPr="2ABB3D75">
              <w:rPr>
                <w:rFonts w:ascii="Calibri" w:eastAsia="Times New Roman" w:hAnsi="Calibri" w:cs="Calibri"/>
                <w:b/>
                <w:bCs/>
                <w:i/>
                <w:iCs/>
                <w:color w:val="000000"/>
                <w:sz w:val="22"/>
                <w:szCs w:val="22"/>
                <w:bdr w:val="none" w:sz="0" w:space="0" w:color="auto"/>
                <w:lang w:val="en-CA"/>
              </w:rPr>
              <w:t xml:space="preserve">n </w:t>
            </w:r>
            <w:r w:rsidRPr="009945A5">
              <w:rPr>
                <w:rFonts w:ascii="Calibri" w:eastAsia="Times New Roman" w:hAnsi="Calibri" w:cs="Calibri"/>
                <w:b/>
                <w:bCs/>
                <w:color w:val="000000"/>
                <w:sz w:val="22"/>
                <w:szCs w:val="22"/>
                <w:bdr w:val="none" w:sz="0" w:space="0" w:color="auto"/>
                <w:lang w:val="en-CA"/>
              </w:rPr>
              <w:t>(%)</w:t>
            </w:r>
          </w:p>
        </w:tc>
        <w:tc>
          <w:tcPr>
            <w:tcW w:w="1380" w:type="dxa"/>
            <w:noWrap/>
            <w:hideMark/>
          </w:tcPr>
          <w:p w14:paraId="4BEF5966"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CA"/>
              </w:rPr>
            </w:pPr>
          </w:p>
        </w:tc>
      </w:tr>
      <w:tr w:rsidR="005C206B" w:rsidRPr="009945A5" w14:paraId="582804C4" w14:textId="77777777" w:rsidTr="001B0654">
        <w:trPr>
          <w:trHeight w:val="300"/>
        </w:trPr>
        <w:tc>
          <w:tcPr>
            <w:tcW w:w="4980" w:type="dxa"/>
            <w:noWrap/>
            <w:hideMark/>
          </w:tcPr>
          <w:p w14:paraId="5AD92C16"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Headache</w:t>
            </w:r>
          </w:p>
        </w:tc>
        <w:tc>
          <w:tcPr>
            <w:tcW w:w="1380" w:type="dxa"/>
            <w:noWrap/>
            <w:hideMark/>
          </w:tcPr>
          <w:p w14:paraId="587D40B3"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25 (66)</w:t>
            </w:r>
          </w:p>
        </w:tc>
      </w:tr>
      <w:tr w:rsidR="005C206B" w:rsidRPr="009945A5" w14:paraId="7F143C9D" w14:textId="77777777" w:rsidTr="001B0654">
        <w:trPr>
          <w:trHeight w:val="300"/>
        </w:trPr>
        <w:tc>
          <w:tcPr>
            <w:tcW w:w="4980" w:type="dxa"/>
            <w:noWrap/>
            <w:hideMark/>
          </w:tcPr>
          <w:p w14:paraId="124BC912"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Dizziness</w:t>
            </w:r>
          </w:p>
        </w:tc>
        <w:tc>
          <w:tcPr>
            <w:tcW w:w="1380" w:type="dxa"/>
            <w:noWrap/>
            <w:hideMark/>
          </w:tcPr>
          <w:p w14:paraId="006D604E"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5 (13)</w:t>
            </w:r>
          </w:p>
        </w:tc>
      </w:tr>
      <w:tr w:rsidR="005C206B" w:rsidRPr="009945A5" w14:paraId="1019A749" w14:textId="77777777" w:rsidTr="001B0654">
        <w:trPr>
          <w:trHeight w:val="300"/>
        </w:trPr>
        <w:tc>
          <w:tcPr>
            <w:tcW w:w="4980" w:type="dxa"/>
            <w:noWrap/>
            <w:hideMark/>
          </w:tcPr>
          <w:p w14:paraId="466660A7"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Nausea/vomiting</w:t>
            </w:r>
          </w:p>
        </w:tc>
        <w:tc>
          <w:tcPr>
            <w:tcW w:w="1380" w:type="dxa"/>
            <w:noWrap/>
            <w:hideMark/>
          </w:tcPr>
          <w:p w14:paraId="6096B138"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3 (8)</w:t>
            </w:r>
          </w:p>
        </w:tc>
      </w:tr>
      <w:tr w:rsidR="005C206B" w:rsidRPr="009945A5" w14:paraId="5BF0278E" w14:textId="77777777" w:rsidTr="001B0654">
        <w:trPr>
          <w:trHeight w:val="300"/>
        </w:trPr>
        <w:tc>
          <w:tcPr>
            <w:tcW w:w="4980" w:type="dxa"/>
            <w:noWrap/>
            <w:hideMark/>
          </w:tcPr>
          <w:p w14:paraId="43334B40"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Told to return/CT booked</w:t>
            </w:r>
          </w:p>
        </w:tc>
        <w:tc>
          <w:tcPr>
            <w:tcW w:w="1380" w:type="dxa"/>
            <w:noWrap/>
            <w:hideMark/>
          </w:tcPr>
          <w:p w14:paraId="21DAA4C7"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2 (5)</w:t>
            </w:r>
          </w:p>
        </w:tc>
      </w:tr>
      <w:tr w:rsidR="005C206B" w:rsidRPr="009945A5" w14:paraId="0E3849C3" w14:textId="77777777" w:rsidTr="001B0654">
        <w:trPr>
          <w:trHeight w:val="300"/>
        </w:trPr>
        <w:tc>
          <w:tcPr>
            <w:tcW w:w="4980" w:type="dxa"/>
            <w:noWrap/>
            <w:hideMark/>
          </w:tcPr>
          <w:p w14:paraId="272A5472"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Other</w:t>
            </w:r>
          </w:p>
        </w:tc>
        <w:tc>
          <w:tcPr>
            <w:tcW w:w="1380" w:type="dxa"/>
            <w:noWrap/>
            <w:hideMark/>
          </w:tcPr>
          <w:p w14:paraId="1DF6556F"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3 (8)</w:t>
            </w:r>
          </w:p>
        </w:tc>
      </w:tr>
      <w:tr w:rsidR="005C206B" w:rsidRPr="009945A5" w14:paraId="1178B8E8" w14:textId="77777777" w:rsidTr="001B0654">
        <w:trPr>
          <w:trHeight w:val="300"/>
        </w:trPr>
        <w:tc>
          <w:tcPr>
            <w:tcW w:w="4980" w:type="dxa"/>
            <w:noWrap/>
            <w:hideMark/>
          </w:tcPr>
          <w:p w14:paraId="2072676D"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CA"/>
              </w:rPr>
            </w:pPr>
            <w:r w:rsidRPr="009945A5">
              <w:rPr>
                <w:rFonts w:ascii="Calibri" w:eastAsia="Times New Roman" w:hAnsi="Calibri" w:cs="Calibri"/>
                <w:b/>
                <w:bCs/>
                <w:color w:val="000000"/>
                <w:sz w:val="22"/>
                <w:szCs w:val="22"/>
                <w:bdr w:val="none" w:sz="0" w:space="0" w:color="auto"/>
                <w:lang w:val="en-CA"/>
              </w:rPr>
              <w:t xml:space="preserve">CT ordered, </w:t>
            </w:r>
            <w:r w:rsidRPr="2ABB3D75">
              <w:rPr>
                <w:rFonts w:ascii="Calibri" w:eastAsia="Times New Roman" w:hAnsi="Calibri" w:cs="Calibri"/>
                <w:b/>
                <w:bCs/>
                <w:i/>
                <w:iCs/>
                <w:color w:val="000000"/>
                <w:sz w:val="22"/>
                <w:szCs w:val="22"/>
                <w:bdr w:val="none" w:sz="0" w:space="0" w:color="auto"/>
                <w:lang w:val="en-CA"/>
              </w:rPr>
              <w:t xml:space="preserve">n </w:t>
            </w:r>
            <w:r w:rsidRPr="009945A5">
              <w:rPr>
                <w:rFonts w:ascii="Calibri" w:eastAsia="Times New Roman" w:hAnsi="Calibri" w:cs="Calibri"/>
                <w:b/>
                <w:bCs/>
                <w:color w:val="000000"/>
                <w:sz w:val="22"/>
                <w:szCs w:val="22"/>
                <w:bdr w:val="none" w:sz="0" w:space="0" w:color="auto"/>
                <w:lang w:val="en-CA"/>
              </w:rPr>
              <w:t>(%)</w:t>
            </w:r>
          </w:p>
        </w:tc>
        <w:tc>
          <w:tcPr>
            <w:tcW w:w="1380" w:type="dxa"/>
            <w:noWrap/>
            <w:hideMark/>
          </w:tcPr>
          <w:p w14:paraId="5FF6932B"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16 (42)</w:t>
            </w:r>
          </w:p>
        </w:tc>
      </w:tr>
      <w:tr w:rsidR="005C206B" w:rsidRPr="009945A5" w14:paraId="33D9D958" w14:textId="77777777" w:rsidTr="001B0654">
        <w:trPr>
          <w:trHeight w:val="300"/>
        </w:trPr>
        <w:tc>
          <w:tcPr>
            <w:tcW w:w="4980" w:type="dxa"/>
            <w:noWrap/>
            <w:hideMark/>
          </w:tcPr>
          <w:p w14:paraId="5F5A5F6A"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CA"/>
              </w:rPr>
            </w:pPr>
            <w:r w:rsidRPr="009945A5">
              <w:rPr>
                <w:rFonts w:ascii="Calibri" w:eastAsia="Times New Roman" w:hAnsi="Calibri" w:cs="Calibri"/>
                <w:b/>
                <w:bCs/>
                <w:color w:val="000000"/>
                <w:sz w:val="22"/>
                <w:szCs w:val="22"/>
                <w:bdr w:val="none" w:sz="0" w:space="0" w:color="auto"/>
                <w:lang w:val="en-CA"/>
              </w:rPr>
              <w:t xml:space="preserve">Abnormal findings on CT, </w:t>
            </w:r>
            <w:r w:rsidRPr="2ABB3D75">
              <w:rPr>
                <w:rFonts w:ascii="Calibri" w:eastAsia="Times New Roman" w:hAnsi="Calibri" w:cs="Calibri"/>
                <w:b/>
                <w:bCs/>
                <w:i/>
                <w:iCs/>
                <w:color w:val="000000"/>
                <w:sz w:val="22"/>
                <w:szCs w:val="22"/>
                <w:bdr w:val="none" w:sz="0" w:space="0" w:color="auto"/>
                <w:lang w:val="en-CA"/>
              </w:rPr>
              <w:t>n</w:t>
            </w:r>
            <w:r w:rsidRPr="009945A5">
              <w:rPr>
                <w:rFonts w:ascii="Calibri" w:eastAsia="Times New Roman" w:hAnsi="Calibri" w:cs="Calibri"/>
                <w:b/>
                <w:bCs/>
                <w:color w:val="000000"/>
                <w:sz w:val="22"/>
                <w:szCs w:val="22"/>
                <w:bdr w:val="none" w:sz="0" w:space="0" w:color="auto"/>
                <w:lang w:val="en-CA"/>
              </w:rPr>
              <w:t xml:space="preserve"> (%)</w:t>
            </w:r>
          </w:p>
        </w:tc>
        <w:tc>
          <w:tcPr>
            <w:tcW w:w="1380" w:type="dxa"/>
            <w:noWrap/>
            <w:hideMark/>
          </w:tcPr>
          <w:p w14:paraId="290B5C1F"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0 (0)</w:t>
            </w:r>
          </w:p>
        </w:tc>
      </w:tr>
      <w:tr w:rsidR="005C206B" w:rsidRPr="009945A5" w14:paraId="09E2E30E" w14:textId="77777777" w:rsidTr="001B0654">
        <w:trPr>
          <w:trHeight w:val="300"/>
        </w:trPr>
        <w:tc>
          <w:tcPr>
            <w:tcW w:w="4980" w:type="dxa"/>
            <w:noWrap/>
            <w:hideMark/>
          </w:tcPr>
          <w:p w14:paraId="4773D4C4"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CA"/>
              </w:rPr>
            </w:pPr>
            <w:r w:rsidRPr="009945A5">
              <w:rPr>
                <w:rFonts w:ascii="Calibri" w:eastAsia="Times New Roman" w:hAnsi="Calibri" w:cs="Calibri"/>
                <w:b/>
                <w:bCs/>
                <w:color w:val="000000"/>
                <w:sz w:val="22"/>
                <w:szCs w:val="22"/>
                <w:bdr w:val="none" w:sz="0" w:space="0" w:color="auto"/>
                <w:lang w:val="en-CA"/>
              </w:rPr>
              <w:t xml:space="preserve">Discharge, </w:t>
            </w:r>
            <w:r w:rsidRPr="2ABB3D75">
              <w:rPr>
                <w:rFonts w:ascii="Calibri" w:eastAsia="Times New Roman" w:hAnsi="Calibri" w:cs="Calibri"/>
                <w:b/>
                <w:bCs/>
                <w:i/>
                <w:iCs/>
                <w:color w:val="000000"/>
                <w:sz w:val="22"/>
                <w:szCs w:val="22"/>
                <w:bdr w:val="none" w:sz="0" w:space="0" w:color="auto"/>
                <w:lang w:val="en-CA"/>
              </w:rPr>
              <w:t>n</w:t>
            </w:r>
            <w:r w:rsidRPr="009945A5">
              <w:rPr>
                <w:rFonts w:ascii="Calibri" w:eastAsia="Times New Roman" w:hAnsi="Calibri" w:cs="Calibri"/>
                <w:b/>
                <w:bCs/>
                <w:color w:val="000000"/>
                <w:sz w:val="22"/>
                <w:szCs w:val="22"/>
                <w:bdr w:val="none" w:sz="0" w:space="0" w:color="auto"/>
                <w:lang w:val="en-CA"/>
              </w:rPr>
              <w:t xml:space="preserve"> (%)</w:t>
            </w:r>
          </w:p>
        </w:tc>
        <w:tc>
          <w:tcPr>
            <w:tcW w:w="1380" w:type="dxa"/>
            <w:noWrap/>
            <w:hideMark/>
          </w:tcPr>
          <w:p w14:paraId="41B64E33"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CA"/>
              </w:rPr>
            </w:pPr>
          </w:p>
        </w:tc>
      </w:tr>
      <w:tr w:rsidR="005C206B" w:rsidRPr="009945A5" w14:paraId="356C392E" w14:textId="77777777" w:rsidTr="001B0654">
        <w:trPr>
          <w:trHeight w:val="320"/>
        </w:trPr>
        <w:tc>
          <w:tcPr>
            <w:tcW w:w="4980" w:type="dxa"/>
            <w:hideMark/>
          </w:tcPr>
          <w:p w14:paraId="602D5279"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Documented</w:t>
            </w:r>
          </w:p>
        </w:tc>
        <w:tc>
          <w:tcPr>
            <w:tcW w:w="1380" w:type="dxa"/>
            <w:noWrap/>
            <w:hideMark/>
          </w:tcPr>
          <w:p w14:paraId="45C1C340"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19 (5)</w:t>
            </w:r>
          </w:p>
        </w:tc>
      </w:tr>
      <w:tr w:rsidR="005C206B" w:rsidRPr="009945A5" w14:paraId="683F43B2" w14:textId="77777777" w:rsidTr="001B0654">
        <w:trPr>
          <w:trHeight w:val="300"/>
        </w:trPr>
        <w:tc>
          <w:tcPr>
            <w:tcW w:w="4980" w:type="dxa"/>
            <w:noWrap/>
            <w:hideMark/>
          </w:tcPr>
          <w:p w14:paraId="13DA65C4"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New instructions from previous</w:t>
            </w:r>
          </w:p>
        </w:tc>
        <w:tc>
          <w:tcPr>
            <w:tcW w:w="1380" w:type="dxa"/>
            <w:noWrap/>
            <w:hideMark/>
          </w:tcPr>
          <w:p w14:paraId="3C7ED1B1"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16 (42)</w:t>
            </w:r>
          </w:p>
        </w:tc>
      </w:tr>
      <w:tr w:rsidR="005C206B" w:rsidRPr="009945A5" w14:paraId="78CA63C0" w14:textId="77777777" w:rsidTr="001B0654">
        <w:trPr>
          <w:trHeight w:val="300"/>
        </w:trPr>
        <w:tc>
          <w:tcPr>
            <w:tcW w:w="4980" w:type="dxa"/>
            <w:noWrap/>
            <w:hideMark/>
          </w:tcPr>
          <w:p w14:paraId="5E15000B"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New referral to CC</w:t>
            </w:r>
          </w:p>
        </w:tc>
        <w:tc>
          <w:tcPr>
            <w:tcW w:w="1380" w:type="dxa"/>
            <w:noWrap/>
            <w:hideMark/>
          </w:tcPr>
          <w:p w14:paraId="66AF93EA"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 xml:space="preserve"> 7 (18)</w:t>
            </w:r>
          </w:p>
        </w:tc>
      </w:tr>
      <w:tr w:rsidR="005C206B" w:rsidRPr="009945A5" w14:paraId="782F1D2B" w14:textId="77777777" w:rsidTr="001B0654">
        <w:trPr>
          <w:trHeight w:val="300"/>
        </w:trPr>
        <w:tc>
          <w:tcPr>
            <w:tcW w:w="4980" w:type="dxa"/>
            <w:noWrap/>
            <w:hideMark/>
          </w:tcPr>
          <w:p w14:paraId="0761C499"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New referral to GP</w:t>
            </w:r>
          </w:p>
        </w:tc>
        <w:tc>
          <w:tcPr>
            <w:tcW w:w="1380" w:type="dxa"/>
            <w:noWrap/>
            <w:hideMark/>
          </w:tcPr>
          <w:p w14:paraId="4CBFE132" w14:textId="77777777" w:rsidR="005C206B" w:rsidRPr="009945A5" w:rsidRDefault="005C206B" w:rsidP="001B06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CA"/>
              </w:rPr>
            </w:pPr>
            <w:r w:rsidRPr="009945A5">
              <w:rPr>
                <w:rFonts w:ascii="Calibri" w:eastAsia="Times New Roman" w:hAnsi="Calibri" w:cs="Calibri"/>
                <w:color w:val="000000"/>
                <w:sz w:val="22"/>
                <w:szCs w:val="22"/>
                <w:bdr w:val="none" w:sz="0" w:space="0" w:color="auto"/>
                <w:lang w:val="en-CA"/>
              </w:rPr>
              <w:t>7 (18)</w:t>
            </w:r>
          </w:p>
        </w:tc>
      </w:tr>
    </w:tbl>
    <w:p w14:paraId="427EEAF0" w14:textId="77777777" w:rsidR="005C206B" w:rsidRDefault="005C206B" w:rsidP="005C206B">
      <w:pPr>
        <w:widowControl w:val="0"/>
        <w:autoSpaceDE w:val="0"/>
        <w:autoSpaceDN w:val="0"/>
        <w:adjustRightInd w:val="0"/>
        <w:spacing w:line="480" w:lineRule="auto"/>
        <w:rPr>
          <w:rFonts w:eastAsia="Times New Roman"/>
          <w:bCs/>
          <w:color w:val="000000"/>
          <w:u w:color="000000"/>
          <w:lang w:val="en-CA"/>
        </w:rPr>
      </w:pPr>
    </w:p>
    <w:p w14:paraId="1A07DDD2" w14:textId="77777777" w:rsidR="005C206B" w:rsidRPr="00292F1D" w:rsidRDefault="005C206B" w:rsidP="005C206B">
      <w:pPr>
        <w:widowControl w:val="0"/>
        <w:autoSpaceDE w:val="0"/>
        <w:autoSpaceDN w:val="0"/>
        <w:adjustRightInd w:val="0"/>
        <w:spacing w:line="480" w:lineRule="auto"/>
        <w:rPr>
          <w:rFonts w:eastAsia="Times New Roman"/>
          <w:bCs/>
          <w:color w:val="000000"/>
          <w:u w:color="000000"/>
          <w:lang w:val="en-CA"/>
        </w:rPr>
      </w:pPr>
    </w:p>
    <w:p w14:paraId="3AD57298" w14:textId="77777777" w:rsidR="005C206B" w:rsidRPr="00292F1D" w:rsidRDefault="005C206B" w:rsidP="005C206B">
      <w:pPr>
        <w:widowControl w:val="0"/>
        <w:autoSpaceDE w:val="0"/>
        <w:autoSpaceDN w:val="0"/>
        <w:adjustRightInd w:val="0"/>
        <w:spacing w:line="480" w:lineRule="auto"/>
        <w:rPr>
          <w:rFonts w:eastAsia="Times New Roman"/>
          <w:color w:val="000000" w:themeColor="text1"/>
          <w:lang w:val="en-CA"/>
        </w:rPr>
      </w:pPr>
    </w:p>
    <w:p w14:paraId="2999F8A1" w14:textId="77777777" w:rsidR="005C206B" w:rsidRDefault="005C206B" w:rsidP="005C206B">
      <w:pPr>
        <w:widowControl w:val="0"/>
        <w:autoSpaceDE w:val="0"/>
        <w:autoSpaceDN w:val="0"/>
        <w:adjustRightInd w:val="0"/>
        <w:spacing w:line="480" w:lineRule="auto"/>
        <w:ind w:hanging="284"/>
        <w:rPr>
          <w:rFonts w:eastAsia="Times New Roman"/>
          <w:bCs/>
          <w:color w:val="000000"/>
          <w:u w:color="000000"/>
          <w:lang w:val="en-CA"/>
        </w:rPr>
      </w:pPr>
    </w:p>
    <w:p w14:paraId="12E3EFF0" w14:textId="77777777" w:rsidR="005C206B" w:rsidRDefault="005C206B" w:rsidP="005C206B">
      <w:pPr>
        <w:rPr>
          <w:rFonts w:eastAsia="Times New Roman"/>
          <w:bCs/>
          <w:color w:val="000000"/>
          <w:u w:color="000000"/>
          <w:lang w:val="en-CA"/>
        </w:rPr>
      </w:pPr>
      <w:r>
        <w:rPr>
          <w:rFonts w:eastAsia="Times New Roman"/>
          <w:bCs/>
          <w:color w:val="000000"/>
          <w:u w:color="000000"/>
          <w:lang w:val="en-CA"/>
        </w:rPr>
        <w:br w:type="page"/>
      </w:r>
    </w:p>
    <w:p w14:paraId="4D788D8C" w14:textId="77777777" w:rsidR="005C206B" w:rsidRDefault="005C206B" w:rsidP="005C206B">
      <w:pPr>
        <w:widowControl w:val="0"/>
        <w:autoSpaceDE w:val="0"/>
        <w:autoSpaceDN w:val="0"/>
        <w:adjustRightInd w:val="0"/>
        <w:spacing w:line="480" w:lineRule="auto"/>
        <w:rPr>
          <w:rFonts w:eastAsia="Times New Roman"/>
          <w:color w:val="000000"/>
          <w:lang w:val="en-CA"/>
        </w:rPr>
      </w:pPr>
      <w:r w:rsidRPr="00292F1D">
        <w:rPr>
          <w:rFonts w:eastAsia="Times New Roman"/>
          <w:color w:val="000000"/>
          <w:lang w:val="en-CA"/>
        </w:rPr>
        <w:lastRenderedPageBreak/>
        <w:t xml:space="preserve">APPENDIX </w:t>
      </w:r>
      <w:r>
        <w:rPr>
          <w:rFonts w:eastAsia="Times New Roman"/>
          <w:color w:val="000000"/>
          <w:lang w:val="en-CA"/>
        </w:rPr>
        <w:t>4</w:t>
      </w:r>
    </w:p>
    <w:p w14:paraId="24DB1904" w14:textId="77777777" w:rsidR="005C206B" w:rsidRDefault="005C206B" w:rsidP="005C206B">
      <w:pPr>
        <w:widowControl w:val="0"/>
        <w:autoSpaceDE w:val="0"/>
        <w:autoSpaceDN w:val="0"/>
        <w:adjustRightInd w:val="0"/>
        <w:spacing w:line="480" w:lineRule="auto"/>
        <w:rPr>
          <w:rFonts w:eastAsia="Times New Roman"/>
          <w:bCs/>
          <w:color w:val="000000"/>
          <w:u w:color="000000"/>
          <w:lang w:val="en-CA"/>
        </w:rPr>
      </w:pPr>
      <w:hyperlink r:id="rId10" w:history="1">
        <w:r w:rsidRPr="004429FE">
          <w:rPr>
            <w:rStyle w:val="Hyperlink"/>
            <w:rFonts w:eastAsia="Times New Roman"/>
            <w:bCs/>
            <w:lang w:val="en-CA"/>
          </w:rPr>
          <w:t>h</w:t>
        </w:r>
        <w:r w:rsidRPr="00470F4C">
          <w:rPr>
            <w:rStyle w:val="Hyperlink"/>
          </w:rPr>
          <w:t>ttp://hamiltonhealthsciences.ca/documents/Patient%20Education/HeadInjuryAndConcussion-trh.pdf</w:t>
        </w:r>
      </w:hyperlink>
    </w:p>
    <w:p w14:paraId="452C132A" w14:textId="4F814982" w:rsidR="006A5772" w:rsidRDefault="005C206B">
      <w:r>
        <w:t>[note to publisher from ME : PDF attached separately]</w:t>
      </w:r>
      <w:bookmarkStart w:id="0" w:name="_GoBack"/>
      <w:bookmarkEnd w:id="0"/>
    </w:p>
    <w:sectPr w:rsidR="006A577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7F2B58"/>
    <w:multiLevelType w:val="hybridMultilevel"/>
    <w:tmpl w:val="23829F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06B"/>
    <w:rsid w:val="00032FAB"/>
    <w:rsid w:val="005C206B"/>
    <w:rsid w:val="00E3429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DC33"/>
  <w15:chartTrackingRefBased/>
  <w15:docId w15:val="{D8E7B9F9-188D-4ECE-AA16-ADEDF4A77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C206B"/>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C206B"/>
    <w:rPr>
      <w:u w:val="single"/>
    </w:rPr>
  </w:style>
  <w:style w:type="paragraph" w:styleId="ListParagraph">
    <w:name w:val="List Paragraph"/>
    <w:rsid w:val="005C206B"/>
    <w:pPr>
      <w:pBdr>
        <w:top w:val="nil"/>
        <w:left w:val="nil"/>
        <w:bottom w:val="nil"/>
        <w:right w:val="nil"/>
        <w:between w:val="nil"/>
        <w:bar w:val="nil"/>
      </w:pBdr>
      <w:ind w:left="720"/>
    </w:pPr>
    <w:rPr>
      <w:rFonts w:ascii="Calibri" w:eastAsia="Calibri" w:hAnsi="Calibri" w:cs="Calibri"/>
      <w:color w:val="000000"/>
      <w:u w:color="000000"/>
      <w:bdr w:val="nil"/>
      <w:lang w:val="en-US"/>
    </w:rPr>
  </w:style>
  <w:style w:type="table" w:styleId="TableGridLight">
    <w:name w:val="Grid Table Light"/>
    <w:basedOn w:val="TableNormal"/>
    <w:uiPriority w:val="40"/>
    <w:rsid w:val="005C206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fontTable" Target="fontTable.xml"/><Relationship Id="rId5" Type="http://schemas.openxmlformats.org/officeDocument/2006/relationships/diagramData" Target="diagrams/data1.xml"/><Relationship Id="rId10" Type="http://schemas.openxmlformats.org/officeDocument/2006/relationships/hyperlink" Target="http://hamiltonhealthsciences.ca/documents/Patient%20Education/HeadInjuryAndConcussion-trh.pdf" TargetMode="Externa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88D1CB-AD13-5E4D-918A-F49B07357668}" type="doc">
      <dgm:prSet loTypeId="urn:microsoft.com/office/officeart/2005/8/layout/process2" loCatId="" qsTypeId="urn:microsoft.com/office/officeart/2005/8/quickstyle/simple1" qsCatId="simple" csTypeId="urn:microsoft.com/office/officeart/2005/8/colors/accent0_1" csCatId="mainScheme" phldr="1"/>
      <dgm:spPr/>
    </dgm:pt>
    <dgm:pt modelId="{963C1F5A-0DF9-3C43-82B0-ECCA65C29B3F}">
      <dgm:prSet phldrT="[Text]" custT="1"/>
      <dgm:spPr/>
      <dgm:t>
        <a:bodyPr/>
        <a:lstStyle/>
        <a:p>
          <a:r>
            <a:rPr lang="en-US" sz="1000"/>
            <a:t>526 index visits identified</a:t>
          </a:r>
        </a:p>
      </dgm:t>
    </dgm:pt>
    <dgm:pt modelId="{FD9A47CB-CD40-4A45-A1F8-3BB9B0B890DF}" type="parTrans" cxnId="{28C35FC3-4D2B-284A-88C8-1DABDB6DB156}">
      <dgm:prSet/>
      <dgm:spPr/>
      <dgm:t>
        <a:bodyPr/>
        <a:lstStyle/>
        <a:p>
          <a:endParaRPr lang="en-US">
            <a:solidFill>
              <a:schemeClr val="tx1"/>
            </a:solidFill>
          </a:endParaRPr>
        </a:p>
      </dgm:t>
    </dgm:pt>
    <dgm:pt modelId="{DFFEAB3C-6F3C-704F-84BC-F5A326788927}" type="sibTrans" cxnId="{28C35FC3-4D2B-284A-88C8-1DABDB6DB156}">
      <dgm:prSet/>
      <dgm:spPr/>
      <dgm:t>
        <a:bodyPr/>
        <a:lstStyle/>
        <a:p>
          <a:endParaRPr lang="en-US">
            <a:solidFill>
              <a:schemeClr val="tx1"/>
            </a:solidFill>
          </a:endParaRPr>
        </a:p>
      </dgm:t>
    </dgm:pt>
    <dgm:pt modelId="{05A2C5F3-66BA-8C47-BF36-C6DD3A31C13F}">
      <dgm:prSet phldrT="[Text]" custT="1"/>
      <dgm:spPr/>
      <dgm:t>
        <a:bodyPr/>
        <a:lstStyle/>
        <a:p>
          <a:r>
            <a:rPr lang="en-US" sz="1000"/>
            <a:t>137 removed</a:t>
          </a:r>
        </a:p>
        <a:p>
          <a:r>
            <a:rPr lang="en-US" sz="600"/>
            <a:t>- index event &gt;2 weeks from index visit</a:t>
          </a:r>
        </a:p>
        <a:p>
          <a:r>
            <a:rPr lang="en-US" sz="600"/>
            <a:t>- index visit not accessible </a:t>
          </a:r>
        </a:p>
        <a:p>
          <a:r>
            <a:rPr lang="en-US" sz="600"/>
            <a:t>- duplicate entry</a:t>
          </a:r>
        </a:p>
        <a:p>
          <a:r>
            <a:rPr lang="en-US" sz="600"/>
            <a:t>- improperly coded </a:t>
          </a:r>
        </a:p>
      </dgm:t>
    </dgm:pt>
    <dgm:pt modelId="{C7EC5FB5-64D3-0F4F-B9F1-6C4C24384B81}" type="parTrans" cxnId="{3C9FFC28-5556-D742-A169-EDD92630F08E}">
      <dgm:prSet/>
      <dgm:spPr/>
      <dgm:t>
        <a:bodyPr/>
        <a:lstStyle/>
        <a:p>
          <a:endParaRPr lang="en-US">
            <a:solidFill>
              <a:schemeClr val="tx1"/>
            </a:solidFill>
          </a:endParaRPr>
        </a:p>
      </dgm:t>
    </dgm:pt>
    <dgm:pt modelId="{17E5128E-E0BF-1B46-B851-E380F31CC854}" type="sibTrans" cxnId="{3C9FFC28-5556-D742-A169-EDD92630F08E}">
      <dgm:prSet/>
      <dgm:spPr/>
      <dgm:t>
        <a:bodyPr/>
        <a:lstStyle/>
        <a:p>
          <a:endParaRPr lang="en-US">
            <a:solidFill>
              <a:schemeClr val="tx1"/>
            </a:solidFill>
          </a:endParaRPr>
        </a:p>
      </dgm:t>
    </dgm:pt>
    <dgm:pt modelId="{98BC147D-DE8C-534F-AC53-8A35B277A285}">
      <dgm:prSet phldrT="[Text]" custT="1"/>
      <dgm:spPr/>
      <dgm:t>
        <a:bodyPr/>
        <a:lstStyle/>
        <a:p>
          <a:r>
            <a:rPr lang="en-US" sz="1000"/>
            <a:t>389 index visits included</a:t>
          </a:r>
        </a:p>
      </dgm:t>
    </dgm:pt>
    <dgm:pt modelId="{4E3D02FD-5267-4746-9628-81EF1D8B87B9}" type="parTrans" cxnId="{E503272B-387D-2340-9D30-F708DD1CA9A4}">
      <dgm:prSet/>
      <dgm:spPr/>
      <dgm:t>
        <a:bodyPr/>
        <a:lstStyle/>
        <a:p>
          <a:endParaRPr lang="en-US">
            <a:solidFill>
              <a:schemeClr val="tx1"/>
            </a:solidFill>
          </a:endParaRPr>
        </a:p>
      </dgm:t>
    </dgm:pt>
    <dgm:pt modelId="{A87637A1-504A-5A4F-81B8-AC4D20867843}" type="sibTrans" cxnId="{E503272B-387D-2340-9D30-F708DD1CA9A4}">
      <dgm:prSet/>
      <dgm:spPr/>
      <dgm:t>
        <a:bodyPr/>
        <a:lstStyle/>
        <a:p>
          <a:endParaRPr lang="en-US">
            <a:solidFill>
              <a:schemeClr val="tx1"/>
            </a:solidFill>
          </a:endParaRPr>
        </a:p>
      </dgm:t>
    </dgm:pt>
    <dgm:pt modelId="{D67DF791-AF7A-F74E-8C34-FF1120A031A7}" type="pres">
      <dgm:prSet presAssocID="{5488D1CB-AD13-5E4D-918A-F49B07357668}" presName="linearFlow" presStyleCnt="0">
        <dgm:presLayoutVars>
          <dgm:resizeHandles val="exact"/>
        </dgm:presLayoutVars>
      </dgm:prSet>
      <dgm:spPr/>
    </dgm:pt>
    <dgm:pt modelId="{9476CF68-F715-9A4E-9554-A921D96F7656}" type="pres">
      <dgm:prSet presAssocID="{963C1F5A-0DF9-3C43-82B0-ECCA65C29B3F}" presName="node" presStyleLbl="node1" presStyleIdx="0" presStyleCnt="3">
        <dgm:presLayoutVars>
          <dgm:bulletEnabled val="1"/>
        </dgm:presLayoutVars>
      </dgm:prSet>
      <dgm:spPr/>
    </dgm:pt>
    <dgm:pt modelId="{A1C84BF3-0C96-B740-BDB3-C88B7BDF383D}" type="pres">
      <dgm:prSet presAssocID="{DFFEAB3C-6F3C-704F-84BC-F5A326788927}" presName="sibTrans" presStyleLbl="sibTrans2D1" presStyleIdx="0" presStyleCnt="2"/>
      <dgm:spPr/>
    </dgm:pt>
    <dgm:pt modelId="{0C337556-C5D6-B246-8F34-5AADB44ED9AC}" type="pres">
      <dgm:prSet presAssocID="{DFFEAB3C-6F3C-704F-84BC-F5A326788927}" presName="connectorText" presStyleLbl="sibTrans2D1" presStyleIdx="0" presStyleCnt="2"/>
      <dgm:spPr/>
    </dgm:pt>
    <dgm:pt modelId="{7EDB030F-BF6C-B14E-973D-8314A9D22AFB}" type="pres">
      <dgm:prSet presAssocID="{05A2C5F3-66BA-8C47-BF36-C6DD3A31C13F}" presName="node" presStyleLbl="node1" presStyleIdx="1" presStyleCnt="3">
        <dgm:presLayoutVars>
          <dgm:bulletEnabled val="1"/>
        </dgm:presLayoutVars>
      </dgm:prSet>
      <dgm:spPr/>
    </dgm:pt>
    <dgm:pt modelId="{20326990-182D-0A4D-896D-305A8FA4F1FE}" type="pres">
      <dgm:prSet presAssocID="{17E5128E-E0BF-1B46-B851-E380F31CC854}" presName="sibTrans" presStyleLbl="sibTrans2D1" presStyleIdx="1" presStyleCnt="2"/>
      <dgm:spPr/>
    </dgm:pt>
    <dgm:pt modelId="{125F5A84-9774-6B45-9AF6-041CB85927A3}" type="pres">
      <dgm:prSet presAssocID="{17E5128E-E0BF-1B46-B851-E380F31CC854}" presName="connectorText" presStyleLbl="sibTrans2D1" presStyleIdx="1" presStyleCnt="2"/>
      <dgm:spPr/>
    </dgm:pt>
    <dgm:pt modelId="{DEA78FC8-8CC7-3E42-8F30-1629BBE554D0}" type="pres">
      <dgm:prSet presAssocID="{98BC147D-DE8C-534F-AC53-8A35B277A285}" presName="node" presStyleLbl="node1" presStyleIdx="2" presStyleCnt="3">
        <dgm:presLayoutVars>
          <dgm:bulletEnabled val="1"/>
        </dgm:presLayoutVars>
      </dgm:prSet>
      <dgm:spPr/>
    </dgm:pt>
  </dgm:ptLst>
  <dgm:cxnLst>
    <dgm:cxn modelId="{C9E8A311-961E-AC4D-B359-44E4D49E305C}" type="presOf" srcId="{05A2C5F3-66BA-8C47-BF36-C6DD3A31C13F}" destId="{7EDB030F-BF6C-B14E-973D-8314A9D22AFB}" srcOrd="0" destOrd="0" presId="urn:microsoft.com/office/officeart/2005/8/layout/process2"/>
    <dgm:cxn modelId="{3C9FFC28-5556-D742-A169-EDD92630F08E}" srcId="{5488D1CB-AD13-5E4D-918A-F49B07357668}" destId="{05A2C5F3-66BA-8C47-BF36-C6DD3A31C13F}" srcOrd="1" destOrd="0" parTransId="{C7EC5FB5-64D3-0F4F-B9F1-6C4C24384B81}" sibTransId="{17E5128E-E0BF-1B46-B851-E380F31CC854}"/>
    <dgm:cxn modelId="{E503272B-387D-2340-9D30-F708DD1CA9A4}" srcId="{5488D1CB-AD13-5E4D-918A-F49B07357668}" destId="{98BC147D-DE8C-534F-AC53-8A35B277A285}" srcOrd="2" destOrd="0" parTransId="{4E3D02FD-5267-4746-9628-81EF1D8B87B9}" sibTransId="{A87637A1-504A-5A4F-81B8-AC4D20867843}"/>
    <dgm:cxn modelId="{B23D8E9A-A126-3C46-A645-33F1D1132FAF}" type="presOf" srcId="{DFFEAB3C-6F3C-704F-84BC-F5A326788927}" destId="{A1C84BF3-0C96-B740-BDB3-C88B7BDF383D}" srcOrd="0" destOrd="0" presId="urn:microsoft.com/office/officeart/2005/8/layout/process2"/>
    <dgm:cxn modelId="{3477E99F-3216-0647-B40B-426423E4103C}" type="presOf" srcId="{5488D1CB-AD13-5E4D-918A-F49B07357668}" destId="{D67DF791-AF7A-F74E-8C34-FF1120A031A7}" srcOrd="0" destOrd="0" presId="urn:microsoft.com/office/officeart/2005/8/layout/process2"/>
    <dgm:cxn modelId="{550598A9-EB8E-AE47-985F-C7FF997C5A76}" type="presOf" srcId="{98BC147D-DE8C-534F-AC53-8A35B277A285}" destId="{DEA78FC8-8CC7-3E42-8F30-1629BBE554D0}" srcOrd="0" destOrd="0" presId="urn:microsoft.com/office/officeart/2005/8/layout/process2"/>
    <dgm:cxn modelId="{9870D9AF-3804-C24F-B8A9-1E8E40774898}" type="presOf" srcId="{963C1F5A-0DF9-3C43-82B0-ECCA65C29B3F}" destId="{9476CF68-F715-9A4E-9554-A921D96F7656}" srcOrd="0" destOrd="0" presId="urn:microsoft.com/office/officeart/2005/8/layout/process2"/>
    <dgm:cxn modelId="{ADC7BCBE-F5AB-0440-9098-B882A0B7CA48}" type="presOf" srcId="{17E5128E-E0BF-1B46-B851-E380F31CC854}" destId="{20326990-182D-0A4D-896D-305A8FA4F1FE}" srcOrd="0" destOrd="0" presId="urn:microsoft.com/office/officeart/2005/8/layout/process2"/>
    <dgm:cxn modelId="{A51FDEBF-305D-1445-BB71-EEC65F6B244F}" type="presOf" srcId="{DFFEAB3C-6F3C-704F-84BC-F5A326788927}" destId="{0C337556-C5D6-B246-8F34-5AADB44ED9AC}" srcOrd="1" destOrd="0" presId="urn:microsoft.com/office/officeart/2005/8/layout/process2"/>
    <dgm:cxn modelId="{28C35FC3-4D2B-284A-88C8-1DABDB6DB156}" srcId="{5488D1CB-AD13-5E4D-918A-F49B07357668}" destId="{963C1F5A-0DF9-3C43-82B0-ECCA65C29B3F}" srcOrd="0" destOrd="0" parTransId="{FD9A47CB-CD40-4A45-A1F8-3BB9B0B890DF}" sibTransId="{DFFEAB3C-6F3C-704F-84BC-F5A326788927}"/>
    <dgm:cxn modelId="{B42058D4-9420-2D40-9D50-DBD4BF2A5D7F}" type="presOf" srcId="{17E5128E-E0BF-1B46-B851-E380F31CC854}" destId="{125F5A84-9774-6B45-9AF6-041CB85927A3}" srcOrd="1" destOrd="0" presId="urn:microsoft.com/office/officeart/2005/8/layout/process2"/>
    <dgm:cxn modelId="{477E5394-D58F-2E41-8C36-94952D0572E0}" type="presParOf" srcId="{D67DF791-AF7A-F74E-8C34-FF1120A031A7}" destId="{9476CF68-F715-9A4E-9554-A921D96F7656}" srcOrd="0" destOrd="0" presId="urn:microsoft.com/office/officeart/2005/8/layout/process2"/>
    <dgm:cxn modelId="{A182F301-1392-404A-A110-C25DC647A9CB}" type="presParOf" srcId="{D67DF791-AF7A-F74E-8C34-FF1120A031A7}" destId="{A1C84BF3-0C96-B740-BDB3-C88B7BDF383D}" srcOrd="1" destOrd="0" presId="urn:microsoft.com/office/officeart/2005/8/layout/process2"/>
    <dgm:cxn modelId="{084E7B51-F7EB-EA4A-986B-2AFA5AF63EBA}" type="presParOf" srcId="{A1C84BF3-0C96-B740-BDB3-C88B7BDF383D}" destId="{0C337556-C5D6-B246-8F34-5AADB44ED9AC}" srcOrd="0" destOrd="0" presId="urn:microsoft.com/office/officeart/2005/8/layout/process2"/>
    <dgm:cxn modelId="{3AC42668-07FC-574B-8039-0DACF64084D4}" type="presParOf" srcId="{D67DF791-AF7A-F74E-8C34-FF1120A031A7}" destId="{7EDB030F-BF6C-B14E-973D-8314A9D22AFB}" srcOrd="2" destOrd="0" presId="urn:microsoft.com/office/officeart/2005/8/layout/process2"/>
    <dgm:cxn modelId="{2F2221A4-E5F6-5C42-BD32-E7582042F8AC}" type="presParOf" srcId="{D67DF791-AF7A-F74E-8C34-FF1120A031A7}" destId="{20326990-182D-0A4D-896D-305A8FA4F1FE}" srcOrd="3" destOrd="0" presId="urn:microsoft.com/office/officeart/2005/8/layout/process2"/>
    <dgm:cxn modelId="{7499E486-46C9-E347-B839-7A1FEF6DF5B3}" type="presParOf" srcId="{20326990-182D-0A4D-896D-305A8FA4F1FE}" destId="{125F5A84-9774-6B45-9AF6-041CB85927A3}" srcOrd="0" destOrd="0" presId="urn:microsoft.com/office/officeart/2005/8/layout/process2"/>
    <dgm:cxn modelId="{87E9DC52-7375-B945-8F92-B9D583DE5211}" type="presParOf" srcId="{D67DF791-AF7A-F74E-8C34-FF1120A031A7}" destId="{DEA78FC8-8CC7-3E42-8F30-1629BBE554D0}" srcOrd="4" destOrd="0" presId="urn:microsoft.com/office/officeart/2005/8/layout/process2"/>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76CF68-F715-9A4E-9554-A921D96F7656}">
      <dsp:nvSpPr>
        <dsp:cNvPr id="0" name=""/>
        <dsp:cNvSpPr/>
      </dsp:nvSpPr>
      <dsp:spPr>
        <a:xfrm>
          <a:off x="175722" y="1255"/>
          <a:ext cx="1332499" cy="642168"/>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526 index visits identified</a:t>
          </a:r>
        </a:p>
      </dsp:txBody>
      <dsp:txXfrm>
        <a:off x="194530" y="20063"/>
        <a:ext cx="1294883" cy="604552"/>
      </dsp:txXfrm>
    </dsp:sp>
    <dsp:sp modelId="{A1C84BF3-0C96-B740-BDB3-C88B7BDF383D}">
      <dsp:nvSpPr>
        <dsp:cNvPr id="0" name=""/>
        <dsp:cNvSpPr/>
      </dsp:nvSpPr>
      <dsp:spPr>
        <a:xfrm rot="5400000">
          <a:off x="721565" y="659478"/>
          <a:ext cx="240813" cy="288975"/>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US" sz="1200" kern="1200">
            <a:solidFill>
              <a:schemeClr val="tx1"/>
            </a:solidFill>
          </a:endParaRPr>
        </a:p>
      </dsp:txBody>
      <dsp:txXfrm rot="-5400000">
        <a:off x="755279" y="683559"/>
        <a:ext cx="173385" cy="168569"/>
      </dsp:txXfrm>
    </dsp:sp>
    <dsp:sp modelId="{7EDB030F-BF6C-B14E-973D-8314A9D22AFB}">
      <dsp:nvSpPr>
        <dsp:cNvPr id="0" name=""/>
        <dsp:cNvSpPr/>
      </dsp:nvSpPr>
      <dsp:spPr>
        <a:xfrm>
          <a:off x="175722" y="964508"/>
          <a:ext cx="1332499" cy="642168"/>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137 removed</a:t>
          </a:r>
        </a:p>
        <a:p>
          <a:pPr marL="0" lvl="0" indent="0" algn="ctr" defTabSz="444500">
            <a:lnSpc>
              <a:spcPct val="90000"/>
            </a:lnSpc>
            <a:spcBef>
              <a:spcPct val="0"/>
            </a:spcBef>
            <a:spcAft>
              <a:spcPct val="35000"/>
            </a:spcAft>
            <a:buNone/>
          </a:pPr>
          <a:r>
            <a:rPr lang="en-US" sz="600" kern="1200"/>
            <a:t>- index event &gt;2 weeks from index visit</a:t>
          </a:r>
        </a:p>
        <a:p>
          <a:pPr marL="0" lvl="0" indent="0" algn="ctr" defTabSz="444500">
            <a:lnSpc>
              <a:spcPct val="90000"/>
            </a:lnSpc>
            <a:spcBef>
              <a:spcPct val="0"/>
            </a:spcBef>
            <a:spcAft>
              <a:spcPct val="35000"/>
            </a:spcAft>
            <a:buNone/>
          </a:pPr>
          <a:r>
            <a:rPr lang="en-US" sz="600" kern="1200"/>
            <a:t>- index visit not accessible </a:t>
          </a:r>
        </a:p>
        <a:p>
          <a:pPr marL="0" lvl="0" indent="0" algn="ctr" defTabSz="444500">
            <a:lnSpc>
              <a:spcPct val="90000"/>
            </a:lnSpc>
            <a:spcBef>
              <a:spcPct val="0"/>
            </a:spcBef>
            <a:spcAft>
              <a:spcPct val="35000"/>
            </a:spcAft>
            <a:buNone/>
          </a:pPr>
          <a:r>
            <a:rPr lang="en-US" sz="600" kern="1200"/>
            <a:t>- duplicate entry</a:t>
          </a:r>
        </a:p>
        <a:p>
          <a:pPr marL="0" lvl="0" indent="0" algn="ctr" defTabSz="444500">
            <a:lnSpc>
              <a:spcPct val="90000"/>
            </a:lnSpc>
            <a:spcBef>
              <a:spcPct val="0"/>
            </a:spcBef>
            <a:spcAft>
              <a:spcPct val="35000"/>
            </a:spcAft>
            <a:buNone/>
          </a:pPr>
          <a:r>
            <a:rPr lang="en-US" sz="600" kern="1200"/>
            <a:t>- improperly coded </a:t>
          </a:r>
        </a:p>
      </dsp:txBody>
      <dsp:txXfrm>
        <a:off x="194530" y="983316"/>
        <a:ext cx="1294883" cy="604552"/>
      </dsp:txXfrm>
    </dsp:sp>
    <dsp:sp modelId="{20326990-182D-0A4D-896D-305A8FA4F1FE}">
      <dsp:nvSpPr>
        <dsp:cNvPr id="0" name=""/>
        <dsp:cNvSpPr/>
      </dsp:nvSpPr>
      <dsp:spPr>
        <a:xfrm rot="5400000">
          <a:off x="721565" y="1622730"/>
          <a:ext cx="240813" cy="288975"/>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US" sz="1200" kern="1200">
            <a:solidFill>
              <a:schemeClr val="tx1"/>
            </a:solidFill>
          </a:endParaRPr>
        </a:p>
      </dsp:txBody>
      <dsp:txXfrm rot="-5400000">
        <a:off x="755279" y="1646811"/>
        <a:ext cx="173385" cy="168569"/>
      </dsp:txXfrm>
    </dsp:sp>
    <dsp:sp modelId="{DEA78FC8-8CC7-3E42-8F30-1629BBE554D0}">
      <dsp:nvSpPr>
        <dsp:cNvPr id="0" name=""/>
        <dsp:cNvSpPr/>
      </dsp:nvSpPr>
      <dsp:spPr>
        <a:xfrm>
          <a:off x="175722" y="1927761"/>
          <a:ext cx="1332499" cy="642168"/>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389 index visits included</a:t>
          </a:r>
        </a:p>
      </dsp:txBody>
      <dsp:txXfrm>
        <a:off x="194530" y="1946569"/>
        <a:ext cx="1294883" cy="60455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Brinkhurst, Jennifer</dc:creator>
  <cp:keywords/>
  <dc:description/>
  <cp:lastModifiedBy>Brinkhurst, Jennifer</cp:lastModifiedBy>
  <cp:revision>1</cp:revision>
  <dcterms:created xsi:type="dcterms:W3CDTF">2019-02-19T15:09:00Z</dcterms:created>
  <dcterms:modified xsi:type="dcterms:W3CDTF">2019-02-19T15:11:00Z</dcterms:modified>
</cp:coreProperties>
</file>