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12" w:rsidRDefault="00B16612" w:rsidP="00B166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Appendix C</w:t>
      </w:r>
      <w:r>
        <w:rPr>
          <w:rFonts w:ascii="Times New Roman" w:hAnsi="Times New Roman" w:cs="Times New Roman"/>
          <w:sz w:val="24"/>
          <w:szCs w:val="24"/>
        </w:rPr>
        <w:t>. Characteristics of included patients.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595"/>
        <w:gridCol w:w="1416"/>
      </w:tblGrid>
      <w:tr w:rsidR="00B16612" w:rsidRPr="009B0CAD" w:rsidTr="00026748">
        <w:trPr>
          <w:trHeight w:val="440"/>
        </w:trPr>
        <w:tc>
          <w:tcPr>
            <w:tcW w:w="2268" w:type="dxa"/>
            <w:shd w:val="clear" w:color="auto" w:fill="000000" w:themeFill="text1"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b/>
                <w:sz w:val="24"/>
                <w:szCs w:val="24"/>
              </w:rPr>
              <w:t>Characteristic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b/>
                <w:sz w:val="24"/>
                <w:szCs w:val="24"/>
              </w:rPr>
              <w:t>N=30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 w:val="restart"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2595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1416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(3.3%)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(43.3%)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(30.0%)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≥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(23.3%)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 w:val="restart"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2595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416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(53.3%)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(10.0%)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(30.0%)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(3.3%)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(3.3%)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 w:val="restart"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Country of birth</w:t>
            </w:r>
          </w:p>
        </w:tc>
        <w:tc>
          <w:tcPr>
            <w:tcW w:w="2595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1416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19 (63.3%)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11 (36.7%)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 w:val="restart"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History of previous miscarriage</w:t>
            </w:r>
          </w:p>
        </w:tc>
        <w:tc>
          <w:tcPr>
            <w:tcW w:w="2595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5 (16.7%)</w:t>
            </w:r>
          </w:p>
        </w:tc>
      </w:tr>
      <w:tr w:rsidR="00B16612" w:rsidRPr="009B0CAD" w:rsidTr="00026748">
        <w:trPr>
          <w:trHeight w:val="395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25 (83.3%)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 w:val="restart"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Gestational age at time of index visit</w:t>
            </w:r>
          </w:p>
        </w:tc>
        <w:tc>
          <w:tcPr>
            <w:tcW w:w="2595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4-8 weeks</w:t>
            </w:r>
          </w:p>
        </w:tc>
        <w:tc>
          <w:tcPr>
            <w:tcW w:w="1416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56.7</w:t>
            </w: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9-13 weeks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(33.3%)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14-19 weeks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(3.3%)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Uncertain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(6.7%)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 w:val="restart"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Parity</w:t>
            </w:r>
          </w:p>
        </w:tc>
        <w:tc>
          <w:tcPr>
            <w:tcW w:w="2595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(40.0%)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(53.3%)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≥ 6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(6.7%)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 w:val="restart"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Pregnancy outcome</w:t>
            </w:r>
          </w:p>
        </w:tc>
        <w:tc>
          <w:tcPr>
            <w:tcW w:w="2595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Threatened miscarriage</w:t>
            </w:r>
          </w:p>
        </w:tc>
        <w:tc>
          <w:tcPr>
            <w:tcW w:w="1416" w:type="dxa"/>
            <w:tcBorders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(13.3%)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 xml:space="preserve">Ectopic pregnancy 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(20.0%)</w:t>
            </w:r>
          </w:p>
        </w:tc>
      </w:tr>
      <w:tr w:rsidR="00B16612" w:rsidRPr="009B0CAD" w:rsidTr="00026748">
        <w:trPr>
          <w:trHeight w:val="288"/>
        </w:trPr>
        <w:tc>
          <w:tcPr>
            <w:tcW w:w="2268" w:type="dxa"/>
            <w:vMerge/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Miscarriage</w:t>
            </w:r>
          </w:p>
        </w:tc>
        <w:tc>
          <w:tcPr>
            <w:tcW w:w="1416" w:type="dxa"/>
            <w:tcBorders>
              <w:top w:val="nil"/>
            </w:tcBorders>
            <w:vAlign w:val="center"/>
            <w:hideMark/>
          </w:tcPr>
          <w:p w:rsidR="00B16612" w:rsidRPr="009B0CAD" w:rsidRDefault="00B16612" w:rsidP="00026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(66.7%)</w:t>
            </w:r>
          </w:p>
        </w:tc>
      </w:tr>
    </w:tbl>
    <w:p w:rsidR="00B16612" w:rsidRPr="00225EBD" w:rsidRDefault="00B16612" w:rsidP="00B166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595C" w:rsidRDefault="0050595C">
      <w:bookmarkStart w:id="0" w:name="_GoBack"/>
      <w:bookmarkEnd w:id="0"/>
    </w:p>
    <w:sectPr w:rsidR="0050595C">
      <w:headerReference w:type="default" r:id="rId5"/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8587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D228C" w:rsidRPr="00225EBD" w:rsidRDefault="00B16612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225EBD">
          <w:rPr>
            <w:rFonts w:ascii="Times New Roman" w:hAnsi="Times New Roman" w:cs="Times New Roman"/>
            <w:sz w:val="24"/>
          </w:rPr>
          <w:fldChar w:fldCharType="begin"/>
        </w:r>
        <w:r w:rsidRPr="00225EB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25EB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225EB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D228C" w:rsidRDefault="00B1661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BF" w:rsidRDefault="00B16612" w:rsidP="00A560BF">
    <w:pPr>
      <w:pStyle w:val="Header"/>
      <w:jc w:val="right"/>
    </w:pP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Experience of</w:t>
    </w:r>
    <w:r w:rsidRPr="00225EBD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ED patients 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with</w:t>
    </w:r>
    <w:r w:rsidRPr="00225EBD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early pregnancy complications.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12"/>
    <w:rsid w:val="0050595C"/>
    <w:rsid w:val="00B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1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61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B1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612"/>
    <w:rPr>
      <w:lang w:val="en-CA"/>
    </w:rPr>
  </w:style>
  <w:style w:type="table" w:styleId="TableGrid">
    <w:name w:val="Table Grid"/>
    <w:basedOn w:val="TableNormal"/>
    <w:uiPriority w:val="59"/>
    <w:unhideWhenUsed/>
    <w:rsid w:val="00B1661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6612"/>
    <w:pPr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1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61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B1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612"/>
    <w:rPr>
      <w:lang w:val="en-CA"/>
    </w:rPr>
  </w:style>
  <w:style w:type="table" w:styleId="TableGrid">
    <w:name w:val="Table Grid"/>
    <w:basedOn w:val="TableNormal"/>
    <w:uiPriority w:val="59"/>
    <w:unhideWhenUsed/>
    <w:rsid w:val="00B1661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6612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McLeod, Shelley</dc:creator>
  <cp:lastModifiedBy>McLeod, Shelley</cp:lastModifiedBy>
  <cp:revision>1</cp:revision>
  <dcterms:created xsi:type="dcterms:W3CDTF">2019-06-26T21:10:00Z</dcterms:created>
  <dcterms:modified xsi:type="dcterms:W3CDTF">2019-06-26T21:10:00Z</dcterms:modified>
</cp:coreProperties>
</file>