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1"/>
        <w:gridCol w:w="1718"/>
        <w:gridCol w:w="517"/>
        <w:gridCol w:w="7121"/>
        <w:gridCol w:w="1680"/>
      </w:tblGrid>
      <w:tr w:rsidR="00D8602F" w:rsidRPr="008469D3" w:rsidTr="00D8602F">
        <w:trPr>
          <w:trHeight w:val="288"/>
        </w:trPr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  <w:bookmarkStart w:id="0" w:name="_GoBack"/>
            <w:bookmarkEnd w:id="0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:rsidTr="00D8602F">
        <w:trPr>
          <w:trHeight w:val="20"/>
        </w:trPr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8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D1A9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Abstract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D1A9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Abstract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D1A9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Introduction p2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D1A9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Introduction p2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F4E3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Study Design</w:t>
            </w:r>
            <w:r w:rsidR="00AD1A9A">
              <w:rPr>
                <w:rFonts w:cstheme="minorHAnsi"/>
                <w:color w:val="000000" w:themeColor="text1"/>
                <w:sz w:val="18"/>
                <w:lang w:val="en-GB"/>
              </w:rPr>
              <w:t xml:space="preserve"> p2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F4E3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Population</w:t>
            </w:r>
            <w:r w:rsidR="00AD1A9A">
              <w:rPr>
                <w:rFonts w:cstheme="minorHAnsi"/>
                <w:color w:val="000000" w:themeColor="text1"/>
                <w:sz w:val="18"/>
                <w:lang w:val="en-GB"/>
              </w:rPr>
              <w:t xml:space="preserve"> p2-3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F4E3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Population</w:t>
            </w:r>
            <w:r w:rsidR="00AD1A9A">
              <w:rPr>
                <w:rFonts w:cstheme="minorHAnsi"/>
                <w:color w:val="000000" w:themeColor="text1"/>
                <w:sz w:val="18"/>
                <w:lang w:val="en-GB"/>
              </w:rPr>
              <w:t xml:space="preserve"> p2-3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F4E33" w:rsidP="00D8602F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Study Design/</w:t>
            </w:r>
            <w:r>
              <w:rPr>
                <w:rFonts w:cstheme="minorHAnsi"/>
                <w:color w:val="000000" w:themeColor="text1"/>
                <w:sz w:val="18"/>
                <w:lang w:val="en-GB"/>
              </w:rPr>
              <w:br/>
              <w:t>Population</w:t>
            </w:r>
            <w:r w:rsidR="00AD1A9A">
              <w:rPr>
                <w:rFonts w:cstheme="minorHAnsi"/>
                <w:color w:val="000000" w:themeColor="text1"/>
                <w:sz w:val="18"/>
                <w:lang w:val="en-GB"/>
              </w:rPr>
              <w:t xml:space="preserve"> p2-3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F4E3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Study Procedures</w:t>
            </w:r>
            <w:r w:rsidR="00AD1A9A">
              <w:rPr>
                <w:rFonts w:cstheme="minorHAnsi"/>
                <w:color w:val="000000" w:themeColor="text1"/>
                <w:sz w:val="18"/>
                <w:lang w:val="en-GB"/>
              </w:rPr>
              <w:t xml:space="preserve"> p3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AF4E33" w:rsidRDefault="00AF4E3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Introduction p1/</w:t>
            </w:r>
          </w:p>
          <w:p w:rsidR="00D8602F" w:rsidRPr="008469D3" w:rsidRDefault="00AF4E3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Figure1/</w:t>
            </w:r>
            <w:r>
              <w:rPr>
                <w:rFonts w:cstheme="minorHAnsi"/>
                <w:color w:val="000000" w:themeColor="text1"/>
                <w:sz w:val="18"/>
                <w:lang w:val="en-GB"/>
              </w:rPr>
              <w:br/>
              <w:t>Troponin assay</w:t>
            </w:r>
            <w:r w:rsidR="00AD1A9A">
              <w:rPr>
                <w:rFonts w:cstheme="minorHAnsi"/>
                <w:color w:val="000000" w:themeColor="text1"/>
                <w:sz w:val="18"/>
                <w:lang w:val="en-GB"/>
              </w:rPr>
              <w:t xml:space="preserve"> p3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F4E3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Outcomes</w:t>
            </w:r>
            <w:r w:rsidR="00AD1A9A">
              <w:rPr>
                <w:rFonts w:cstheme="minorHAnsi"/>
                <w:color w:val="000000" w:themeColor="text1"/>
                <w:sz w:val="18"/>
                <w:lang w:val="en-GB"/>
              </w:rPr>
              <w:t xml:space="preserve"> p3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F4E3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Outcomes p3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F4E33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Introduction p</w:t>
            </w:r>
            <w:r w:rsidR="00F875B9">
              <w:rPr>
                <w:rFonts w:cstheme="minorHAnsi"/>
                <w:sz w:val="18"/>
                <w:lang w:val="en-GB"/>
              </w:rPr>
              <w:t>2</w:t>
            </w:r>
            <w:r>
              <w:rPr>
                <w:rFonts w:cstheme="minorHAnsi"/>
                <w:sz w:val="18"/>
                <w:lang w:val="en-GB"/>
              </w:rPr>
              <w:t>/</w:t>
            </w:r>
            <w:r>
              <w:rPr>
                <w:rFonts w:cstheme="minorHAnsi"/>
                <w:sz w:val="18"/>
                <w:lang w:val="en-GB"/>
              </w:rPr>
              <w:br/>
              <w:t>Figure 1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F4E33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Outcomes p3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F4E3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Study procedures p3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F4E3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Outcomes p3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F4E3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Data analysis </w:t>
            </w:r>
            <w:r w:rsidR="00770FFC">
              <w:rPr>
                <w:rFonts w:cstheme="minorHAnsi"/>
                <w:color w:val="000000" w:themeColor="text1"/>
                <w:sz w:val="18"/>
                <w:lang w:val="en-GB"/>
              </w:rPr>
              <w:t>p</w:t>
            </w: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F4E33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Outcomes p3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missing data on the index test and reference standard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770FF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Population p2-3</w:t>
            </w:r>
          </w:p>
        </w:tc>
      </w:tr>
      <w:tr w:rsidR="00D8602F" w:rsidRPr="008469D3" w:rsidTr="00D8602F">
        <w:trPr>
          <w:trHeight w:val="18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770FFC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Data analysis p4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Intended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sample size and how it was determined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770FFC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Data analysis p4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Flow of participants, using a diagram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D4ED8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Figure 2. STARD Diagram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Baseline demographic and clinical characteristics of participants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D4ED8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Table 1: Patient characteristics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D4ED8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Table 1: Patient outcomes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Distribution of</w:t>
            </w:r>
            <w:r w:rsidRPr="008469D3">
              <w:rPr>
                <w:rFonts w:cstheme="minorHAnsi"/>
                <w:color w:val="FF0000"/>
                <w:sz w:val="18"/>
                <w:lang w:val="en-GB"/>
              </w:rPr>
              <w:t xml:space="preserve">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alternative diagnoses in those without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D4ED8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Table 1: Patient outcomes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D4ED8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n/a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Cross tabulation of the index test results (or their distribution)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Default="00AD4ED8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Table 2: Low Risk </w:t>
            </w:r>
          </w:p>
          <w:p w:rsidR="00AD4ED8" w:rsidRPr="008469D3" w:rsidRDefault="00AD4ED8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Table 3: High Risk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Default="00AD4ED8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Table 2/3</w:t>
            </w:r>
          </w:p>
          <w:p w:rsidR="00AD4ED8" w:rsidRPr="008469D3" w:rsidRDefault="00AD4ED8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Results p4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D4ED8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AD4ED8" w:rsidRDefault="00AD4ED8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  <w:p w:rsidR="00AD4ED8" w:rsidRDefault="00AD4ED8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lastRenderedPageBreak/>
              <w:t>DISCUSSION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D4ED8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Strengths and limitations p5-6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D4ED8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Clinical Implications p6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D4ED8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AD4ED8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n/a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:rsidR="00D8602F" w:rsidRPr="008469D3" w:rsidRDefault="00AD4ED8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Financial support p8</w:t>
            </w:r>
          </w:p>
        </w:tc>
      </w:tr>
      <w:tr w:rsidR="00D8602F" w:rsidRPr="005320D9" w:rsidTr="00D8602F">
        <w:trPr>
          <w:trHeight w:val="70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ED78B5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D8602F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46212E">
          <w:foot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:rsidR="00411FEB" w:rsidRPr="00523AA2" w:rsidRDefault="00411FEB" w:rsidP="00F31F82"/>
    <w:sectPr w:rsidR="00411FEB" w:rsidRPr="00523AA2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01D" w:rsidRDefault="0018501D" w:rsidP="00757FD1">
      <w:pPr>
        <w:spacing w:after="0" w:line="240" w:lineRule="auto"/>
      </w:pPr>
      <w:r>
        <w:separator/>
      </w:r>
    </w:p>
  </w:endnote>
  <w:endnote w:type="continuationSeparator" w:id="0">
    <w:p w:rsidR="0018501D" w:rsidRDefault="0018501D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D8E" w:rsidRDefault="00306D8E">
    <w:pPr>
      <w:pStyle w:val="Footer"/>
    </w:pPr>
    <w:r>
      <w:rPr>
        <w:noProof/>
        <w:lang w:val="en-GB" w:eastAsia="en-GB"/>
      </w:rPr>
      <w:drawing>
        <wp:inline distT="0" distB="0" distL="0" distR="0" wp14:anchorId="04F07852" wp14:editId="18448E60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01D" w:rsidRDefault="0018501D" w:rsidP="00757FD1">
      <w:pPr>
        <w:spacing w:after="0" w:line="240" w:lineRule="auto"/>
      </w:pPr>
      <w:r>
        <w:separator/>
      </w:r>
    </w:p>
  </w:footnote>
  <w:footnote w:type="continuationSeparator" w:id="0">
    <w:p w:rsidR="0018501D" w:rsidRDefault="0018501D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85"/>
    <w:rsid w:val="0003566E"/>
    <w:rsid w:val="000515D4"/>
    <w:rsid w:val="00051C50"/>
    <w:rsid w:val="0006162A"/>
    <w:rsid w:val="00070D8C"/>
    <w:rsid w:val="000828BB"/>
    <w:rsid w:val="000855F2"/>
    <w:rsid w:val="000B01E8"/>
    <w:rsid w:val="000C0EE8"/>
    <w:rsid w:val="000E01A1"/>
    <w:rsid w:val="000E7F9E"/>
    <w:rsid w:val="00104FCD"/>
    <w:rsid w:val="00110EEC"/>
    <w:rsid w:val="00114C52"/>
    <w:rsid w:val="001306B6"/>
    <w:rsid w:val="00131B16"/>
    <w:rsid w:val="001476C3"/>
    <w:rsid w:val="00152CED"/>
    <w:rsid w:val="00155255"/>
    <w:rsid w:val="00155CAD"/>
    <w:rsid w:val="001709BF"/>
    <w:rsid w:val="0018414D"/>
    <w:rsid w:val="0018501D"/>
    <w:rsid w:val="00191334"/>
    <w:rsid w:val="00196601"/>
    <w:rsid w:val="001C354E"/>
    <w:rsid w:val="001D419D"/>
    <w:rsid w:val="001E19DC"/>
    <w:rsid w:val="001E4D1F"/>
    <w:rsid w:val="001F0C5A"/>
    <w:rsid w:val="001F56D5"/>
    <w:rsid w:val="0022549C"/>
    <w:rsid w:val="00233AF8"/>
    <w:rsid w:val="002434E1"/>
    <w:rsid w:val="0025102C"/>
    <w:rsid w:val="0027575B"/>
    <w:rsid w:val="002A0EDF"/>
    <w:rsid w:val="002B7708"/>
    <w:rsid w:val="002F4827"/>
    <w:rsid w:val="00306D8E"/>
    <w:rsid w:val="0031458D"/>
    <w:rsid w:val="00324CB5"/>
    <w:rsid w:val="00362362"/>
    <w:rsid w:val="00370FC4"/>
    <w:rsid w:val="0037210E"/>
    <w:rsid w:val="00375622"/>
    <w:rsid w:val="003757BF"/>
    <w:rsid w:val="00375A97"/>
    <w:rsid w:val="003A2EA1"/>
    <w:rsid w:val="003B0B2A"/>
    <w:rsid w:val="003C0AB8"/>
    <w:rsid w:val="003C5973"/>
    <w:rsid w:val="003D227B"/>
    <w:rsid w:val="003D4562"/>
    <w:rsid w:val="0040769C"/>
    <w:rsid w:val="00411FEB"/>
    <w:rsid w:val="004228A5"/>
    <w:rsid w:val="00431C4E"/>
    <w:rsid w:val="0043520D"/>
    <w:rsid w:val="004378AC"/>
    <w:rsid w:val="0045755E"/>
    <w:rsid w:val="0046212E"/>
    <w:rsid w:val="0046708E"/>
    <w:rsid w:val="0048337A"/>
    <w:rsid w:val="004B4880"/>
    <w:rsid w:val="004B4D5C"/>
    <w:rsid w:val="004C1583"/>
    <w:rsid w:val="004D5338"/>
    <w:rsid w:val="004F469C"/>
    <w:rsid w:val="00506083"/>
    <w:rsid w:val="00510595"/>
    <w:rsid w:val="00522330"/>
    <w:rsid w:val="00523AA2"/>
    <w:rsid w:val="00526A0E"/>
    <w:rsid w:val="005275DF"/>
    <w:rsid w:val="005320D9"/>
    <w:rsid w:val="00540AA2"/>
    <w:rsid w:val="00555F79"/>
    <w:rsid w:val="005738B6"/>
    <w:rsid w:val="00580FAC"/>
    <w:rsid w:val="00592149"/>
    <w:rsid w:val="005A18FF"/>
    <w:rsid w:val="00637958"/>
    <w:rsid w:val="00641E60"/>
    <w:rsid w:val="00650885"/>
    <w:rsid w:val="006571B2"/>
    <w:rsid w:val="0067786F"/>
    <w:rsid w:val="00686D6C"/>
    <w:rsid w:val="00696A6F"/>
    <w:rsid w:val="006A141F"/>
    <w:rsid w:val="006B25B4"/>
    <w:rsid w:val="006D27D9"/>
    <w:rsid w:val="006E6207"/>
    <w:rsid w:val="00715B58"/>
    <w:rsid w:val="00727EB9"/>
    <w:rsid w:val="00732C47"/>
    <w:rsid w:val="00751BB1"/>
    <w:rsid w:val="00757FD1"/>
    <w:rsid w:val="00770FFC"/>
    <w:rsid w:val="007844C4"/>
    <w:rsid w:val="0079547A"/>
    <w:rsid w:val="0079584B"/>
    <w:rsid w:val="007A297D"/>
    <w:rsid w:val="007B29BD"/>
    <w:rsid w:val="007B7E41"/>
    <w:rsid w:val="007C5912"/>
    <w:rsid w:val="007F576E"/>
    <w:rsid w:val="00806612"/>
    <w:rsid w:val="0081183B"/>
    <w:rsid w:val="00826FA6"/>
    <w:rsid w:val="00831730"/>
    <w:rsid w:val="0084546B"/>
    <w:rsid w:val="008469D3"/>
    <w:rsid w:val="00877F0A"/>
    <w:rsid w:val="008948E6"/>
    <w:rsid w:val="00894A1C"/>
    <w:rsid w:val="008B6CFB"/>
    <w:rsid w:val="008D54DA"/>
    <w:rsid w:val="008D58CC"/>
    <w:rsid w:val="008E4445"/>
    <w:rsid w:val="009124CA"/>
    <w:rsid w:val="00913EAE"/>
    <w:rsid w:val="00914894"/>
    <w:rsid w:val="00941414"/>
    <w:rsid w:val="00944221"/>
    <w:rsid w:val="00954A68"/>
    <w:rsid w:val="009A1484"/>
    <w:rsid w:val="009A63F3"/>
    <w:rsid w:val="009A6AA9"/>
    <w:rsid w:val="009B41B0"/>
    <w:rsid w:val="009B4DFD"/>
    <w:rsid w:val="009C5E7C"/>
    <w:rsid w:val="009E18E2"/>
    <w:rsid w:val="00A03648"/>
    <w:rsid w:val="00A043D2"/>
    <w:rsid w:val="00A55C32"/>
    <w:rsid w:val="00A63FA9"/>
    <w:rsid w:val="00A807CA"/>
    <w:rsid w:val="00A84F5C"/>
    <w:rsid w:val="00A86360"/>
    <w:rsid w:val="00AA5FAA"/>
    <w:rsid w:val="00AD1A9A"/>
    <w:rsid w:val="00AD20C2"/>
    <w:rsid w:val="00AD4ED8"/>
    <w:rsid w:val="00AF4E33"/>
    <w:rsid w:val="00B01FA8"/>
    <w:rsid w:val="00B30129"/>
    <w:rsid w:val="00B37D7D"/>
    <w:rsid w:val="00B44BD2"/>
    <w:rsid w:val="00B65AAD"/>
    <w:rsid w:val="00B727FD"/>
    <w:rsid w:val="00B82B57"/>
    <w:rsid w:val="00B97669"/>
    <w:rsid w:val="00BA3C4A"/>
    <w:rsid w:val="00BA7D5D"/>
    <w:rsid w:val="00BA7F88"/>
    <w:rsid w:val="00BC26B8"/>
    <w:rsid w:val="00BC426D"/>
    <w:rsid w:val="00BD5E18"/>
    <w:rsid w:val="00BE760E"/>
    <w:rsid w:val="00BF3362"/>
    <w:rsid w:val="00C106F1"/>
    <w:rsid w:val="00C17FE3"/>
    <w:rsid w:val="00CA7A4B"/>
    <w:rsid w:val="00CB5C8F"/>
    <w:rsid w:val="00CB5FD4"/>
    <w:rsid w:val="00CD7A3D"/>
    <w:rsid w:val="00D50E85"/>
    <w:rsid w:val="00D52094"/>
    <w:rsid w:val="00D8602F"/>
    <w:rsid w:val="00D86EB5"/>
    <w:rsid w:val="00D86FEE"/>
    <w:rsid w:val="00DF01DB"/>
    <w:rsid w:val="00E10B3B"/>
    <w:rsid w:val="00E149C3"/>
    <w:rsid w:val="00E14ECA"/>
    <w:rsid w:val="00E22149"/>
    <w:rsid w:val="00E27216"/>
    <w:rsid w:val="00E27BEB"/>
    <w:rsid w:val="00E369C4"/>
    <w:rsid w:val="00E56886"/>
    <w:rsid w:val="00E678CA"/>
    <w:rsid w:val="00E76C0A"/>
    <w:rsid w:val="00E96785"/>
    <w:rsid w:val="00EB5061"/>
    <w:rsid w:val="00EC26B5"/>
    <w:rsid w:val="00ED3C9B"/>
    <w:rsid w:val="00ED3FC2"/>
    <w:rsid w:val="00ED78B5"/>
    <w:rsid w:val="00EE7F52"/>
    <w:rsid w:val="00F15D52"/>
    <w:rsid w:val="00F23B78"/>
    <w:rsid w:val="00F25B4D"/>
    <w:rsid w:val="00F31F82"/>
    <w:rsid w:val="00F44B11"/>
    <w:rsid w:val="00F554CC"/>
    <w:rsid w:val="00F55FA3"/>
    <w:rsid w:val="00F875B9"/>
    <w:rsid w:val="00FA7052"/>
    <w:rsid w:val="00FC07B7"/>
    <w:rsid w:val="00FC7C79"/>
    <w:rsid w:val="00FE718D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1FEB"/>
  </w:style>
  <w:style w:type="paragraph" w:styleId="Heading1">
    <w:name w:val="heading 1"/>
    <w:basedOn w:val="Normal"/>
    <w:next w:val="Normal"/>
    <w:link w:val="Heading1Char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6508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1FEB"/>
    <w:rPr>
      <w:caps/>
      <w:color w:val="1F4D78" w:themeColor="accent1" w:themeShade="7F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8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D1"/>
  </w:style>
  <w:style w:type="paragraph" w:styleId="Footer">
    <w:name w:val="footer"/>
    <w:basedOn w:val="Normal"/>
    <w:link w:val="Foot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D1"/>
  </w:style>
  <w:style w:type="character" w:customStyle="1" w:styleId="Heading4Char">
    <w:name w:val="Heading 4 Char"/>
    <w:basedOn w:val="DefaultParagraphFont"/>
    <w:link w:val="Heading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1FEB"/>
    <w:rPr>
      <w:b/>
      <w:bCs/>
    </w:rPr>
  </w:style>
  <w:style w:type="character" w:styleId="Emphasis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1F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FE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F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E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1F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1F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TableNormal"/>
    <w:next w:val="TableGrid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D1D4FD-5981-6A43-873D-491AB2D3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James Andruchow</cp:lastModifiedBy>
  <cp:revision>2</cp:revision>
  <cp:lastPrinted>2015-10-23T10:20:00Z</cp:lastPrinted>
  <dcterms:created xsi:type="dcterms:W3CDTF">2020-03-19T17:51:00Z</dcterms:created>
  <dcterms:modified xsi:type="dcterms:W3CDTF">2020-03-19T17:51:00Z</dcterms:modified>
</cp:coreProperties>
</file>